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7B" w:rsidRPr="00D61F7B" w:rsidRDefault="00D61F7B" w:rsidP="00D61F7B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16"/>
          <w:szCs w:val="16"/>
          <w:lang w:eastAsia="fr-FR"/>
        </w:rPr>
      </w:pPr>
      <w:r w:rsidRPr="00D61F7B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fr-FR"/>
        </w:rPr>
        <w:t>Les charges non déductibles et les produits non imposables</w:t>
      </w:r>
    </w:p>
    <w:p w:rsidR="00D61F7B" w:rsidRPr="00D61F7B" w:rsidRDefault="00D61F7B" w:rsidP="00D61F7B">
      <w:pPr>
        <w:spacing w:after="0" w:line="240" w:lineRule="auto"/>
        <w:textAlignment w:val="baseline"/>
        <w:rPr>
          <w:rFonts w:ascii="inherit" w:eastAsia="Times New Roman" w:hAnsi="inherit" w:cs="Times New Roman"/>
          <w:sz w:val="16"/>
          <w:szCs w:val="16"/>
          <w:lang w:eastAsia="fr-FR"/>
        </w:rPr>
      </w:pPr>
      <w:r w:rsidRPr="00D61F7B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fr-FR"/>
        </w:rPr>
        <w:br/>
      </w:r>
    </w:p>
    <w:p w:rsidR="00D61F7B" w:rsidRPr="00D61F7B" w:rsidRDefault="00D61F7B" w:rsidP="00D61F7B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16"/>
          <w:szCs w:val="16"/>
          <w:lang w:eastAsia="fr-FR"/>
        </w:rPr>
      </w:pPr>
    </w:p>
    <w:p w:rsidR="00D61F7B" w:rsidRPr="00D61F7B" w:rsidRDefault="00D61F7B" w:rsidP="00D61F7B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16"/>
          <w:szCs w:val="16"/>
          <w:lang w:eastAsia="fr-FR"/>
        </w:rPr>
      </w:pPr>
      <w:r>
        <w:rPr>
          <w:rFonts w:ascii="inherit" w:eastAsia="Times New Roman" w:hAnsi="inherit" w:cs="Times New Roman"/>
          <w:noProof/>
          <w:color w:val="EB7B0E"/>
          <w:sz w:val="16"/>
          <w:szCs w:val="16"/>
          <w:bdr w:val="none" w:sz="0" w:space="0" w:color="auto" w:frame="1"/>
          <w:lang w:eastAsia="fr-FR"/>
        </w:rPr>
        <w:drawing>
          <wp:inline distT="0" distB="0" distL="0" distR="0">
            <wp:extent cx="3050540" cy="2311400"/>
            <wp:effectExtent l="19050" t="0" r="0" b="0"/>
            <wp:docPr id="1" name="Image 1" descr="fiscaliste - Les charges non déductibles et les produits non imposable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scaliste - Les charges non déductibles et les produits non imposable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F7B" w:rsidRPr="00D61F7B" w:rsidRDefault="00D61F7B" w:rsidP="00D61F7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111111"/>
          <w:sz w:val="32"/>
          <w:szCs w:val="32"/>
          <w:lang w:eastAsia="fr-FR"/>
        </w:rPr>
      </w:pPr>
      <w:r w:rsidRPr="00D61F7B">
        <w:rPr>
          <w:rFonts w:ascii="inherit" w:eastAsia="Times New Roman" w:hAnsi="inherit" w:cs="Arial"/>
          <w:color w:val="111111"/>
          <w:sz w:val="20"/>
          <w:szCs w:val="20"/>
          <w:bdr w:val="none" w:sz="0" w:space="0" w:color="auto" w:frame="1"/>
          <w:lang w:eastAsia="fr-FR"/>
        </w:rPr>
        <w:t>Les charges non déductibles et les produits non imposables</w:t>
      </w:r>
    </w:p>
    <w:p w:rsidR="00D61F7B" w:rsidRPr="00D61F7B" w:rsidRDefault="00D61F7B" w:rsidP="00D61F7B">
      <w:pPr>
        <w:spacing w:after="0" w:line="240" w:lineRule="auto"/>
        <w:textAlignment w:val="baseline"/>
        <w:rPr>
          <w:rFonts w:ascii="inherit" w:eastAsia="Times New Roman" w:hAnsi="inherit" w:cs="Times New Roman"/>
          <w:sz w:val="16"/>
          <w:szCs w:val="16"/>
          <w:lang w:eastAsia="fr-FR"/>
        </w:rPr>
      </w:pPr>
    </w:p>
    <w:tbl>
      <w:tblPr>
        <w:tblW w:w="6854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16"/>
        <w:gridCol w:w="2938"/>
      </w:tblGrid>
      <w:tr w:rsidR="00D61F7B" w:rsidRPr="00D61F7B" w:rsidTr="00D61F7B"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F7B" w:rsidRPr="00D61F7B" w:rsidRDefault="00D61F7B" w:rsidP="00D61F7B">
            <w:pPr>
              <w:spacing w:after="0" w:line="240" w:lineRule="auto"/>
              <w:ind w:left="567"/>
              <w:jc w:val="center"/>
              <w:textAlignment w:val="baseline"/>
              <w:outlineLvl w:val="2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fr-FR"/>
              </w:rPr>
            </w:pPr>
            <w:r w:rsidRPr="00D61F7B">
              <w:rPr>
                <w:rFonts w:ascii="inherit" w:eastAsia="Times New Roman" w:hAnsi="inherit" w:cs="Times New Roman"/>
                <w:color w:val="111111"/>
                <w:sz w:val="36"/>
                <w:szCs w:val="36"/>
                <w:bdr w:val="none" w:sz="0" w:space="0" w:color="auto" w:frame="1"/>
                <w:lang w:eastAsia="fr-FR"/>
              </w:rPr>
              <w:t>charges non déductibles</w:t>
            </w:r>
          </w:p>
          <w:p w:rsidR="00D61F7B" w:rsidRPr="00D61F7B" w:rsidRDefault="00D61F7B" w:rsidP="00D61F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F7B" w:rsidRPr="00D61F7B" w:rsidRDefault="00D61F7B" w:rsidP="00D61F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36"/>
                <w:szCs w:val="36"/>
                <w:bdr w:val="none" w:sz="0" w:space="0" w:color="auto" w:frame="1"/>
                <w:lang w:eastAsia="fr-FR"/>
              </w:rPr>
              <w:t>Produits non imposables</w:t>
            </w:r>
          </w:p>
        </w:tc>
      </w:tr>
      <w:tr w:rsidR="00D61F7B" w:rsidRPr="00D61F7B" w:rsidTr="00D61F7B"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F7B" w:rsidRPr="00D61F7B" w:rsidRDefault="00D61F7B" w:rsidP="00D61F7B">
            <w:pPr>
              <w:spacing w:after="0" w:line="240" w:lineRule="auto"/>
              <w:ind w:firstLine="448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Wingdings" w:eastAsia="Times New Roman" w:hAnsi="Wingdings" w:cs="Arial"/>
                <w:color w:val="474747"/>
                <w:sz w:val="16"/>
                <w:szCs w:val="16"/>
                <w:bdr w:val="none" w:sz="0" w:space="0" w:color="auto" w:frame="1"/>
                <w:lang w:val="en-US" w:eastAsia="fr-FR"/>
              </w:rPr>
              <w:t></w:t>
            </w:r>
            <w:r w:rsidRPr="00D61F7B">
              <w:rPr>
                <w:rFonts w:ascii="Times New Roman" w:eastAsia="Times New Roman" w:hAnsi="Times New Roman" w:cs="Times New Roman"/>
                <w:color w:val="474747"/>
                <w:sz w:val="14"/>
                <w:szCs w:val="14"/>
                <w:bdr w:val="none" w:sz="0" w:space="0" w:color="auto" w:frame="1"/>
                <w:lang w:val="en-US" w:eastAsia="fr-FR"/>
              </w:rPr>
              <w:t>  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 </w:t>
            </w:r>
            <w:proofErr w:type="spellStart"/>
            <w:r w:rsidRPr="00D61F7B">
              <w:rPr>
                <w:rFonts w:ascii="inherit" w:eastAsia="Times New Roman" w:hAnsi="inherit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val="en-US" w:eastAsia="fr-FR"/>
              </w:rPr>
              <w:t>Bénéfice</w:t>
            </w:r>
            <w:proofErr w:type="spellEnd"/>
          </w:p>
          <w:p w:rsidR="00D61F7B" w:rsidRPr="00D61F7B" w:rsidRDefault="00D61F7B" w:rsidP="00D61F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F7B" w:rsidRPr="00D61F7B" w:rsidRDefault="00D61F7B" w:rsidP="00D61F7B">
            <w:pPr>
              <w:spacing w:after="0" w:line="240" w:lineRule="auto"/>
              <w:ind w:hanging="142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Wingdings" w:eastAsia="Times New Roman" w:hAnsi="Wingdings" w:cs="Arial"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</w:t>
            </w:r>
            <w:r w:rsidRPr="00D61F7B">
              <w:rPr>
                <w:rFonts w:ascii="Times New Roman" w:eastAsia="Times New Roman" w:hAnsi="Times New Roman" w:cs="Times New Roman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</w:t>
            </w:r>
            <w:proofErr w:type="spellStart"/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val="en-US" w:eastAsia="fr-FR"/>
              </w:rPr>
              <w:t>Perte</w:t>
            </w:r>
            <w:proofErr w:type="spellEnd"/>
          </w:p>
        </w:tc>
      </w:tr>
      <w:tr w:rsidR="00D61F7B" w:rsidRPr="00D61F7B" w:rsidTr="00D61F7B"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Wingdings" w:eastAsia="Times New Roman" w:hAnsi="Wingdings" w:cs="Arial"/>
                <w:color w:val="474747"/>
                <w:sz w:val="24"/>
                <w:szCs w:val="24"/>
                <w:bdr w:val="none" w:sz="0" w:space="0" w:color="auto" w:frame="1"/>
                <w:lang w:eastAsia="fr-FR"/>
              </w:rPr>
              <w:t></w:t>
            </w:r>
            <w:r w:rsidRPr="00D61F7B">
              <w:rPr>
                <w:rFonts w:ascii="Times New Roman" w:eastAsia="Times New Roman" w:hAnsi="Times New Roman" w:cs="Times New Roman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u w:val="single"/>
                <w:bdr w:val="none" w:sz="0" w:space="0" w:color="auto" w:frame="1"/>
                <w:lang w:eastAsia="fr-FR"/>
              </w:rPr>
              <w:t>Intérêts :</w:t>
            </w:r>
          </w:p>
          <w:p w:rsidR="00D61F7B" w:rsidRPr="00D61F7B" w:rsidRDefault="00D61F7B" w:rsidP="00D61F7B">
            <w:pPr>
              <w:spacing w:after="0" w:line="240" w:lineRule="auto"/>
              <w:ind w:hanging="141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  <w:t>-</w:t>
            </w:r>
            <w:r w:rsidRPr="00D61F7B">
              <w:rPr>
                <w:rFonts w:ascii="inherit" w:eastAsia="Times New Roman" w:hAnsi="inherit" w:cs="Arial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Intérêt créditeur de banque : imposable sur le montant brut, la TPPRF  retenue à la source par la banque (c’est une avance sur l’IS) :</w:t>
            </w:r>
          </w:p>
          <w:p w:rsidR="00D61F7B" w:rsidRPr="00D61F7B" w:rsidRDefault="00D61F7B" w:rsidP="00D61F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      Montant brut PPRF= Montant Net + IS (R.A.S)</w:t>
            </w:r>
          </w:p>
          <w:p w:rsidR="00D61F7B" w:rsidRPr="00D61F7B" w:rsidRDefault="00D61F7B" w:rsidP="00D61F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</w:p>
          <w:p w:rsidR="00D61F7B" w:rsidRPr="00D61F7B" w:rsidRDefault="00D61F7B" w:rsidP="00D61F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 : montant à réintégrer</w:t>
            </w:r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  <w:t>-</w:t>
            </w:r>
            <w:r w:rsidRPr="00D61F7B">
              <w:rPr>
                <w:rFonts w:ascii="inherit" w:eastAsia="Times New Roman" w:hAnsi="inherit" w:cs="Arial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      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Intérêt de bon de caisse comptabilise pour leur montant net : Mt net/0,8-Mt net= IS (RAS) :à réintégrer</w:t>
            </w:r>
          </w:p>
          <w:p w:rsidR="00D61F7B" w:rsidRPr="00D61F7B" w:rsidRDefault="00D61F7B" w:rsidP="00D61F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       - Intérêt des comptes courant d’associés (C.C.A) :</w:t>
            </w:r>
          </w:p>
          <w:p w:rsidR="00D61F7B" w:rsidRPr="00D61F7B" w:rsidRDefault="00D61F7B" w:rsidP="00D61F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→condition : le capital doit être totalement libéré </w:t>
            </w:r>
          </w:p>
          <w:p w:rsidR="00D61F7B" w:rsidRPr="00D61F7B" w:rsidRDefault="00D61F7B" w:rsidP="00D61F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→2 limites :</w:t>
            </w:r>
          </w:p>
          <w:p w:rsidR="00D61F7B" w:rsidRPr="00D61F7B" w:rsidRDefault="00D61F7B" w:rsidP="00D61F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          - Taux d’i appliqué  ≤ taux d’i réglementée              </w:t>
            </w:r>
          </w:p>
          <w:p w:rsidR="00D61F7B" w:rsidRPr="00D61F7B" w:rsidRDefault="00D61F7B" w:rsidP="00D61F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                        - Montant des avances ≤ capital social</w:t>
            </w:r>
          </w:p>
          <w:p w:rsidR="00D61F7B" w:rsidRPr="00D61F7B" w:rsidRDefault="00D61F7B" w:rsidP="00D61F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         Si la condition n’est pas respectée ou l’une des limites         n’est pas appliquée : l’intérêt est à réintégrer.</w:t>
            </w:r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  <w:t>-</w:t>
            </w:r>
            <w:r w:rsidRPr="00D61F7B">
              <w:rPr>
                <w:rFonts w:ascii="inherit" w:eastAsia="Times New Roman" w:hAnsi="inherit" w:cs="Arial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      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Intérêt du compte courant du dirigeant si ;</w:t>
            </w:r>
          </w:p>
          <w:p w:rsidR="00D61F7B" w:rsidRPr="00D61F7B" w:rsidRDefault="00D61F7B" w:rsidP="00D61F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Le taux appliqué &gt; taux autorisé</w:t>
            </w:r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  <w:t>-</w:t>
            </w:r>
            <w:r w:rsidRPr="00D61F7B">
              <w:rPr>
                <w:rFonts w:ascii="inherit" w:eastAsia="Times New Roman" w:hAnsi="inherit" w:cs="Arial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      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Intérêt dont l’affectation non justifiée: non lié à l’exploitation</w:t>
            </w:r>
          </w:p>
          <w:p w:rsidR="00D61F7B" w:rsidRPr="00D61F7B" w:rsidRDefault="00D61F7B" w:rsidP="00D61F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Wingdings" w:eastAsia="Times New Roman" w:hAnsi="Wingdings" w:cs="Arial"/>
                <w:color w:val="474747"/>
                <w:sz w:val="24"/>
                <w:szCs w:val="24"/>
                <w:bdr w:val="none" w:sz="0" w:space="0" w:color="auto" w:frame="1"/>
                <w:lang w:eastAsia="fr-FR"/>
              </w:rPr>
              <w:t></w:t>
            </w:r>
            <w:r w:rsidRPr="00D61F7B">
              <w:rPr>
                <w:rFonts w:ascii="Times New Roman" w:eastAsia="Times New Roman" w:hAnsi="Times New Roman" w:cs="Times New Roman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u w:val="single"/>
                <w:bdr w:val="none" w:sz="0" w:space="0" w:color="auto" w:frame="1"/>
                <w:lang w:eastAsia="fr-FR"/>
              </w:rPr>
              <w:t>Produits financiers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bdr w:val="none" w:sz="0" w:space="0" w:color="auto" w:frame="1"/>
                <w:lang w:eastAsia="fr-FR"/>
              </w:rPr>
              <w:t> :</w:t>
            </w:r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  <w:t>-</w:t>
            </w:r>
            <w:r w:rsidRPr="00D61F7B">
              <w:rPr>
                <w:rFonts w:ascii="inherit" w:eastAsia="Times New Roman" w:hAnsi="inherit" w:cs="Arial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      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Produit des titres de participation : dividendes reçues (abattement de 100%).</w:t>
            </w:r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  <w:t>-</w:t>
            </w:r>
            <w:r w:rsidRPr="00D61F7B">
              <w:rPr>
                <w:rFonts w:ascii="inherit" w:eastAsia="Times New Roman" w:hAnsi="inherit" w:cs="Arial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      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Produit des actions : dividendes (abattement de 100%).</w:t>
            </w:r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  <w:t>-</w:t>
            </w:r>
            <w:r w:rsidRPr="00D61F7B">
              <w:rPr>
                <w:rFonts w:ascii="inherit" w:eastAsia="Times New Roman" w:hAnsi="inherit" w:cs="Arial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      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Boni de liquidation : produit perçu d’une autre société déjà imposé.</w:t>
            </w:r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  <w:t>-</w:t>
            </w:r>
            <w:r w:rsidRPr="00D61F7B">
              <w:rPr>
                <w:rFonts w:ascii="inherit" w:eastAsia="Times New Roman" w:hAnsi="inherit" w:cs="Arial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      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Intérêt créditeur de banque : imposable pour leur montant brut, la TPPRF retenu a la source par la banque (avance sur l’IS).</w:t>
            </w:r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  <w:t>-</w:t>
            </w:r>
            <w:r w:rsidRPr="00D61F7B">
              <w:rPr>
                <w:rFonts w:ascii="inherit" w:eastAsia="Times New Roman" w:hAnsi="inherit" w:cs="Arial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      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Autres produits de participation verses, mis a la disposition des inscrits en compte par le P.M soumises ou exonérées :</w:t>
            </w:r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Symbol" w:eastAsia="Times New Roman" w:hAnsi="Symbol" w:cs="Arial"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</w:t>
            </w:r>
            <w:r w:rsidRPr="00D61F7B">
              <w:rPr>
                <w:rFonts w:ascii="Times New Roman" w:eastAsia="Times New Roman" w:hAnsi="Times New Roman" w:cs="Times New Roman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     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Inscription en compte courant d’associe,</w:t>
            </w:r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Symbol" w:eastAsia="Times New Roman" w:hAnsi="Symbol" w:cs="Arial"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</w:t>
            </w:r>
            <w:r w:rsidRPr="00D61F7B">
              <w:rPr>
                <w:rFonts w:ascii="Times New Roman" w:eastAsia="Times New Roman" w:hAnsi="Times New Roman" w:cs="Times New Roman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     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en compte courant bancaires des bénéficière ou</w:t>
            </w:r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Symbol" w:eastAsia="Times New Roman" w:hAnsi="Symbol" w:cs="Arial"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</w:t>
            </w:r>
            <w:r w:rsidRPr="00D61F7B">
              <w:rPr>
                <w:rFonts w:ascii="Times New Roman" w:eastAsia="Times New Roman" w:hAnsi="Times New Roman" w:cs="Times New Roman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     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en compte courant convenus par écrit entre les parties.</w:t>
            </w:r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  <w:t>-</w:t>
            </w:r>
            <w:r w:rsidRPr="00D61F7B">
              <w:rPr>
                <w:rFonts w:ascii="inherit" w:eastAsia="Times New Roman" w:hAnsi="inherit" w:cs="Arial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      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Intérêt servis aux établissements de crédit.</w:t>
            </w:r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  <w:t>-</w:t>
            </w:r>
            <w:r w:rsidRPr="00D61F7B">
              <w:rPr>
                <w:rFonts w:ascii="inherit" w:eastAsia="Times New Roman" w:hAnsi="inherit" w:cs="Arial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      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Intérêt servis aux OPCVM, FPCT, OPCR…</w:t>
            </w:r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  <w:t>-</w:t>
            </w:r>
            <w:r w:rsidRPr="00D61F7B">
              <w:rPr>
                <w:rFonts w:ascii="inherit" w:eastAsia="Times New Roman" w:hAnsi="inherit" w:cs="Arial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      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Intérêt perçus par les sociétés non résidentes au titre.</w:t>
            </w:r>
          </w:p>
        </w:tc>
      </w:tr>
      <w:tr w:rsidR="00D61F7B" w:rsidRPr="00D61F7B" w:rsidTr="00D61F7B"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Wingdings" w:eastAsia="Times New Roman" w:hAnsi="Wingdings" w:cs="Arial"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</w:t>
            </w:r>
            <w:r w:rsidRPr="00D61F7B">
              <w:rPr>
                <w:rFonts w:ascii="Times New Roman" w:eastAsia="Times New Roman" w:hAnsi="Times New Roman" w:cs="Times New Roman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u w:val="single"/>
                <w:bdr w:val="none" w:sz="0" w:space="0" w:color="auto" w:frame="1"/>
                <w:lang w:eastAsia="fr-FR"/>
              </w:rPr>
              <w:t>Achats :</w:t>
            </w:r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  <w:t>-</w:t>
            </w:r>
            <w:r w:rsidRPr="00D61F7B">
              <w:rPr>
                <w:rFonts w:ascii="inherit" w:eastAsia="Times New Roman" w:hAnsi="inherit" w:cs="Arial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      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Les achats non encore reçues.</w:t>
            </w:r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  <w:t>-</w:t>
            </w:r>
            <w:r w:rsidRPr="00D61F7B">
              <w:rPr>
                <w:rFonts w:ascii="inherit" w:eastAsia="Times New Roman" w:hAnsi="inherit" w:cs="Arial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      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Avance versée sur commande non reçue.</w:t>
            </w:r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  <w:t>-</w:t>
            </w:r>
            <w:r w:rsidRPr="00D61F7B">
              <w:rPr>
                <w:rFonts w:ascii="inherit" w:eastAsia="Times New Roman" w:hAnsi="inherit" w:cs="Arial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      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 Achat de fournitures de bureau non encore  consommée : charge constatée d’avance.</w:t>
            </w:r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  <w:t>-</w:t>
            </w:r>
            <w:r w:rsidRPr="00D61F7B">
              <w:rPr>
                <w:rFonts w:ascii="inherit" w:eastAsia="Times New Roman" w:hAnsi="inherit" w:cs="Arial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      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Indemnité de rachat : V.O de l’immobilisation ≠ charge.</w:t>
            </w:r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  <w:t>-</w:t>
            </w:r>
            <w:r w:rsidRPr="00D61F7B">
              <w:rPr>
                <w:rFonts w:ascii="inherit" w:eastAsia="Times New Roman" w:hAnsi="inherit" w:cs="Arial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      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 xml:space="preserve">Paiement en espèces d’achat pour plus 10000 </w:t>
            </w:r>
            <w:proofErr w:type="spellStart"/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dhs</w:t>
            </w:r>
            <w:proofErr w:type="spellEnd"/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 : Mt (TTC)*50 % à réintégrer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Wingdings" w:eastAsia="Times New Roman" w:hAnsi="Wingdings" w:cs="Arial"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</w:t>
            </w:r>
            <w:r w:rsidRPr="00D61F7B">
              <w:rPr>
                <w:rFonts w:ascii="Times New Roman" w:eastAsia="Times New Roman" w:hAnsi="Times New Roman" w:cs="Times New Roman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u w:val="single"/>
                <w:bdr w:val="none" w:sz="0" w:space="0" w:color="auto" w:frame="1"/>
                <w:lang w:eastAsia="fr-FR"/>
              </w:rPr>
              <w:t>Ventes :</w:t>
            </w:r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  <w:t>-</w:t>
            </w:r>
            <w:r w:rsidRPr="00D61F7B">
              <w:rPr>
                <w:rFonts w:ascii="inherit" w:eastAsia="Times New Roman" w:hAnsi="inherit" w:cs="Arial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      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Vente de marchandise non encore livrée : produit constaté d’avance.</w:t>
            </w:r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  <w:t>-</w:t>
            </w:r>
            <w:r w:rsidRPr="00D61F7B">
              <w:rPr>
                <w:rFonts w:ascii="inherit" w:eastAsia="Times New Roman" w:hAnsi="inherit" w:cs="Arial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      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Avances et acomptes reçus sur commandes en cours (non livrées)</w:t>
            </w:r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  <w:t>-</w:t>
            </w:r>
            <w:r w:rsidRPr="00D61F7B">
              <w:rPr>
                <w:rFonts w:ascii="inherit" w:eastAsia="Times New Roman" w:hAnsi="inherit" w:cs="Arial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      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Arrhes perçues : garanties à consolider comme des dépôts et cautionnement reçus.</w:t>
            </w:r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  <w:t>-</w:t>
            </w:r>
            <w:r w:rsidRPr="00D61F7B">
              <w:rPr>
                <w:rFonts w:ascii="inherit" w:eastAsia="Times New Roman" w:hAnsi="inherit" w:cs="Arial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      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Tous les produits constatés d’avance</w:t>
            </w:r>
          </w:p>
        </w:tc>
      </w:tr>
      <w:tr w:rsidR="00D61F7B" w:rsidRPr="00D61F7B" w:rsidTr="00D61F7B"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Wingdings" w:eastAsia="Times New Roman" w:hAnsi="Wingdings" w:cs="Arial"/>
                <w:color w:val="474747"/>
                <w:sz w:val="24"/>
                <w:szCs w:val="24"/>
                <w:bdr w:val="none" w:sz="0" w:space="0" w:color="auto" w:frame="1"/>
                <w:lang w:eastAsia="fr-FR"/>
              </w:rPr>
              <w:t></w:t>
            </w:r>
            <w:r w:rsidRPr="00D61F7B">
              <w:rPr>
                <w:rFonts w:ascii="Times New Roman" w:eastAsia="Times New Roman" w:hAnsi="Times New Roman" w:cs="Times New Roman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u w:val="single"/>
                <w:bdr w:val="none" w:sz="0" w:space="0" w:color="auto" w:frame="1"/>
                <w:lang w:eastAsia="fr-FR"/>
              </w:rPr>
              <w:t>Entretiens et réparation :</w:t>
            </w:r>
          </w:p>
          <w:p w:rsidR="00D61F7B" w:rsidRPr="00D61F7B" w:rsidRDefault="00D61F7B" w:rsidP="00D61F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lastRenderedPageBreak/>
              <w:t>Rénovation et remplacement du moteur d’une immobilisation →prolongement de la durée de vie de l’immobilisation : V.O</w:t>
            </w:r>
          </w:p>
          <w:p w:rsidR="00D61F7B" w:rsidRPr="00D61F7B" w:rsidRDefault="00D61F7B" w:rsidP="00D61F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F7B" w:rsidRPr="00D61F7B" w:rsidRDefault="00D61F7B" w:rsidP="00D61F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</w:p>
          <w:p w:rsidR="00D61F7B" w:rsidRPr="00D61F7B" w:rsidRDefault="00D61F7B" w:rsidP="00D61F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  <w:lastRenderedPageBreak/>
              <w:t>-</w:t>
            </w:r>
            <w:r w:rsidRPr="00D61F7B">
              <w:rPr>
                <w:rFonts w:ascii="inherit" w:eastAsia="Times New Roman" w:hAnsi="inherit" w:cs="Arial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      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D.E.A de l’immobilisation = VO * 10% *</w:t>
            </w:r>
            <w:r w:rsidRPr="00D61F7B">
              <w:rPr>
                <w:rFonts w:ascii="Calibri" w:eastAsia="Times New Roman" w:hAnsi="Calibri" w:cs="Calibri"/>
                <w:color w:val="474747"/>
                <w:bdr w:val="none" w:sz="0" w:space="0" w:color="auto" w:frame="1"/>
                <w:lang w:eastAsia="fr-FR"/>
              </w:rPr>
              <w:t> </w:t>
            </w:r>
          </w:p>
        </w:tc>
      </w:tr>
      <w:tr w:rsidR="00D61F7B" w:rsidRPr="00D61F7B" w:rsidTr="00D61F7B"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Wingdings" w:eastAsia="Times New Roman" w:hAnsi="Wingdings" w:cs="Arial"/>
                <w:color w:val="474747"/>
                <w:sz w:val="24"/>
                <w:szCs w:val="24"/>
                <w:bdr w:val="none" w:sz="0" w:space="0" w:color="auto" w:frame="1"/>
                <w:lang w:eastAsia="fr-FR"/>
              </w:rPr>
              <w:lastRenderedPageBreak/>
              <w:t></w:t>
            </w:r>
            <w:r w:rsidRPr="00D61F7B">
              <w:rPr>
                <w:rFonts w:ascii="Times New Roman" w:eastAsia="Times New Roman" w:hAnsi="Times New Roman" w:cs="Times New Roman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u w:val="single"/>
                <w:bdr w:val="none" w:sz="0" w:space="0" w:color="auto" w:frame="1"/>
                <w:lang w:eastAsia="fr-FR"/>
              </w:rPr>
              <w:t>Majorations et pénalités de toutes natures :</w:t>
            </w:r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  <w:t>-</w:t>
            </w:r>
            <w:r w:rsidRPr="00D61F7B">
              <w:rPr>
                <w:rFonts w:ascii="inherit" w:eastAsia="Times New Roman" w:hAnsi="inherit" w:cs="Arial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      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Majoration de retard pour paiement tardif de la TVA</w:t>
            </w:r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  <w:t>-</w:t>
            </w:r>
            <w:r w:rsidRPr="00D61F7B">
              <w:rPr>
                <w:rFonts w:ascii="inherit" w:eastAsia="Times New Roman" w:hAnsi="inherit" w:cs="Arial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      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Pénalité fiscal pour défaut  de déclaration de la TVA.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Wingdings" w:eastAsia="Times New Roman" w:hAnsi="Wingdings" w:cs="Arial"/>
                <w:color w:val="474747"/>
                <w:sz w:val="24"/>
                <w:szCs w:val="24"/>
                <w:bdr w:val="none" w:sz="0" w:space="0" w:color="auto" w:frame="1"/>
                <w:lang w:eastAsia="fr-FR"/>
              </w:rPr>
              <w:t></w:t>
            </w:r>
            <w:r w:rsidRPr="00D61F7B">
              <w:rPr>
                <w:rFonts w:ascii="Times New Roman" w:eastAsia="Times New Roman" w:hAnsi="Times New Roman" w:cs="Times New Roman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u w:val="single"/>
                <w:bdr w:val="none" w:sz="0" w:space="0" w:color="auto" w:frame="1"/>
                <w:lang w:eastAsia="fr-FR"/>
              </w:rPr>
              <w:t>Amortissements :</w:t>
            </w:r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  <w:t>-</w:t>
            </w:r>
            <w:r w:rsidRPr="00D61F7B">
              <w:rPr>
                <w:rFonts w:ascii="inherit" w:eastAsia="Times New Roman" w:hAnsi="inherit" w:cs="Arial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      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Amortissement : DEA d’une immobilisation comptabilisée par erreur parmi les charges.</w:t>
            </w:r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  <w:t>-</w:t>
            </w:r>
            <w:r w:rsidRPr="00D61F7B">
              <w:rPr>
                <w:rFonts w:ascii="inherit" w:eastAsia="Times New Roman" w:hAnsi="inherit" w:cs="Arial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      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Amortissement fiscalement différés.</w:t>
            </w:r>
          </w:p>
          <w:p w:rsidR="00D61F7B" w:rsidRPr="00D61F7B" w:rsidRDefault="00D61F7B" w:rsidP="00D61F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</w:p>
          <w:p w:rsidR="00D61F7B" w:rsidRPr="00D61F7B" w:rsidRDefault="00D61F7B" w:rsidP="00D61F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</w:p>
        </w:tc>
      </w:tr>
      <w:tr w:rsidR="00D61F7B" w:rsidRPr="00D61F7B" w:rsidTr="00D61F7B"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Wingdings" w:eastAsia="Times New Roman" w:hAnsi="Wingdings" w:cs="Arial"/>
                <w:color w:val="474747"/>
                <w:sz w:val="24"/>
                <w:szCs w:val="24"/>
                <w:bdr w:val="none" w:sz="0" w:space="0" w:color="auto" w:frame="1"/>
                <w:lang w:eastAsia="fr-FR"/>
              </w:rPr>
              <w:t></w:t>
            </w:r>
            <w:r w:rsidRPr="00D61F7B">
              <w:rPr>
                <w:rFonts w:ascii="Times New Roman" w:eastAsia="Times New Roman" w:hAnsi="Times New Roman" w:cs="Times New Roman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u w:val="single"/>
                <w:bdr w:val="none" w:sz="0" w:space="0" w:color="auto" w:frame="1"/>
                <w:lang w:eastAsia="fr-FR"/>
              </w:rPr>
              <w:t>Dons : 3 cas de figure</w:t>
            </w:r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  <w:t>-</w:t>
            </w:r>
            <w:r w:rsidRPr="00D61F7B">
              <w:rPr>
                <w:rFonts w:ascii="inherit" w:eastAsia="Times New Roman" w:hAnsi="inherit" w:cs="Arial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      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Dons accordés aux œuvres sociales  (accepté sans dépassement de la limite fiscal de 2‰) :</w:t>
            </w:r>
          </w:p>
          <w:p w:rsidR="00D61F7B" w:rsidRPr="00D61F7B" w:rsidRDefault="00D61F7B" w:rsidP="00D61F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                 Dons : montant</w:t>
            </w:r>
          </w:p>
          <w:p w:rsidR="00D61F7B" w:rsidRPr="00D61F7B" w:rsidRDefault="00D61F7B" w:rsidP="00D61F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               -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u w:val="single"/>
                <w:bdr w:val="none" w:sz="0" w:space="0" w:color="auto" w:frame="1"/>
                <w:lang w:eastAsia="fr-FR"/>
              </w:rPr>
              <w:t>Limite : (CH.A(H.T))*2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28"/>
                <w:szCs w:val="28"/>
                <w:u w:val="single"/>
                <w:bdr w:val="none" w:sz="0" w:space="0" w:color="auto" w:frame="1"/>
                <w:lang w:eastAsia="fr-FR"/>
              </w:rPr>
              <w:t>%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u w:val="single"/>
                <w:bdr w:val="none" w:sz="0" w:space="0" w:color="auto" w:frame="1"/>
                <w:lang w:eastAsia="fr-FR"/>
              </w:rPr>
              <w:t>0</w:t>
            </w:r>
          </w:p>
          <w:p w:rsidR="00D61F7B" w:rsidRPr="00D61F7B" w:rsidRDefault="00D61F7B" w:rsidP="00D61F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               =Excédant : à réintégrer (CH.N.D)</w:t>
            </w:r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  <w:t>-</w:t>
            </w:r>
            <w:r w:rsidRPr="00D61F7B">
              <w:rPr>
                <w:rFonts w:ascii="inherit" w:eastAsia="Times New Roman" w:hAnsi="inherit" w:cs="Arial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      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Dons non versés à l’intérêt de l’ensemble du personnel  (libéralité non liée au besoin d’exploitation) CH.N.D:</w:t>
            </w:r>
          </w:p>
          <w:p w:rsidR="00D61F7B" w:rsidRPr="00D61F7B" w:rsidRDefault="00D61F7B" w:rsidP="00D61F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Exemple : une équipe de football d’amateur, clubs privés, club sportif (dépense personnelle au P.D.G)</w:t>
            </w:r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  <w:t>-</w:t>
            </w:r>
            <w:r w:rsidRPr="00D61F7B">
              <w:rPr>
                <w:rFonts w:ascii="inherit" w:eastAsia="Times New Roman" w:hAnsi="inherit" w:cs="Arial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      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Dons accordés pour l’utilité publique (CH.D)</w:t>
            </w:r>
          </w:p>
          <w:p w:rsidR="00D61F7B" w:rsidRPr="00D61F7B" w:rsidRDefault="00D61F7B" w:rsidP="00D61F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Wingdings" w:eastAsia="Times New Roman" w:hAnsi="Wingdings" w:cs="Arial"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</w:t>
            </w:r>
            <w:r w:rsidRPr="00D61F7B">
              <w:rPr>
                <w:rFonts w:ascii="Times New Roman" w:eastAsia="Times New Roman" w:hAnsi="Times New Roman" w:cs="Times New Roman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u w:val="single"/>
                <w:bdr w:val="none" w:sz="0" w:space="0" w:color="auto" w:frame="1"/>
                <w:lang w:eastAsia="fr-FR"/>
              </w:rPr>
              <w:t>Autres produits :</w:t>
            </w:r>
          </w:p>
          <w:p w:rsidR="00D61F7B" w:rsidRPr="00D61F7B" w:rsidRDefault="00D61F7B" w:rsidP="00D61F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Part sociale : bénéfice de chaque associe</w:t>
            </w:r>
          </w:p>
        </w:tc>
      </w:tr>
      <w:tr w:rsidR="00D61F7B" w:rsidRPr="00D61F7B" w:rsidTr="00D61F7B"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Wingdings" w:eastAsia="Times New Roman" w:hAnsi="Wingdings" w:cs="Arial"/>
                <w:color w:val="474747"/>
                <w:sz w:val="24"/>
                <w:szCs w:val="24"/>
                <w:bdr w:val="none" w:sz="0" w:space="0" w:color="auto" w:frame="1"/>
                <w:lang w:eastAsia="fr-FR"/>
              </w:rPr>
              <w:t></w:t>
            </w:r>
            <w:r w:rsidRPr="00D61F7B">
              <w:rPr>
                <w:rFonts w:ascii="Times New Roman" w:eastAsia="Times New Roman" w:hAnsi="Times New Roman" w:cs="Times New Roman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u w:val="single"/>
                <w:bdr w:val="none" w:sz="0" w:space="0" w:color="auto" w:frame="1"/>
                <w:lang w:eastAsia="fr-FR"/>
              </w:rPr>
              <w:t>Prime d’assurance :</w:t>
            </w:r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  <w:t>-</w:t>
            </w:r>
            <w:r w:rsidRPr="00D61F7B">
              <w:rPr>
                <w:rFonts w:ascii="inherit" w:eastAsia="Times New Roman" w:hAnsi="inherit" w:cs="Arial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      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Prime d’assurance : charge constatée d’avance</w:t>
            </w:r>
          </w:p>
          <w:p w:rsidR="00D61F7B" w:rsidRPr="00D61F7B" w:rsidRDefault="00D61F7B" w:rsidP="00D61F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(non liée à l’exercice).</w:t>
            </w:r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  <w:t>-</w:t>
            </w:r>
            <w:r w:rsidRPr="00D61F7B">
              <w:rPr>
                <w:rFonts w:ascii="inherit" w:eastAsia="Times New Roman" w:hAnsi="inherit" w:cs="Arial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      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Prime d’assurance-vie souscrite sur la tète du dirigeant au profit de la société : il faut assurer l’ensemble du personnel</w:t>
            </w:r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  <w:t>-</w:t>
            </w:r>
            <w:r w:rsidRPr="00D61F7B">
              <w:rPr>
                <w:rFonts w:ascii="inherit" w:eastAsia="Times New Roman" w:hAnsi="inherit" w:cs="Arial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      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Indemnité d’assurance-vie perçus lors de décès du dirigeant : C’est un placement et non pas une charge.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F7B" w:rsidRPr="00D61F7B" w:rsidRDefault="00D61F7B" w:rsidP="00D61F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</w:p>
          <w:p w:rsidR="00D61F7B" w:rsidRPr="00D61F7B" w:rsidRDefault="00D61F7B" w:rsidP="00D61F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</w:p>
          <w:p w:rsidR="00D61F7B" w:rsidRPr="00D61F7B" w:rsidRDefault="00D61F7B" w:rsidP="00D61F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</w:p>
          <w:p w:rsidR="00D61F7B" w:rsidRPr="00D61F7B" w:rsidRDefault="00D61F7B" w:rsidP="00D61F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</w:p>
          <w:p w:rsidR="00D61F7B" w:rsidRPr="00D61F7B" w:rsidRDefault="00D61F7B" w:rsidP="00D61F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</w:p>
          <w:p w:rsidR="00D61F7B" w:rsidRPr="00D61F7B" w:rsidRDefault="00D61F7B" w:rsidP="00D61F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inherit" w:eastAsia="Times New Roman" w:hAnsi="inherit" w:cs="Arial"/>
                <w:color w:val="474747"/>
                <w:sz w:val="16"/>
                <w:szCs w:val="16"/>
                <w:bdr w:val="none" w:sz="0" w:space="0" w:color="auto" w:frame="1"/>
                <w:lang w:val="en-US" w:eastAsia="fr-FR"/>
              </w:rPr>
              <w:t>-</w:t>
            </w:r>
            <w:r w:rsidRPr="00D61F7B">
              <w:rPr>
                <w:rFonts w:ascii="inherit" w:eastAsia="Times New Roman" w:hAnsi="inherit" w:cs="Arial"/>
                <w:color w:val="474747"/>
                <w:sz w:val="14"/>
                <w:szCs w:val="14"/>
                <w:bdr w:val="none" w:sz="0" w:space="0" w:color="auto" w:frame="1"/>
                <w:lang w:val="en-US" w:eastAsia="fr-FR"/>
              </w:rPr>
              <w:t>        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val="en-US" w:eastAsia="fr-FR"/>
              </w:rPr>
              <w:t xml:space="preserve">Primes payees </w:t>
            </w:r>
            <w:proofErr w:type="spellStart"/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val="en-US" w:eastAsia="fr-FR"/>
              </w:rPr>
              <w:t>d’assurance</w:t>
            </w:r>
            <w:proofErr w:type="spellEnd"/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val="en-US" w:eastAsia="fr-FR"/>
              </w:rPr>
              <w:t>-vie</w:t>
            </w:r>
          </w:p>
          <w:p w:rsidR="00D61F7B" w:rsidRPr="00D61F7B" w:rsidRDefault="00D61F7B" w:rsidP="00D61F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</w:p>
        </w:tc>
      </w:tr>
      <w:tr w:rsidR="00D61F7B" w:rsidRPr="00D61F7B" w:rsidTr="00D61F7B"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Wingdings" w:eastAsia="Times New Roman" w:hAnsi="Wingdings" w:cs="Arial"/>
                <w:color w:val="474747"/>
                <w:sz w:val="24"/>
                <w:szCs w:val="24"/>
                <w:bdr w:val="none" w:sz="0" w:space="0" w:color="auto" w:frame="1"/>
                <w:lang w:eastAsia="fr-FR"/>
              </w:rPr>
              <w:t></w:t>
            </w:r>
            <w:r w:rsidRPr="00D61F7B">
              <w:rPr>
                <w:rFonts w:ascii="Times New Roman" w:eastAsia="Times New Roman" w:hAnsi="Times New Roman" w:cs="Times New Roman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u w:val="single"/>
                <w:bdr w:val="none" w:sz="0" w:space="0" w:color="auto" w:frame="1"/>
                <w:lang w:eastAsia="fr-FR"/>
              </w:rPr>
              <w:t>Dotations aux provisions :</w:t>
            </w:r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  <w:t>-</w:t>
            </w:r>
            <w:r w:rsidRPr="00D61F7B">
              <w:rPr>
                <w:rFonts w:ascii="inherit" w:eastAsia="Times New Roman" w:hAnsi="inherit" w:cs="Arial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      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DAP pour constitution d’un fonds de retraite.                                                                    </w:t>
            </w:r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  <w:t>-</w:t>
            </w:r>
            <w:r w:rsidRPr="00D61F7B">
              <w:rPr>
                <w:rFonts w:ascii="inherit" w:eastAsia="Times New Roman" w:hAnsi="inherit" w:cs="Arial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      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DAP pour dépréciation des créances douteuses :</w:t>
            </w:r>
          </w:p>
          <w:p w:rsidR="00D61F7B" w:rsidRPr="00D61F7B" w:rsidRDefault="00D61F7B" w:rsidP="00D61F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Évaluation forfaitaire ou estimation de manière non individualise ou non encore saisie en justice</w:t>
            </w:r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  <w:t>-</w:t>
            </w:r>
            <w:r w:rsidRPr="00D61F7B">
              <w:rPr>
                <w:rFonts w:ascii="inherit" w:eastAsia="Times New Roman" w:hAnsi="inherit" w:cs="Arial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      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DAP pour congés payes.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inherit" w:eastAsia="Times New Roman" w:hAnsi="inherit" w:cs="Arial"/>
                <w:color w:val="474747"/>
                <w:sz w:val="16"/>
                <w:szCs w:val="16"/>
                <w:bdr w:val="none" w:sz="0" w:space="0" w:color="auto" w:frame="1"/>
                <w:lang w:val="en-US" w:eastAsia="fr-FR"/>
              </w:rPr>
              <w:t>-</w:t>
            </w:r>
            <w:r w:rsidRPr="00D61F7B">
              <w:rPr>
                <w:rFonts w:ascii="inherit" w:eastAsia="Times New Roman" w:hAnsi="inherit" w:cs="Arial"/>
                <w:color w:val="474747"/>
                <w:sz w:val="14"/>
                <w:szCs w:val="14"/>
                <w:bdr w:val="none" w:sz="0" w:space="0" w:color="auto" w:frame="1"/>
                <w:lang w:val="en-US" w:eastAsia="fr-FR"/>
              </w:rPr>
              <w:t>        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val="en-US" w:eastAsia="fr-FR"/>
              </w:rPr>
              <w:t>D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é</w:t>
            </w:r>
            <w:proofErr w:type="spellStart"/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val="en-US" w:eastAsia="fr-FR"/>
              </w:rPr>
              <w:t>gr</w:t>
            </w:r>
            <w:proofErr w:type="spellEnd"/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è</w:t>
            </w:r>
            <w:proofErr w:type="spellStart"/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val="en-US" w:eastAsia="fr-FR"/>
              </w:rPr>
              <w:t>vement</w:t>
            </w:r>
            <w:proofErr w:type="spellEnd"/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val="en-US" w:eastAsia="fr-FR"/>
              </w:rPr>
              <w:t xml:space="preserve"> de </w:t>
            </w:r>
            <w:proofErr w:type="spellStart"/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val="en-US" w:eastAsia="fr-FR"/>
              </w:rPr>
              <w:t>l’IS</w:t>
            </w:r>
            <w:proofErr w:type="spellEnd"/>
          </w:p>
        </w:tc>
      </w:tr>
      <w:tr w:rsidR="00D61F7B" w:rsidRPr="00D61F7B" w:rsidTr="00D61F7B"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Wingdings" w:eastAsia="Times New Roman" w:hAnsi="Wingdings" w:cs="Arial"/>
                <w:color w:val="474747"/>
                <w:sz w:val="28"/>
                <w:szCs w:val="28"/>
                <w:bdr w:val="none" w:sz="0" w:space="0" w:color="auto" w:frame="1"/>
                <w:lang w:val="en-US" w:eastAsia="fr-FR"/>
              </w:rPr>
              <w:t></w:t>
            </w:r>
            <w:r w:rsidRPr="00D61F7B">
              <w:rPr>
                <w:rFonts w:ascii="Times New Roman" w:eastAsia="Times New Roman" w:hAnsi="Times New Roman" w:cs="Times New Roman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28"/>
                <w:szCs w:val="28"/>
                <w:u w:val="single"/>
                <w:bdr w:val="none" w:sz="0" w:space="0" w:color="auto" w:frame="1"/>
                <w:lang w:eastAsia="fr-FR"/>
              </w:rPr>
              <w:t>Provisions :</w:t>
            </w:r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  <w:t>-</w:t>
            </w:r>
            <w:r w:rsidRPr="00D61F7B">
              <w:rPr>
                <w:rFonts w:ascii="inherit" w:eastAsia="Times New Roman" w:hAnsi="inherit" w:cs="Arial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      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Provision pour risque d’incendie (il s’agit d’un risque assurable).</w:t>
            </w:r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  <w:t>-</w:t>
            </w:r>
            <w:r w:rsidRPr="00D61F7B">
              <w:rPr>
                <w:rFonts w:ascii="inherit" w:eastAsia="Times New Roman" w:hAnsi="inherit" w:cs="Arial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      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Provision pour dépréciation des créances : évaluation forfaitaire</w:t>
            </w:r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  <w:t>-</w:t>
            </w:r>
            <w:r w:rsidRPr="00D61F7B">
              <w:rPr>
                <w:rFonts w:ascii="inherit" w:eastAsia="Times New Roman" w:hAnsi="inherit" w:cs="Arial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      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Provision pour risque divers (le risque doit être nettement précisé).</w:t>
            </w:r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  <w:t>-</w:t>
            </w:r>
            <w:r w:rsidRPr="00D61F7B">
              <w:rPr>
                <w:rFonts w:ascii="inherit" w:eastAsia="Times New Roman" w:hAnsi="inherit" w:cs="Arial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      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Provision pour créances douteuses (en l’absence d’individualisation).</w:t>
            </w:r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  <w:t>-</w:t>
            </w:r>
            <w:r w:rsidRPr="00D61F7B">
              <w:rPr>
                <w:rFonts w:ascii="inherit" w:eastAsia="Times New Roman" w:hAnsi="inherit" w:cs="Arial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      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Provision pour hausse des prix.</w:t>
            </w:r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  <w:t>-</w:t>
            </w:r>
            <w:r w:rsidRPr="00D61F7B">
              <w:rPr>
                <w:rFonts w:ascii="inherit" w:eastAsia="Times New Roman" w:hAnsi="inherit" w:cs="Arial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      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Provision pour garantis données aux clients.</w:t>
            </w:r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  <w:t>-</w:t>
            </w:r>
            <w:r w:rsidRPr="00D61F7B">
              <w:rPr>
                <w:rFonts w:ascii="inherit" w:eastAsia="Times New Roman" w:hAnsi="inherit" w:cs="Arial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      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Provision pour stocks : évaluation forfaitaire.</w:t>
            </w:r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  <w:t>-</w:t>
            </w:r>
            <w:r w:rsidRPr="00D61F7B">
              <w:rPr>
                <w:rFonts w:ascii="inherit" w:eastAsia="Times New Roman" w:hAnsi="inherit" w:cs="Arial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      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Provision des immobilisations amortissables.</w:t>
            </w:r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  <w:t>-</w:t>
            </w:r>
            <w:r w:rsidRPr="00D61F7B">
              <w:rPr>
                <w:rFonts w:ascii="inherit" w:eastAsia="Times New Roman" w:hAnsi="inherit" w:cs="Arial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      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Provision pour perte de change.</w:t>
            </w:r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  <w:t>-</w:t>
            </w:r>
            <w:r w:rsidRPr="00D61F7B">
              <w:rPr>
                <w:rFonts w:ascii="inherit" w:eastAsia="Times New Roman" w:hAnsi="inherit" w:cs="Arial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      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Provision pour indemnités de départ à la retraite.</w:t>
            </w:r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  <w:t>-</w:t>
            </w:r>
            <w:r w:rsidRPr="00D61F7B">
              <w:rPr>
                <w:rFonts w:ascii="inherit" w:eastAsia="Times New Roman" w:hAnsi="inherit" w:cs="Arial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      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Provision pour licenciement  pour motif économique</w:t>
            </w:r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  <w:t>-</w:t>
            </w:r>
            <w:r w:rsidRPr="00D61F7B">
              <w:rPr>
                <w:rFonts w:ascii="inherit" w:eastAsia="Times New Roman" w:hAnsi="inherit" w:cs="Arial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      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Provision pour amendes et pénalités.</w:t>
            </w:r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  <w:t>-</w:t>
            </w:r>
            <w:r w:rsidRPr="00D61F7B">
              <w:rPr>
                <w:rFonts w:ascii="inherit" w:eastAsia="Times New Roman" w:hAnsi="inherit" w:cs="Arial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      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val="en-US" w:eastAsia="fr-FR"/>
              </w:rPr>
              <w:t xml:space="preserve">Provisions pour </w:t>
            </w:r>
            <w:proofErr w:type="spellStart"/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val="en-US" w:eastAsia="fr-FR"/>
              </w:rPr>
              <w:t>propre</w:t>
            </w:r>
            <w:proofErr w:type="spellEnd"/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val="en-US" w:eastAsia="fr-FR"/>
              </w:rPr>
              <w:t xml:space="preserve"> </w:t>
            </w:r>
            <w:proofErr w:type="spellStart"/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val="en-US" w:eastAsia="fr-FR"/>
              </w:rPr>
              <w:t>assureur</w:t>
            </w:r>
            <w:proofErr w:type="spellEnd"/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val="en-US" w:eastAsia="fr-FR"/>
              </w:rPr>
              <w:t>.</w:t>
            </w:r>
          </w:p>
          <w:p w:rsidR="00D61F7B" w:rsidRPr="00D61F7B" w:rsidRDefault="00D61F7B" w:rsidP="00D61F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</w:p>
          <w:p w:rsidR="00D61F7B" w:rsidRPr="00D61F7B" w:rsidRDefault="00D61F7B" w:rsidP="00D61F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</w:p>
          <w:p w:rsidR="00D61F7B" w:rsidRPr="00D61F7B" w:rsidRDefault="00D61F7B" w:rsidP="00D61F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F7B" w:rsidRPr="00D61F7B" w:rsidRDefault="00D61F7B" w:rsidP="00D61F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</w:p>
          <w:p w:rsidR="00D61F7B" w:rsidRPr="00D61F7B" w:rsidRDefault="00D61F7B" w:rsidP="00D61F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</w:p>
          <w:p w:rsidR="00D61F7B" w:rsidRPr="00D61F7B" w:rsidRDefault="00D61F7B" w:rsidP="00D61F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</w:p>
          <w:p w:rsidR="00D61F7B" w:rsidRPr="00D61F7B" w:rsidRDefault="00D61F7B" w:rsidP="00D61F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</w:p>
          <w:p w:rsidR="00D61F7B" w:rsidRPr="00D61F7B" w:rsidRDefault="00D61F7B" w:rsidP="00D61F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</w:p>
          <w:p w:rsidR="00D61F7B" w:rsidRPr="00D61F7B" w:rsidRDefault="00D61F7B" w:rsidP="00D61F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</w:p>
          <w:p w:rsidR="00D61F7B" w:rsidRPr="00D61F7B" w:rsidRDefault="00D61F7B" w:rsidP="00D61F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</w:p>
          <w:p w:rsidR="00D61F7B" w:rsidRPr="00D61F7B" w:rsidRDefault="00D61F7B" w:rsidP="00D61F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</w:p>
          <w:p w:rsidR="00D61F7B" w:rsidRPr="00D61F7B" w:rsidRDefault="00D61F7B" w:rsidP="00D61F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</w:p>
          <w:p w:rsidR="00D61F7B" w:rsidRPr="00D61F7B" w:rsidRDefault="00D61F7B" w:rsidP="00D61F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</w:p>
          <w:p w:rsidR="00D61F7B" w:rsidRPr="00D61F7B" w:rsidRDefault="00D61F7B" w:rsidP="00D61F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</w:p>
          <w:p w:rsidR="00D61F7B" w:rsidRPr="00D61F7B" w:rsidRDefault="00D61F7B" w:rsidP="00D61F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</w:p>
          <w:p w:rsidR="00D61F7B" w:rsidRPr="00D61F7B" w:rsidRDefault="00D61F7B" w:rsidP="00D61F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</w:p>
          <w:p w:rsidR="00D61F7B" w:rsidRPr="00D61F7B" w:rsidRDefault="00D61F7B" w:rsidP="00D61F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</w:p>
          <w:p w:rsidR="00D61F7B" w:rsidRPr="00D61F7B" w:rsidRDefault="00D61F7B" w:rsidP="00D61F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</w:p>
          <w:p w:rsidR="00D61F7B" w:rsidRPr="00D61F7B" w:rsidRDefault="00D61F7B" w:rsidP="00D61F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</w:p>
          <w:p w:rsidR="00D61F7B" w:rsidRPr="00D61F7B" w:rsidRDefault="00D61F7B" w:rsidP="00D61F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</w:p>
          <w:p w:rsidR="00D61F7B" w:rsidRPr="00D61F7B" w:rsidRDefault="00D61F7B" w:rsidP="00D61F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</w:p>
          <w:p w:rsidR="00D61F7B" w:rsidRPr="00D61F7B" w:rsidRDefault="00D61F7B" w:rsidP="00D61F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</w:p>
          <w:p w:rsidR="00D61F7B" w:rsidRPr="00D61F7B" w:rsidRDefault="00D61F7B" w:rsidP="00D61F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</w:p>
        </w:tc>
      </w:tr>
      <w:tr w:rsidR="00D61F7B" w:rsidRPr="00D61F7B" w:rsidTr="00D61F7B"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Wingdings" w:eastAsia="Times New Roman" w:hAnsi="Wingdings" w:cs="Arial"/>
                <w:color w:val="474747"/>
                <w:sz w:val="24"/>
                <w:szCs w:val="24"/>
                <w:bdr w:val="none" w:sz="0" w:space="0" w:color="auto" w:frame="1"/>
                <w:lang w:eastAsia="fr-FR"/>
              </w:rPr>
              <w:t></w:t>
            </w:r>
            <w:r w:rsidRPr="00D61F7B">
              <w:rPr>
                <w:rFonts w:ascii="Times New Roman" w:eastAsia="Times New Roman" w:hAnsi="Times New Roman" w:cs="Times New Roman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u w:val="single"/>
                <w:bdr w:val="none" w:sz="0" w:space="0" w:color="auto" w:frame="1"/>
                <w:lang w:eastAsia="fr-FR"/>
              </w:rPr>
              <w:t>Voiture de tourisme :</w:t>
            </w:r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  <w:t>-</w:t>
            </w:r>
            <w:r w:rsidRPr="00D61F7B">
              <w:rPr>
                <w:rFonts w:ascii="inherit" w:eastAsia="Times New Roman" w:hAnsi="inherit" w:cs="Arial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      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Les redevances de crédit-bail :</w:t>
            </w:r>
          </w:p>
          <w:p w:rsidR="00D61F7B" w:rsidRPr="00D61F7B" w:rsidRDefault="00D61F7B" w:rsidP="00D61F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 xml:space="preserve">Limite : 300.000 </w:t>
            </w:r>
            <w:proofErr w:type="spellStart"/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dhTTC</w:t>
            </w:r>
            <w:proofErr w:type="spellEnd"/>
          </w:p>
          <w:p w:rsidR="00D61F7B" w:rsidRPr="00D61F7B" w:rsidRDefault="00D61F7B" w:rsidP="00D61F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Durée du contrat : 5ans</w:t>
            </w:r>
          </w:p>
          <w:p w:rsidR="00D61F7B" w:rsidRPr="00D61F7B" w:rsidRDefault="00D61F7B" w:rsidP="00D61F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 xml:space="preserve"> Valeur du véhicule : 550.000 </w:t>
            </w:r>
            <w:proofErr w:type="spellStart"/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dh</w:t>
            </w:r>
            <w:proofErr w:type="spellEnd"/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 xml:space="preserve"> HT</w:t>
            </w:r>
          </w:p>
          <w:p w:rsidR="00D61F7B" w:rsidRPr="00D61F7B" w:rsidRDefault="00D61F7B" w:rsidP="00D61F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MT acquisition&gt; limite</w:t>
            </w:r>
          </w:p>
          <w:p w:rsidR="00D61F7B" w:rsidRPr="00D61F7B" w:rsidRDefault="00D61F7B" w:rsidP="00D61F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              : 550.000*20%*</w:t>
            </w:r>
            <w:r w:rsidRPr="00D61F7B">
              <w:rPr>
                <w:rFonts w:ascii="Calibri" w:eastAsia="Times New Roman" w:hAnsi="Calibri" w:cs="Calibri"/>
                <w:color w:val="474747"/>
                <w:bdr w:val="none" w:sz="0" w:space="0" w:color="auto" w:frame="1"/>
                <w:lang w:eastAsia="fr-FR"/>
              </w:rPr>
              <w:t>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 =</w:t>
            </w:r>
          </w:p>
          <w:p w:rsidR="00D61F7B" w:rsidRPr="00D61F7B" w:rsidRDefault="00D61F7B" w:rsidP="00D61F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-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u w:val="single"/>
                <w:bdr w:val="none" w:sz="0" w:space="0" w:color="auto" w:frame="1"/>
                <w:lang w:eastAsia="fr-FR"/>
              </w:rPr>
              <w:t>Limite : 300.00020%*</w:t>
            </w:r>
            <w:r w:rsidRPr="00D61F7B">
              <w:rPr>
                <w:rFonts w:ascii="Calibri" w:eastAsia="Times New Roman" w:hAnsi="Calibri" w:cs="Calibri"/>
                <w:color w:val="474747"/>
                <w:bdr w:val="none" w:sz="0" w:space="0" w:color="auto" w:frame="1"/>
                <w:lang w:eastAsia="fr-FR"/>
              </w:rPr>
              <w:t>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u w:val="single"/>
                <w:bdr w:val="none" w:sz="0" w:space="0" w:color="auto" w:frame="1"/>
                <w:lang w:eastAsia="fr-FR"/>
              </w:rPr>
              <w:t> =</w:t>
            </w:r>
          </w:p>
          <w:p w:rsidR="00D61F7B" w:rsidRPr="00D61F7B" w:rsidRDefault="00D61F7B" w:rsidP="00D61F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= Excédant : CH.N.D</w:t>
            </w:r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  <w:t>-</w:t>
            </w:r>
            <w:r w:rsidRPr="00D61F7B">
              <w:rPr>
                <w:rFonts w:ascii="inherit" w:eastAsia="Times New Roman" w:hAnsi="inherit" w:cs="Arial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      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Amortissement (voiture de tourisme) :</w:t>
            </w:r>
          </w:p>
          <w:p w:rsidR="00D61F7B" w:rsidRPr="00D61F7B" w:rsidRDefault="00D61F7B" w:rsidP="00D61F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lastRenderedPageBreak/>
              <w:t>Valeur du véhicule : 349200&gt;limite 300000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20"/>
                <w:szCs w:val="20"/>
                <w:bdr w:val="none" w:sz="0" w:space="0" w:color="auto" w:frame="1"/>
                <w:lang w:eastAsia="fr-FR"/>
              </w:rPr>
              <w:t>TTC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 </w:t>
            </w:r>
          </w:p>
          <w:p w:rsidR="00D61F7B" w:rsidRPr="00D61F7B" w:rsidRDefault="00D61F7B" w:rsidP="00D61F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Amortissement passée en comptabilité :…= 58200</w:t>
            </w:r>
          </w:p>
          <w:p w:rsidR="00D61F7B" w:rsidRPr="00D61F7B" w:rsidRDefault="00D61F7B" w:rsidP="00D61F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-Amortissement acceptée : 300000 *0.2 *   = 45000.</w:t>
            </w:r>
          </w:p>
          <w:p w:rsidR="00D61F7B" w:rsidRPr="00D61F7B" w:rsidRDefault="00D61F7B" w:rsidP="00D61F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→ à réintégrer : 58200-45000 = 13200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F7B" w:rsidRPr="00D61F7B" w:rsidRDefault="00D61F7B" w:rsidP="00D61F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</w:p>
        </w:tc>
      </w:tr>
      <w:tr w:rsidR="00D61F7B" w:rsidRPr="00D61F7B" w:rsidTr="00D61F7B"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Wingdings" w:eastAsia="Times New Roman" w:hAnsi="Wingdings" w:cs="Arial"/>
                <w:color w:val="474747"/>
                <w:sz w:val="24"/>
                <w:szCs w:val="24"/>
                <w:bdr w:val="none" w:sz="0" w:space="0" w:color="auto" w:frame="1"/>
                <w:lang w:eastAsia="fr-FR"/>
              </w:rPr>
              <w:lastRenderedPageBreak/>
              <w:t></w:t>
            </w:r>
            <w:r w:rsidRPr="00D61F7B">
              <w:rPr>
                <w:rFonts w:ascii="Times New Roman" w:eastAsia="Times New Roman" w:hAnsi="Times New Roman" w:cs="Times New Roman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u w:val="single"/>
                <w:bdr w:val="none" w:sz="0" w:space="0" w:color="auto" w:frame="1"/>
                <w:lang w:eastAsia="fr-FR"/>
              </w:rPr>
              <w:t>Impôts :</w:t>
            </w:r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inherit" w:eastAsia="Times New Roman" w:hAnsi="inherit" w:cs="Arial"/>
                <w:color w:val="474747"/>
                <w:sz w:val="24"/>
                <w:szCs w:val="24"/>
                <w:bdr w:val="none" w:sz="0" w:space="0" w:color="auto" w:frame="1"/>
                <w:lang w:eastAsia="fr-FR"/>
              </w:rPr>
              <w:t>-</w:t>
            </w:r>
            <w:r w:rsidRPr="00D61F7B">
              <w:rPr>
                <w:rFonts w:ascii="inherit" w:eastAsia="Times New Roman" w:hAnsi="inherit" w:cs="Arial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      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IS (acomptes provisionnels)</w:t>
            </w:r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inherit" w:eastAsia="Times New Roman" w:hAnsi="inherit" w:cs="Arial"/>
                <w:color w:val="474747"/>
                <w:sz w:val="24"/>
                <w:szCs w:val="24"/>
                <w:bdr w:val="none" w:sz="0" w:space="0" w:color="auto" w:frame="1"/>
                <w:lang w:eastAsia="fr-FR"/>
              </w:rPr>
              <w:t>-</w:t>
            </w:r>
            <w:r w:rsidRPr="00D61F7B">
              <w:rPr>
                <w:rFonts w:ascii="inherit" w:eastAsia="Times New Roman" w:hAnsi="inherit" w:cs="Arial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      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IR salarial : n’est pas à la charge de l’entreprise</w:t>
            </w:r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inherit" w:eastAsia="Times New Roman" w:hAnsi="inherit" w:cs="Arial"/>
                <w:color w:val="474747"/>
                <w:sz w:val="24"/>
                <w:szCs w:val="24"/>
                <w:bdr w:val="none" w:sz="0" w:space="0" w:color="auto" w:frame="1"/>
                <w:lang w:eastAsia="fr-FR"/>
              </w:rPr>
              <w:t>-</w:t>
            </w:r>
            <w:r w:rsidRPr="00D61F7B">
              <w:rPr>
                <w:rFonts w:ascii="inherit" w:eastAsia="Times New Roman" w:hAnsi="inherit" w:cs="Arial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      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bdr w:val="none" w:sz="0" w:space="0" w:color="auto" w:frame="1"/>
                <w:lang w:eastAsia="fr-FR"/>
              </w:rPr>
              <w:t>TVA</w:t>
            </w:r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  <w:t>-</w:t>
            </w:r>
            <w:r w:rsidRPr="00D61F7B">
              <w:rPr>
                <w:rFonts w:ascii="inherit" w:eastAsia="Times New Roman" w:hAnsi="inherit" w:cs="Arial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      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Droit de douane relatif à l’importation  d’une immobilisation : à ajouter au cout d’acquisition de l’immobilisation …&gt; non pas une charge : V.O</w:t>
            </w:r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  <w:t>-</w:t>
            </w:r>
            <w:r w:rsidRPr="00D61F7B">
              <w:rPr>
                <w:rFonts w:ascii="inherit" w:eastAsia="Times New Roman" w:hAnsi="inherit" w:cs="Arial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      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Impôts et taxes payes mais non liée à l’exploitation (Exemple : Taxe d’habitation de la villa du directeur)</w:t>
            </w:r>
          </w:p>
          <w:p w:rsidR="00D61F7B" w:rsidRPr="00D61F7B" w:rsidRDefault="00D61F7B" w:rsidP="00D61F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</w:p>
          <w:p w:rsidR="00D61F7B" w:rsidRPr="00D61F7B" w:rsidRDefault="00D61F7B" w:rsidP="00D61F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F7B" w:rsidRPr="00D61F7B" w:rsidRDefault="00D61F7B" w:rsidP="00D61F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</w:p>
          <w:p w:rsidR="00D61F7B" w:rsidRPr="00D61F7B" w:rsidRDefault="00D61F7B" w:rsidP="00D61F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</w:p>
          <w:p w:rsidR="00D61F7B" w:rsidRPr="00D61F7B" w:rsidRDefault="00D61F7B" w:rsidP="00D61F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</w:p>
          <w:p w:rsidR="00D61F7B" w:rsidRPr="00D61F7B" w:rsidRDefault="00D61F7B" w:rsidP="00D61F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</w:p>
          <w:p w:rsidR="00D61F7B" w:rsidRPr="00D61F7B" w:rsidRDefault="00D61F7B" w:rsidP="00D61F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  <w:t>-</w:t>
            </w:r>
            <w:r w:rsidRPr="00D61F7B">
              <w:rPr>
                <w:rFonts w:ascii="inherit" w:eastAsia="Times New Roman" w:hAnsi="inherit" w:cs="Arial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      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D.E.A de l’immobilisation = VO * 10% *</w:t>
            </w:r>
            <w:r w:rsidRPr="00D61F7B">
              <w:rPr>
                <w:rFonts w:ascii="Calibri" w:eastAsia="Times New Roman" w:hAnsi="Calibri" w:cs="Calibri"/>
                <w:color w:val="474747"/>
                <w:bdr w:val="none" w:sz="0" w:space="0" w:color="auto" w:frame="1"/>
                <w:lang w:eastAsia="fr-FR"/>
              </w:rPr>
              <w:t> </w:t>
            </w:r>
          </w:p>
        </w:tc>
      </w:tr>
      <w:tr w:rsidR="00D61F7B" w:rsidRPr="00D61F7B" w:rsidTr="00D61F7B"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Wingdings" w:eastAsia="Times New Roman" w:hAnsi="Wingdings" w:cs="Arial"/>
                <w:color w:val="474747"/>
                <w:sz w:val="24"/>
                <w:szCs w:val="24"/>
                <w:bdr w:val="none" w:sz="0" w:space="0" w:color="auto" w:frame="1"/>
                <w:lang w:eastAsia="fr-FR"/>
              </w:rPr>
              <w:t></w:t>
            </w:r>
            <w:r w:rsidRPr="00D61F7B">
              <w:rPr>
                <w:rFonts w:ascii="Times New Roman" w:eastAsia="Times New Roman" w:hAnsi="Times New Roman" w:cs="Times New Roman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u w:val="single"/>
                <w:bdr w:val="none" w:sz="0" w:space="0" w:color="auto" w:frame="1"/>
                <w:lang w:eastAsia="fr-FR"/>
              </w:rPr>
              <w:t>Cadeaux publicitaires :</w:t>
            </w:r>
          </w:p>
          <w:p w:rsidR="00D61F7B" w:rsidRPr="00D61F7B" w:rsidRDefault="00D61F7B" w:rsidP="00D61F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CH.N.D si :</w:t>
            </w:r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  <w:t>-</w:t>
            </w:r>
            <w:r w:rsidRPr="00D61F7B">
              <w:rPr>
                <w:rFonts w:ascii="inherit" w:eastAsia="Times New Roman" w:hAnsi="inherit" w:cs="Arial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      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 xml:space="preserve">Prix unitaire (TTC) &gt; 100 </w:t>
            </w:r>
            <w:proofErr w:type="spellStart"/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dh</w:t>
            </w:r>
            <w:proofErr w:type="spellEnd"/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  <w:t>-</w:t>
            </w:r>
            <w:r w:rsidRPr="00D61F7B">
              <w:rPr>
                <w:rFonts w:ascii="inherit" w:eastAsia="Times New Roman" w:hAnsi="inherit" w:cs="Arial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      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S’il ne porte pas soit le nom, le sigle de la société ou la marque de fabrique</w:t>
            </w:r>
          </w:p>
          <w:p w:rsidR="00D61F7B" w:rsidRPr="00D61F7B" w:rsidRDefault="00D61F7B" w:rsidP="00D61F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</w:p>
          <w:p w:rsidR="00D61F7B" w:rsidRPr="00D61F7B" w:rsidRDefault="00D61F7B" w:rsidP="00D61F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F7B" w:rsidRPr="00D61F7B" w:rsidRDefault="00D61F7B" w:rsidP="00D61F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</w:p>
        </w:tc>
      </w:tr>
      <w:tr w:rsidR="00D61F7B" w:rsidRPr="00D61F7B" w:rsidTr="00D61F7B"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Wingdings" w:eastAsia="Times New Roman" w:hAnsi="Wingdings" w:cs="Arial"/>
                <w:color w:val="474747"/>
                <w:sz w:val="24"/>
                <w:szCs w:val="24"/>
                <w:bdr w:val="none" w:sz="0" w:space="0" w:color="auto" w:frame="1"/>
                <w:lang w:eastAsia="fr-FR"/>
              </w:rPr>
              <w:t></w:t>
            </w:r>
            <w:r w:rsidRPr="00D61F7B">
              <w:rPr>
                <w:rFonts w:ascii="Times New Roman" w:eastAsia="Times New Roman" w:hAnsi="Times New Roman" w:cs="Times New Roman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u w:val="single"/>
                <w:bdr w:val="none" w:sz="0" w:space="0" w:color="auto" w:frame="1"/>
                <w:lang w:eastAsia="fr-FR"/>
              </w:rPr>
              <w:t>Divers :</w:t>
            </w:r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  <w:t>-</w:t>
            </w:r>
            <w:r w:rsidRPr="00D61F7B">
              <w:rPr>
                <w:rFonts w:ascii="inherit" w:eastAsia="Times New Roman" w:hAnsi="inherit" w:cs="Arial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      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Erreurs comptables :</w:t>
            </w:r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Wingdings" w:eastAsia="Times New Roman" w:hAnsi="Wingdings" w:cs="Arial"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</w:t>
            </w:r>
            <w:r w:rsidRPr="00D61F7B">
              <w:rPr>
                <w:rFonts w:ascii="Times New Roman" w:eastAsia="Times New Roman" w:hAnsi="Times New Roman" w:cs="Times New Roman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Mt des charges comptabilisées TTC au lieu de l’HT→TVA : CH.N.D</w:t>
            </w:r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Wingdings" w:eastAsia="Times New Roman" w:hAnsi="Wingdings" w:cs="Arial"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</w:t>
            </w:r>
            <w:r w:rsidRPr="00D61F7B">
              <w:rPr>
                <w:rFonts w:ascii="Times New Roman" w:eastAsia="Times New Roman" w:hAnsi="Times New Roman" w:cs="Times New Roman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Amortissement du terrain</w:t>
            </w:r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Wingdings" w:eastAsia="Times New Roman" w:hAnsi="Wingdings" w:cs="Arial"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</w:t>
            </w:r>
            <w:r w:rsidRPr="00D61F7B">
              <w:rPr>
                <w:rFonts w:ascii="Times New Roman" w:eastAsia="Times New Roman" w:hAnsi="Times New Roman" w:cs="Times New Roman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Assurance au profit du dirigeant : non liée au besoin de l’exploitation de l entreprise.</w:t>
            </w:r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Wingdings" w:eastAsia="Times New Roman" w:hAnsi="Wingdings" w:cs="Arial"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</w:t>
            </w:r>
            <w:r w:rsidRPr="00D61F7B">
              <w:rPr>
                <w:rFonts w:ascii="Times New Roman" w:eastAsia="Times New Roman" w:hAnsi="Times New Roman" w:cs="Times New Roman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Erreur dans le calcul</w:t>
            </w:r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Wingdings" w:eastAsia="Times New Roman" w:hAnsi="Wingdings" w:cs="Arial"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</w:t>
            </w:r>
            <w:r w:rsidRPr="00D61F7B">
              <w:rPr>
                <w:rFonts w:ascii="Times New Roman" w:eastAsia="Times New Roman" w:hAnsi="Times New Roman" w:cs="Times New Roman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DEA omise ou en double</w:t>
            </w:r>
          </w:p>
          <w:p w:rsidR="00D61F7B" w:rsidRPr="00D61F7B" w:rsidRDefault="00D61F7B" w:rsidP="00D61F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</w:p>
          <w:p w:rsidR="00D61F7B" w:rsidRPr="00D61F7B" w:rsidRDefault="00D61F7B" w:rsidP="00D61F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F7B" w:rsidRPr="00D61F7B" w:rsidRDefault="00D61F7B" w:rsidP="00D61F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</w:p>
        </w:tc>
      </w:tr>
      <w:tr w:rsidR="00D61F7B" w:rsidRPr="00D61F7B" w:rsidTr="00D61F7B"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Wingdings" w:eastAsia="Times New Roman" w:hAnsi="Wingdings" w:cs="Arial"/>
                <w:color w:val="474747"/>
                <w:sz w:val="24"/>
                <w:szCs w:val="24"/>
                <w:bdr w:val="none" w:sz="0" w:space="0" w:color="auto" w:frame="1"/>
                <w:lang w:eastAsia="fr-FR"/>
              </w:rPr>
              <w:t></w:t>
            </w:r>
            <w:r w:rsidRPr="00D61F7B">
              <w:rPr>
                <w:rFonts w:ascii="Times New Roman" w:eastAsia="Times New Roman" w:hAnsi="Times New Roman" w:cs="Times New Roman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u w:val="single"/>
                <w:bdr w:val="none" w:sz="0" w:space="0" w:color="auto" w:frame="1"/>
                <w:lang w:eastAsia="fr-FR"/>
              </w:rPr>
              <w:t>Immobilisations comptabilisées parmi les charges :</w:t>
            </w:r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  <w:t>-</w:t>
            </w:r>
            <w:r w:rsidRPr="00D61F7B">
              <w:rPr>
                <w:rFonts w:ascii="inherit" w:eastAsia="Times New Roman" w:hAnsi="inherit" w:cs="Arial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      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Loyers donnés sous forme de garantie : dépôts et cautionnements versés</w:t>
            </w:r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  <w:t>-</w:t>
            </w:r>
            <w:r w:rsidRPr="00D61F7B">
              <w:rPr>
                <w:rFonts w:ascii="inherit" w:eastAsia="Times New Roman" w:hAnsi="inherit" w:cs="Arial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      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Aménagement du dépôt : agencement et aménagement de la construction(2)</w:t>
            </w:r>
          </w:p>
          <w:p w:rsidR="00D61F7B" w:rsidRPr="00D61F7B" w:rsidRDefault="00D61F7B" w:rsidP="00D61F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F7B" w:rsidRPr="00D61F7B" w:rsidRDefault="00D61F7B" w:rsidP="00D61F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</w:p>
          <w:p w:rsidR="00D61F7B" w:rsidRPr="00D61F7B" w:rsidRDefault="00D61F7B" w:rsidP="00D61F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</w:p>
          <w:p w:rsidR="00D61F7B" w:rsidRPr="00D61F7B" w:rsidRDefault="00D61F7B" w:rsidP="00D61F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</w:p>
          <w:p w:rsidR="00D61F7B" w:rsidRPr="00D61F7B" w:rsidRDefault="00D61F7B" w:rsidP="00D61F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</w:p>
          <w:p w:rsidR="00D61F7B" w:rsidRPr="00D61F7B" w:rsidRDefault="00D61F7B" w:rsidP="00D61F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proofErr w:type="spellStart"/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D.E.Amortissement</w:t>
            </w:r>
            <w:proofErr w:type="spellEnd"/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 xml:space="preserve"> de l’immobilisation= VO * 10% *</w:t>
            </w:r>
            <w:r w:rsidRPr="00D61F7B">
              <w:rPr>
                <w:rFonts w:ascii="Calibri" w:eastAsia="Times New Roman" w:hAnsi="Calibri" w:cs="Calibri"/>
                <w:color w:val="474747"/>
                <w:bdr w:val="none" w:sz="0" w:space="0" w:color="auto" w:frame="1"/>
                <w:lang w:eastAsia="fr-FR"/>
              </w:rPr>
              <w:t> </w:t>
            </w:r>
          </w:p>
        </w:tc>
      </w:tr>
      <w:tr w:rsidR="00D61F7B" w:rsidRPr="00D61F7B" w:rsidTr="00D61F7B"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  <w:t>-</w:t>
            </w:r>
            <w:r w:rsidRPr="00D61F7B">
              <w:rPr>
                <w:rFonts w:ascii="inherit" w:eastAsia="Times New Roman" w:hAnsi="inherit" w:cs="Arial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      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Amortissement différée : Dotation sur exercice antérieur non comptabilisée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F7B" w:rsidRPr="00D61F7B" w:rsidRDefault="00D61F7B" w:rsidP="00D61F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</w:p>
        </w:tc>
      </w:tr>
      <w:tr w:rsidR="00D61F7B" w:rsidRPr="00D61F7B" w:rsidTr="00D61F7B"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Wingdings" w:eastAsia="Times New Roman" w:hAnsi="Wingdings" w:cs="Arial"/>
                <w:color w:val="474747"/>
                <w:sz w:val="24"/>
                <w:szCs w:val="24"/>
                <w:bdr w:val="none" w:sz="0" w:space="0" w:color="auto" w:frame="1"/>
                <w:lang w:eastAsia="fr-FR"/>
              </w:rPr>
              <w:t></w:t>
            </w:r>
            <w:r w:rsidRPr="00D61F7B">
              <w:rPr>
                <w:rFonts w:ascii="Times New Roman" w:eastAsia="Times New Roman" w:hAnsi="Times New Roman" w:cs="Times New Roman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u w:val="single"/>
                <w:bdr w:val="none" w:sz="0" w:space="0" w:color="auto" w:frame="1"/>
                <w:lang w:eastAsia="fr-FR"/>
              </w:rPr>
              <w:t>Les salaires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bdr w:val="none" w:sz="0" w:space="0" w:color="auto" w:frame="1"/>
                <w:lang w:eastAsia="fr-FR"/>
              </w:rPr>
              <w:t> :</w:t>
            </w:r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  <w:t>-</w:t>
            </w:r>
            <w:r w:rsidRPr="00D61F7B">
              <w:rPr>
                <w:rFonts w:ascii="inherit" w:eastAsia="Times New Roman" w:hAnsi="inherit" w:cs="Arial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      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Rémunération d’un salarié n’exerçant  aucune fonction dans l’entreprise.</w:t>
            </w:r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  <w:t>-</w:t>
            </w:r>
            <w:r w:rsidRPr="00D61F7B">
              <w:rPr>
                <w:rFonts w:ascii="inherit" w:eastAsia="Times New Roman" w:hAnsi="inherit" w:cs="Arial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      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Cotisation du salarié sans fonction.</w:t>
            </w:r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  <w:t>-</w:t>
            </w:r>
            <w:r w:rsidRPr="00D61F7B">
              <w:rPr>
                <w:rFonts w:ascii="inherit" w:eastAsia="Times New Roman" w:hAnsi="inherit" w:cs="Arial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      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Tantièmes ordinaires (prélèvement sur le bénéfice) :</w:t>
            </w:r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Wingdings" w:eastAsia="Times New Roman" w:hAnsi="Wingdings" w:cs="Arial"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</w:t>
            </w:r>
            <w:r w:rsidRPr="00D61F7B">
              <w:rPr>
                <w:rFonts w:ascii="Times New Roman" w:eastAsia="Times New Roman" w:hAnsi="Times New Roman" w:cs="Times New Roman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Prévus par les statuts.</w:t>
            </w:r>
          </w:p>
          <w:p w:rsidR="00D61F7B" w:rsidRPr="00D61F7B" w:rsidRDefault="00D61F7B" w:rsidP="00D61F7B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  <w:r w:rsidRPr="00D61F7B">
              <w:rPr>
                <w:rFonts w:ascii="Wingdings" w:eastAsia="Times New Roman" w:hAnsi="Wingdings" w:cs="Arial"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</w:t>
            </w:r>
            <w:r w:rsidRPr="00D61F7B">
              <w:rPr>
                <w:rFonts w:ascii="Times New Roman" w:eastAsia="Times New Roman" w:hAnsi="Times New Roman" w:cs="Times New Roman"/>
                <w:color w:val="474747"/>
                <w:sz w:val="14"/>
                <w:szCs w:val="14"/>
                <w:bdr w:val="none" w:sz="0" w:space="0" w:color="auto" w:frame="1"/>
                <w:lang w:eastAsia="fr-FR"/>
              </w:rPr>
              <w:t>  </w:t>
            </w:r>
            <w:r w:rsidRPr="00D61F7B">
              <w:rPr>
                <w:rFonts w:ascii="Times New Roman" w:eastAsia="Times New Roman" w:hAnsi="Times New Roman" w:cs="Times New Roman"/>
                <w:b/>
                <w:bCs/>
                <w:color w:val="474747"/>
                <w:sz w:val="16"/>
                <w:szCs w:val="16"/>
                <w:bdr w:val="none" w:sz="0" w:space="0" w:color="auto" w:frame="1"/>
                <w:lang w:eastAsia="fr-FR"/>
              </w:rPr>
              <w:t>Alloues aux administrateurs.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F7B" w:rsidRPr="00D61F7B" w:rsidRDefault="00D61F7B" w:rsidP="00D61F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eastAsia="fr-FR"/>
              </w:rPr>
            </w:pPr>
          </w:p>
        </w:tc>
      </w:tr>
    </w:tbl>
    <w:p w:rsidR="004C55D5" w:rsidRDefault="004C55D5"/>
    <w:sectPr w:rsidR="004C55D5" w:rsidSect="004C5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61F7B"/>
    <w:rsid w:val="004C55D5"/>
    <w:rsid w:val="00D6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D5"/>
  </w:style>
  <w:style w:type="paragraph" w:styleId="Titre2">
    <w:name w:val="heading 2"/>
    <w:basedOn w:val="Normal"/>
    <w:link w:val="Titre2Car"/>
    <w:uiPriority w:val="9"/>
    <w:qFormat/>
    <w:rsid w:val="00D61F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D61F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61F7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61F7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8370">
              <w:marLeft w:val="10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2083">
              <w:marLeft w:val="1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8626">
              <w:marLeft w:val="12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502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4104">
              <w:marLeft w:val="743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10820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26496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47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5373">
              <w:marLeft w:val="7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712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49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835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432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084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714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0398">
              <w:marLeft w:val="12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7726">
              <w:marLeft w:val="12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89836">
              <w:marLeft w:val="12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39556">
              <w:marLeft w:val="12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1704">
              <w:marLeft w:val="12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992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0549">
              <w:marLeft w:val="12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1232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0635">
              <w:marLeft w:val="12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2740">
              <w:marLeft w:val="12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5157">
              <w:marLeft w:val="12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4518">
              <w:marLeft w:val="12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22346">
              <w:marLeft w:val="7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0907">
              <w:marLeft w:val="10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6787">
              <w:marLeft w:val="4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71837">
              <w:marLeft w:val="4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9485">
              <w:marLeft w:val="4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6344">
              <w:marLeft w:val="4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5594">
              <w:marLeft w:val="4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4068">
              <w:marLeft w:val="7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58598">
              <w:marLeft w:val="4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0865">
              <w:marLeft w:val="4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8291">
              <w:marLeft w:val="4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71142">
              <w:marLeft w:val="4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6403">
              <w:marLeft w:val="12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62005">
              <w:marLeft w:val="7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8349">
              <w:marLeft w:val="7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0092">
              <w:marLeft w:val="7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0307">
              <w:marLeft w:val="12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0363">
              <w:marLeft w:val="12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20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6655">
              <w:marLeft w:val="12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801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311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357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24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403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2792">
              <w:marLeft w:val="12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6396">
              <w:marLeft w:val="12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348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936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3.bp.blogspot.com/-2vPwrz-70UI/VWM5swLwdSI/AAAAAAAAB68/0omZh5_3w34/s1600/11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1140</Words>
  <Characters>6272</Characters>
  <Application>Microsoft Office Word</Application>
  <DocSecurity>0</DocSecurity>
  <Lines>52</Lines>
  <Paragraphs>14</Paragraphs>
  <ScaleCrop>false</ScaleCrop>
  <Company/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yadmiin</dc:creator>
  <cp:lastModifiedBy>yadmiin</cp:lastModifiedBy>
  <cp:revision>1</cp:revision>
  <dcterms:created xsi:type="dcterms:W3CDTF">2018-01-16T09:09:00Z</dcterms:created>
  <dcterms:modified xsi:type="dcterms:W3CDTF">2018-01-16T09:10:00Z</dcterms:modified>
</cp:coreProperties>
</file>