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7B" w:rsidRPr="00D61F7B" w:rsidRDefault="00D61F7B" w:rsidP="00D61F7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6"/>
          <w:szCs w:val="16"/>
          <w:lang w:eastAsia="fr-FR"/>
        </w:rPr>
      </w:pPr>
      <w:r w:rsidRPr="00D61F7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fr-FR"/>
        </w:rPr>
        <w:t>Les charges non déductibles et les produits non imposables</w:t>
      </w:r>
    </w:p>
    <w:p w:rsidR="00D61F7B" w:rsidRPr="00D61F7B" w:rsidRDefault="00D61F7B" w:rsidP="00D61F7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  <w:lang w:eastAsia="fr-FR"/>
        </w:rPr>
      </w:pPr>
      <w:r w:rsidRPr="00D61F7B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fr-FR"/>
        </w:rPr>
        <w:br/>
      </w:r>
    </w:p>
    <w:p w:rsidR="00D61F7B" w:rsidRPr="00D61F7B" w:rsidRDefault="00D61F7B" w:rsidP="00D61F7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6"/>
          <w:szCs w:val="16"/>
          <w:lang w:eastAsia="fr-FR"/>
        </w:rPr>
      </w:pPr>
    </w:p>
    <w:p w:rsidR="00D61F7B" w:rsidRPr="00D61F7B" w:rsidRDefault="00D61F7B" w:rsidP="00D61F7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6"/>
          <w:szCs w:val="16"/>
          <w:lang w:eastAsia="fr-FR"/>
        </w:rPr>
      </w:pPr>
      <w:r>
        <w:rPr>
          <w:rFonts w:ascii="inherit" w:eastAsia="Times New Roman" w:hAnsi="inherit" w:cs="Times New Roman"/>
          <w:noProof/>
          <w:color w:val="EB7B0E"/>
          <w:sz w:val="16"/>
          <w:szCs w:val="16"/>
          <w:bdr w:val="none" w:sz="0" w:space="0" w:color="auto" w:frame="1"/>
          <w:lang w:eastAsia="fr-FR"/>
        </w:rPr>
        <w:drawing>
          <wp:inline distT="0" distB="0" distL="0" distR="0">
            <wp:extent cx="3050540" cy="2311400"/>
            <wp:effectExtent l="19050" t="0" r="0" b="0"/>
            <wp:docPr id="1" name="Image 1" descr="fiscaliste - Les charges non déductibles et les produits non imposabl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caliste - Les charges non déductibles et les produits non imposabl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F7B" w:rsidRPr="00D61F7B" w:rsidRDefault="00D61F7B" w:rsidP="00D61F7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111111"/>
          <w:sz w:val="32"/>
          <w:szCs w:val="32"/>
          <w:lang w:eastAsia="fr-FR"/>
        </w:rPr>
      </w:pPr>
      <w:r w:rsidRPr="00D61F7B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  <w:lang w:eastAsia="fr-FR"/>
        </w:rPr>
        <w:t>Les charges non déductibles et les produits non imposables</w:t>
      </w:r>
    </w:p>
    <w:p w:rsidR="00D61F7B" w:rsidRPr="00D61F7B" w:rsidRDefault="00D61F7B" w:rsidP="00D61F7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  <w:lang w:eastAsia="fr-FR"/>
        </w:rPr>
      </w:pPr>
    </w:p>
    <w:tbl>
      <w:tblPr>
        <w:tblW w:w="685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6"/>
        <w:gridCol w:w="2938"/>
      </w:tblGrid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left="567"/>
              <w:jc w:val="center"/>
              <w:textAlignment w:val="baseline"/>
              <w:outlineLvl w:val="2"/>
              <w:rPr>
                <w:rFonts w:ascii="inherit" w:eastAsia="Times New Roman" w:hAnsi="inherit" w:cs="Arial"/>
                <w:color w:val="111111"/>
                <w:sz w:val="24"/>
                <w:szCs w:val="24"/>
                <w:lang w:eastAsia="fr-FR"/>
              </w:rPr>
            </w:pPr>
            <w:r w:rsidRPr="00D61F7B">
              <w:rPr>
                <w:rFonts w:ascii="inherit" w:eastAsia="Times New Roman" w:hAnsi="inherit" w:cs="Times New Roman"/>
                <w:color w:val="111111"/>
                <w:sz w:val="36"/>
                <w:szCs w:val="36"/>
                <w:bdr w:val="none" w:sz="0" w:space="0" w:color="auto" w:frame="1"/>
                <w:lang w:eastAsia="fr-FR"/>
              </w:rPr>
              <w:t>charges non déductibles</w:t>
            </w: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36"/>
                <w:szCs w:val="36"/>
                <w:bdr w:val="none" w:sz="0" w:space="0" w:color="auto" w:frame="1"/>
                <w:lang w:eastAsia="fr-FR"/>
              </w:rPr>
              <w:t>Produits non imposables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firstLine="448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val="en-US" w:eastAsia="fr-FR"/>
              </w:rPr>
              <w:t>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</w:t>
            </w:r>
            <w:proofErr w:type="spellStart"/>
            <w:r w:rsidRPr="00D61F7B">
              <w:rPr>
                <w:rFonts w:ascii="inherit" w:eastAsia="Times New Roman" w:hAnsi="inherit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Bénéfice</w:t>
            </w:r>
            <w:proofErr w:type="spellEnd"/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142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Perte</w:t>
            </w:r>
            <w:proofErr w:type="spellEnd"/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Intérêts :</w:t>
            </w:r>
          </w:p>
          <w:p w:rsidR="00D61F7B" w:rsidRPr="00D61F7B" w:rsidRDefault="00D61F7B" w:rsidP="00D61F7B">
            <w:pPr>
              <w:spacing w:after="0" w:line="240" w:lineRule="auto"/>
              <w:ind w:hanging="141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créditeur de banque : imposable sur le montant brut, la TPPRF  retenue à la source par la banque (c’est une avance sur l’IS)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 Montant brut PPRF= Montant Net + IS (R.A.S)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: montant à réintégrer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de bon de caisse comptabilise pour leur montant net : Mt net/0,8-Mt net= IS (RAS) :à réintégrer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 - Intérêt des comptes courant d’associés (C.C.A)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→condition : le capital doit être totalement libéré 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→2 limites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 - Taux d’i appliqué  ≤ taux d’i réglementée              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               - Montant des avances ≤ capital social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 Si la condition n’est pas respectée ou l’une des limites         n’est pas appliquée : l’intérêt est à réintégrer.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du compte courant du dirigeant si ;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Le taux appliqué &gt; taux autorisé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dont l’affectation non justifiée: non lié à l’exploitation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Produits financiers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Produit des titres de participation : dividendes reçues (abattement de 100%).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Produit des actions : dividendes (abattement de 100%).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Boni de liquidation : produit perçu d’une autre société déjà imposé.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créditeur de banque : imposable pour leur montant brut, la TPPRF retenu a la source par la banque (avance sur l’IS).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Autres produits de participation verses, mis a la disposition des inscrits en compte par le P.M soumises ou exonérées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Symbol" w:eastAsia="Times New Roman" w:hAnsi="Symbol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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Inscription en compte courant d’associe,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Symbol" w:eastAsia="Times New Roman" w:hAnsi="Symbol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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en compte courant bancaires des bénéficière ou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Symbol" w:eastAsia="Times New Roman" w:hAnsi="Symbol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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en compte courant convenus par écrit entre les parties.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servis aux établissements de crédit.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servis aux OPCVM, FPCT, OPCR…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Intérêt perçus par les sociétés non résidentes au titre.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Achats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Les achats non encore reçues.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Avance versée sur commande non reçue.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Achat de fournitures de bureau non encore  consommée : charge constatée d’avance.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Indemnité de rachat : V.O de l’immobilisation ≠ charge.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Paiement en espèces d’achat pour plus 10000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dhs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: Mt (TTC)*50 % à réintégrer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Ventes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Vente de marchandise non encore livrée : produit constaté d’avance.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Avances et acomptes reçus sur commandes en cours (non livrées)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Arrhes perçues : garanties à consolider comme des dépôts et cautionnement reçus.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Tous les produits constatés d’avance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Entretiens et réparation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lastRenderedPageBreak/>
              <w:t>Rénovation et remplacement du moteur d’une immobilisation →prolongement de la durée de vie de l’immobilisation : V.O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lastRenderedPageBreak/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D.E.A de l’immobilisation = VO * 10% *</w:t>
            </w:r>
            <w:r w:rsidRPr="00D61F7B">
              <w:rPr>
                <w:rFonts w:ascii="Calibri" w:eastAsia="Times New Roman" w:hAnsi="Calibri" w:cs="Calibri"/>
                <w:color w:val="474747"/>
                <w:bdr w:val="none" w:sz="0" w:space="0" w:color="auto" w:frame="1"/>
                <w:lang w:eastAsia="fr-FR"/>
              </w:rPr>
              <w:t> 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lastRenderedPageBreak/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Majorations et pénalités de toutes natures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Majoration de retard pour paiement tardif de la TVA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Pénalité fiscal pour défaut  de déclaration de la TVA.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Amortissements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 : DEA d’une immobilisation comptabilisée par erreur parmi les charges.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 fiscalement différés.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Dons : 3 cas de figure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Dons accordés aux œuvres sociales  (accepté sans dépassement de la limite fiscal de 2‰)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        Dons : montant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      -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u w:val="single"/>
                <w:bdr w:val="none" w:sz="0" w:space="0" w:color="auto" w:frame="1"/>
                <w:lang w:eastAsia="fr-FR"/>
              </w:rPr>
              <w:t>Limite : (CH.A(H.T))*2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8"/>
                <w:szCs w:val="28"/>
                <w:u w:val="single"/>
                <w:bdr w:val="none" w:sz="0" w:space="0" w:color="auto" w:frame="1"/>
                <w:lang w:eastAsia="fr-FR"/>
              </w:rPr>
              <w:t>%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u w:val="single"/>
                <w:bdr w:val="none" w:sz="0" w:space="0" w:color="auto" w:frame="1"/>
                <w:lang w:eastAsia="fr-FR"/>
              </w:rPr>
              <w:t>0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      =Excédant : à réintégrer (CH.N.D)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Dons non versés à l’intérêt de l’ensemble du personnel  (libéralité non liée au besoin d’exploitation) CH.N.D: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Exemple : une équipe de football d’amateur, clubs privés, club sportif (dépense personnelle au P.D.G)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Dons accordés pour l’utilité publique (CH.D)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Autres produits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Part sociale : bénéfice de chaque associe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Prime d’assurance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Prime d’assurance : charge constatée d’avance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(non liée à l’exercice).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Prime d’assurance-vie souscrite sur la tète du dirigeant au profit de la société : il faut assurer l’ensemble du personnel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Indemnité d’assurance-vie perçus lors de décès du dirigeant : C’est un placement et non pas une charge.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val="en-US"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 xml:space="preserve">Primes payees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d’assurance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-vie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Dotations aux provisions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DAP pour constitution d’un fonds de retraite.                                                                    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DAP pour dépréciation des créances douteuses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Évaluation forfaitaire ou estimation de manière non individualise ou non encore saisie en justice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DAP pour congés payes.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val="en-US"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D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é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gr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è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vement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 xml:space="preserve"> de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l’IS</w:t>
            </w:r>
            <w:proofErr w:type="spellEnd"/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8"/>
                <w:szCs w:val="28"/>
                <w:bdr w:val="none" w:sz="0" w:space="0" w:color="auto" w:frame="1"/>
                <w:lang w:val="en-US"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8"/>
                <w:szCs w:val="28"/>
                <w:u w:val="single"/>
                <w:bdr w:val="none" w:sz="0" w:space="0" w:color="auto" w:frame="1"/>
                <w:lang w:eastAsia="fr-FR"/>
              </w:rPr>
              <w:t>Provisions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risque d’incendie (il s’agit d’un risque assurable).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dépréciation des créances : évaluation forfaitaire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risque divers (le risque doit être nettement précisé).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créances douteuses (en l’absence d’individualisation).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hausse des prix.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garantis données aux clients.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stocks : évaluation forfaitaire.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des immobilisations amortissables.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perte de change.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indemnités de départ à la retraite.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licenciement  pour motif économique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Provision pour amendes et pénalités.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 xml:space="preserve">Provisions pour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propre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 xml:space="preserve">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assureur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val="en-US" w:eastAsia="fr-FR"/>
              </w:rPr>
              <w:t>.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Voiture de tourisme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Les redevances de crédit-bail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Limite : 300.000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dhTTC</w:t>
            </w:r>
            <w:proofErr w:type="spellEnd"/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Durée du contrat : 5ans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 Valeur du véhicule : 550.000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dh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 HT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MT acquisition&gt; limite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             : 550.000*20%*</w:t>
            </w:r>
            <w:r w:rsidRPr="00D61F7B">
              <w:rPr>
                <w:rFonts w:ascii="Calibri" w:eastAsia="Times New Roman" w:hAnsi="Calibri" w:cs="Calibri"/>
                <w:color w:val="474747"/>
                <w:bdr w:val="none" w:sz="0" w:space="0" w:color="auto" w:frame="1"/>
                <w:lang w:eastAsia="fr-FR"/>
              </w:rPr>
              <w:t>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=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-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u w:val="single"/>
                <w:bdr w:val="none" w:sz="0" w:space="0" w:color="auto" w:frame="1"/>
                <w:lang w:eastAsia="fr-FR"/>
              </w:rPr>
              <w:t>Limite : 300.00020%*</w:t>
            </w:r>
            <w:r w:rsidRPr="00D61F7B">
              <w:rPr>
                <w:rFonts w:ascii="Calibri" w:eastAsia="Times New Roman" w:hAnsi="Calibri" w:cs="Calibri"/>
                <w:color w:val="474747"/>
                <w:bdr w:val="none" w:sz="0" w:space="0" w:color="auto" w:frame="1"/>
                <w:lang w:eastAsia="fr-FR"/>
              </w:rPr>
              <w:t>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u w:val="single"/>
                <w:bdr w:val="none" w:sz="0" w:space="0" w:color="auto" w:frame="1"/>
                <w:lang w:eastAsia="fr-FR"/>
              </w:rPr>
              <w:t> =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= Excédant : CH.N.D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 (voiture de tourisme)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lastRenderedPageBreak/>
              <w:t>Valeur du véhicule : 349200&gt;limite 300000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0"/>
                <w:szCs w:val="20"/>
                <w:bdr w:val="none" w:sz="0" w:space="0" w:color="auto" w:frame="1"/>
                <w:lang w:eastAsia="fr-FR"/>
              </w:rPr>
              <w:t>TTC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 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 passée en comptabilité :…= 58200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-Amortissement acceptée : 300000 *0.2 *   = 45000.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→ à réintégrer : 58200-45000 = 13200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lastRenderedPageBreak/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Impôts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IS (acomptes provisionnels)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IR salarial : n’est pas à la charge de l’entreprise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TVA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Droit de douane relatif à l’importation  d’une immobilisation : à ajouter au cout d’acquisition de l’immobilisation …&gt; non pas une charge : V.O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Impôts et taxes payes mais non liée à l’exploitation (Exemple : Taxe d’habitation de la villa du directeur)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D.E.A de l’immobilisation = VO * 10% *</w:t>
            </w:r>
            <w:r w:rsidRPr="00D61F7B">
              <w:rPr>
                <w:rFonts w:ascii="Calibri" w:eastAsia="Times New Roman" w:hAnsi="Calibri" w:cs="Calibri"/>
                <w:color w:val="474747"/>
                <w:bdr w:val="none" w:sz="0" w:space="0" w:color="auto" w:frame="1"/>
                <w:lang w:eastAsia="fr-FR"/>
              </w:rPr>
              <w:t> 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Cadeaux publicitaires :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CH.N.D si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Prix unitaire (TTC) &gt; 100 </w:t>
            </w: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dh</w:t>
            </w:r>
            <w:proofErr w:type="spellEnd"/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S’il ne porte pas soit le nom, le sigle de la société ou la marque de fabrique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Divers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Erreurs comptables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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Mt des charges comptabilisées TTC au lieu de l’HT→TVA : CH.N.D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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 du terrain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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Assurance au profit du dirigeant : non liée au besoin de l’exploitation de l entreprise.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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Erreur dans le calcul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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DEA omise ou en double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Immobilisations comptabilisées parmi les charges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Loyers donnés sous forme de garantie : dépôts et cautionnements versés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Aménagement du dépôt : agencement et aménagement de la construction(2)</w:t>
            </w: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proofErr w:type="spellStart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D.E.Amortissement</w:t>
            </w:r>
            <w:proofErr w:type="spellEnd"/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 xml:space="preserve"> de l’immobilisation= VO * 10% *</w:t>
            </w:r>
            <w:r w:rsidRPr="00D61F7B">
              <w:rPr>
                <w:rFonts w:ascii="Calibri" w:eastAsia="Times New Roman" w:hAnsi="Calibri" w:cs="Calibri"/>
                <w:color w:val="474747"/>
                <w:bdr w:val="none" w:sz="0" w:space="0" w:color="auto" w:frame="1"/>
                <w:lang w:eastAsia="fr-FR"/>
              </w:rPr>
              <w:t> </w:t>
            </w: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Amortissement différée : Dotation sur exercice antérieur non comptabilisée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  <w:tr w:rsidR="00D61F7B" w:rsidRPr="00D61F7B" w:rsidTr="00D61F7B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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u w:val="single"/>
                <w:bdr w:val="none" w:sz="0" w:space="0" w:color="auto" w:frame="1"/>
                <w:lang w:eastAsia="fr-FR"/>
              </w:rPr>
              <w:t>Les salaires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bdr w:val="none" w:sz="0" w:space="0" w:color="auto" w:frame="1"/>
                <w:lang w:eastAsia="fr-FR"/>
              </w:rPr>
              <w:t>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Rémunération d’un salarié n’exerçant  aucune fonction dans l’entreprise.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Cotisation du salarié sans fonction.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  <w:t>-</w:t>
            </w:r>
            <w:r w:rsidRPr="00D61F7B">
              <w:rPr>
                <w:rFonts w:ascii="inherit" w:eastAsia="Times New Roman" w:hAnsi="inherit" w:cs="Arial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      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Tantièmes ordinaires (prélèvement sur le bénéfice) :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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Prévus par les statuts.</w:t>
            </w:r>
          </w:p>
          <w:p w:rsidR="00D61F7B" w:rsidRPr="00D61F7B" w:rsidRDefault="00D61F7B" w:rsidP="00D61F7B">
            <w:pPr>
              <w:spacing w:after="0" w:line="240" w:lineRule="auto"/>
              <w:ind w:hanging="360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  <w:r w:rsidRPr="00D61F7B">
              <w:rPr>
                <w:rFonts w:ascii="Wingdings" w:eastAsia="Times New Roman" w:hAnsi="Wingdings" w:cs="Arial"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</w:t>
            </w:r>
            <w:r w:rsidRPr="00D61F7B">
              <w:rPr>
                <w:rFonts w:ascii="Times New Roman" w:eastAsia="Times New Roman" w:hAnsi="Times New Roman" w:cs="Times New Roman"/>
                <w:color w:val="474747"/>
                <w:sz w:val="14"/>
                <w:szCs w:val="14"/>
                <w:bdr w:val="none" w:sz="0" w:space="0" w:color="auto" w:frame="1"/>
                <w:lang w:eastAsia="fr-FR"/>
              </w:rPr>
              <w:t>  </w:t>
            </w:r>
            <w:r w:rsidRPr="00D61F7B">
              <w:rPr>
                <w:rFonts w:ascii="Times New Roman" w:eastAsia="Times New Roman" w:hAnsi="Times New Roman" w:cs="Times New Roman"/>
                <w:b/>
                <w:bCs/>
                <w:color w:val="474747"/>
                <w:sz w:val="16"/>
                <w:szCs w:val="16"/>
                <w:bdr w:val="none" w:sz="0" w:space="0" w:color="auto" w:frame="1"/>
                <w:lang w:eastAsia="fr-FR"/>
              </w:rPr>
              <w:t>Alloues aux administrateurs.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7B" w:rsidRPr="00D61F7B" w:rsidRDefault="00D61F7B" w:rsidP="00D61F7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74747"/>
                <w:sz w:val="16"/>
                <w:szCs w:val="16"/>
                <w:lang w:eastAsia="fr-FR"/>
              </w:rPr>
            </w:pPr>
          </w:p>
        </w:tc>
      </w:tr>
    </w:tbl>
    <w:p w:rsidR="004C55D5" w:rsidRDefault="004C55D5"/>
    <w:sectPr w:rsidR="004C55D5" w:rsidSect="004C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61F7B"/>
    <w:rsid w:val="004C55D5"/>
    <w:rsid w:val="00D6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D5"/>
  </w:style>
  <w:style w:type="paragraph" w:styleId="Titre2">
    <w:name w:val="heading 2"/>
    <w:basedOn w:val="Normal"/>
    <w:link w:val="Titre2Car"/>
    <w:uiPriority w:val="9"/>
    <w:qFormat/>
    <w:rsid w:val="00D61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61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1F7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61F7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370">
              <w:marLeft w:val="10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083">
              <w:marLeft w:val="1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626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502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4104">
              <w:marLeft w:val="743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10820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26496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4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373">
              <w:marLeft w:val="7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2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9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35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432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084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714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0398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726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89836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9556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1704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992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549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232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635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2740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157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4518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346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907">
              <w:marLeft w:val="10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787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837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485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6344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5594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40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58598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865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91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142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6403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2005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349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092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0307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0363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20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655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80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114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3572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47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403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2792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96">
              <w:marLeft w:val="12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48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936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.bp.blogspot.com/-2vPwrz-70UI/VWM5swLwdSI/AAAAAAAAB68/0omZh5_3w34/s1600/11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yadmiin</dc:creator>
  <cp:lastModifiedBy>yadmiin</cp:lastModifiedBy>
  <cp:revision>1</cp:revision>
  <dcterms:created xsi:type="dcterms:W3CDTF">2018-01-16T09:09:00Z</dcterms:created>
  <dcterms:modified xsi:type="dcterms:W3CDTF">2018-01-16T09:10:00Z</dcterms:modified>
</cp:coreProperties>
</file>