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étude d’opportunité= exposer des arguments pour expliquer en quoi les choix (jeux tablette, jdr ect...) sont judicieux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 marché des murders party / huis-clos en France (escape room) &gt;&gt; la boîte de pan, gamescape /// mythodea &gt;&gt; grandeur nature allemand fait par une entreprise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 marché des jeux sur tablette (fps)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 marché des jeux hybrides ( v-pattern : volumik ) &gt;&gt; mélanger un jeu vidéo avec un vrai objet et de vrais gens, pour transformer un jeu vidéo en pseudo-jeu de société ou de jeu de rôle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Pokemon GO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4) répondre à la question : pourquoi ce jeu va marcher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forte croissance des geeks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demande à combler ? assez d’offres ? (exemple : trop de joueurs pas assez de diversité dans les offres ?)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démocratisation des technologies ? lesquelles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accessibilité des outils de travail ? lesquels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&gt;&gt; un terrain vierge : être pionnier dans l’hybridation des médiums &gt; IRL + Virtuel &gt;&gt;&gt;&gt; leader de marché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32258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