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21B" w:rsidRDefault="0070521B" w:rsidP="0070521B">
      <w:pPr>
        <w:pStyle w:val="PARTIE"/>
      </w:pPr>
      <w:bookmarkStart w:id="0" w:name="_Toc213820885"/>
      <w:bookmarkStart w:id="1" w:name="_Toc213821777"/>
      <w:bookmarkStart w:id="2" w:name="_Toc213821995"/>
      <w:bookmarkStart w:id="3" w:name="_Toc213822511"/>
      <w:bookmarkStart w:id="4" w:name="_Toc213845035"/>
      <w:bookmarkStart w:id="5" w:name="_Toc442602398"/>
      <w:r>
        <w:t>Introduction :</w:t>
      </w:r>
      <w:bookmarkEnd w:id="0"/>
      <w:bookmarkEnd w:id="1"/>
      <w:bookmarkEnd w:id="2"/>
      <w:bookmarkEnd w:id="3"/>
      <w:bookmarkEnd w:id="4"/>
      <w:bookmarkEnd w:id="5"/>
    </w:p>
    <w:p w:rsidR="0070521B" w:rsidRDefault="0070521B" w:rsidP="0070521B">
      <w:pPr>
        <w:pStyle w:val="Corpsdetexte"/>
        <w:rPr>
          <w:b/>
        </w:rPr>
      </w:pPr>
    </w:p>
    <w:p w:rsidR="0070521B" w:rsidRDefault="0070521B" w:rsidP="0070521B">
      <w:pPr>
        <w:pStyle w:val="Corpsdetexte"/>
      </w:pPr>
      <w:r>
        <w:t xml:space="preserve">L’étude des rapports entre le droit et la culture présente certaines difficultés. En effet avant même que le droit ne la saisisse la notion de culture se dérobe. A défaut de définir précisément cette notion (Philippe BENETON, </w:t>
      </w:r>
      <w:r>
        <w:rPr>
          <w:i/>
        </w:rPr>
        <w:t>Histoire de mots : culture et civilisation</w:t>
      </w:r>
      <w:r>
        <w:t xml:space="preserve">, Presses de la fondation nationale des sciences politiques, 1975), le juriste peut essayer d’appréhender la notion de culture en privilégiant deux approches. </w:t>
      </w:r>
    </w:p>
    <w:p w:rsidR="0070521B" w:rsidRDefault="0070521B" w:rsidP="0070521B">
      <w:pPr>
        <w:pStyle w:val="Corpsdetexte"/>
      </w:pPr>
      <w:r>
        <w:t xml:space="preserve">La première de ces approches est matérielle, elle consiste à définir la culture en se référant aux différents domaines relevant de l’activité culturelle. Cette première approche est celle privilégiée par le ministère de la culture et des communications. Sur son site Internet, la rubrique « droit de la culture » mentionne les activités culturelles qui font l’objet d’une réglementation : Archéologie, archives, biens culturels, cinéma, audiovisuel et presse écrite, droits d’auteur et droits voisins, livre et lecture, musées, patrimoine… Cette première approche se doit d’être complétée par une approche plus sociologique ou ethnologique de la culture. Edward Burnett Tylor dans son ouvrage </w:t>
      </w:r>
      <w:r>
        <w:rPr>
          <w:i/>
        </w:rPr>
        <w:t>Primitive culture</w:t>
      </w:r>
      <w:r>
        <w:t>, paru en 1871, a proposé une définition nouvelle : « </w:t>
      </w:r>
      <w:r>
        <w:rPr>
          <w:i/>
        </w:rPr>
        <w:t>culture ou civilisation, pris dans son sens ethnologique le plus étendu, est ce tout complexe qui comprend la connaissance, les croyances, l’art, la morale, le droit, les coutumes et les autres capacités ou habitudes acquises par l’homme en tant que membre de la société</w:t>
      </w:r>
      <w:r>
        <w:t> ». Cette dernière définition intéresse également les juristes car l’UNESCO s’en inspire directement : « </w:t>
      </w:r>
      <w:r>
        <w:rPr>
          <w:i/>
        </w:rPr>
        <w:t>La culture, dans son sens le plus large, est considérée comme l’ensemble des traits distinctifs, spirituels et matériels, intellectuels et affectifs, qui caractérisent une société ou un groupe social. Elle englobe, outre les arts et les lettres, les modes de vie, les droits fondamentaux de l’être humain, les systèmes de valeur, les traditions et les croyances</w:t>
      </w:r>
      <w:r>
        <w:t xml:space="preserve"> » (Déclaration de Mexico sur les politiques culturelles, 6 août 1882). Sur la base de cette définition, l’UNESCO a adopté le 20 octobre 2005, la « Convention protection et la promotion de la diversité des expressions culturelles ». Cette Convention a été ratifiée par l’Etat français, c’est-à-dire intégrée dans sa réglementation afin de lui donner une force juridique, par la loi du 5 juillet 2006. </w:t>
      </w:r>
    </w:p>
    <w:p w:rsidR="0070521B" w:rsidRDefault="0070521B" w:rsidP="0070521B">
      <w:pPr>
        <w:pStyle w:val="Corpsdetexte"/>
        <w:rPr>
          <w:b/>
        </w:rPr>
      </w:pPr>
      <w:r>
        <w:t>L’étude du droit de la culture est donc consacrée à la réglementation de la culture par l’Etat français. Avant de recenser les différentes sources du droit de la culture, c’est-à-dire les différentes règles de droit qui s’appliquent aux institutions et aux activités culturelles, il convient de retracer brièvement les principales étapes de l’intervention de l’Etat dans le champ de la culture. En effet, cette réglementation relative à la culture résulte d’une intervention constante des pouvoirs publics de l’Ancien régime jusqu’à nos jours.</w:t>
      </w:r>
    </w:p>
    <w:p w:rsidR="0070521B" w:rsidRDefault="0070521B" w:rsidP="0070521B">
      <w:pPr>
        <w:pStyle w:val="Corpsdetexte"/>
        <w:rPr>
          <w:b/>
        </w:rPr>
      </w:pPr>
    </w:p>
    <w:p w:rsidR="0070521B" w:rsidRDefault="0070521B" w:rsidP="0070521B">
      <w:pPr>
        <w:pStyle w:val="Corpsdetexte"/>
      </w:pPr>
    </w:p>
    <w:p w:rsidR="0070521B" w:rsidRDefault="0070521B" w:rsidP="0070521B">
      <w:pPr>
        <w:pStyle w:val="CHAPITRE"/>
      </w:pPr>
      <w:bookmarkStart w:id="6" w:name="_Toc213820886"/>
      <w:bookmarkStart w:id="7" w:name="_Toc213821593"/>
      <w:bookmarkStart w:id="8" w:name="_Toc213821778"/>
      <w:bookmarkStart w:id="9" w:name="_Toc213821996"/>
      <w:bookmarkStart w:id="10" w:name="_Toc213822512"/>
      <w:bookmarkStart w:id="11" w:name="_Toc213845036"/>
      <w:bookmarkStart w:id="12" w:name="_Toc442602399"/>
      <w:r>
        <w:t>Historique de la prise en charge de la culture par les pouvoirs publics.</w:t>
      </w:r>
      <w:bookmarkEnd w:id="6"/>
      <w:bookmarkEnd w:id="7"/>
      <w:bookmarkEnd w:id="8"/>
      <w:bookmarkEnd w:id="9"/>
      <w:bookmarkEnd w:id="10"/>
      <w:bookmarkEnd w:id="11"/>
      <w:bookmarkEnd w:id="12"/>
    </w:p>
    <w:p w:rsidR="0070521B" w:rsidRDefault="0070521B" w:rsidP="0070521B">
      <w:pPr>
        <w:pStyle w:val="Corpsdetexte"/>
      </w:pPr>
    </w:p>
    <w:p w:rsidR="0070521B" w:rsidRDefault="0070521B" w:rsidP="0070521B">
      <w:pPr>
        <w:pStyle w:val="Corpsdetexte"/>
      </w:pPr>
      <w:r>
        <w:tab/>
      </w:r>
      <w:r>
        <w:tab/>
        <w:t>L’héritage de l’Ancien Régime. Les premières interventions culturelles sont celles de l’église et des mécènes (les « grands » du Royaume et les rois). Les rois, les princes, les seigneurs s’attachent les services d’artistes auxquels ils accordent des libéralités. Leur rayonnement dépend souvent de la qualité des artistes qui les entourent. François 1</w:t>
      </w:r>
      <w:r>
        <w:rPr>
          <w:vertAlign w:val="superscript"/>
        </w:rPr>
        <w:t>ier</w:t>
      </w:r>
      <w:r>
        <w:t xml:space="preserve"> a joué un rôle considérable en fondant en 1530 le « collège royal » qui deviendra par la suite le « Collège de France ». C’est aussi sous règne qu’est édictée l’Ordonnance de Montpellier. Ce texte du 23 décembre 1537 qui crée le premier dépôt légal pour les œuvres imprimés peut être considéré comme la plus ancienne « loi » du droit de la culture. </w:t>
      </w:r>
    </w:p>
    <w:p w:rsidR="0070521B" w:rsidRDefault="0070521B" w:rsidP="0070521B">
      <w:pPr>
        <w:pStyle w:val="Corpsdetexte"/>
      </w:pPr>
      <w:r>
        <w:t xml:space="preserve">Pendant les règnes de Louis XIII et Louis XVI sont instaurés les premières Académies (en 1635 est créée la plus célèbre d’entre elles : l’Académie Française). Ces dernières font l’objet de nombreuses critiques, elles sont notamment accusées de favoriser le développement d’un art officiel. Depuis cette critique revient de manière récurrente à chaque fois que l’Etat intervient sur le terrain culturel et sera systématisée dans le pamphlet de Marc Fumaroli, « l’Etat culturel » (Editions de Fallois, 1992). Il convient pour clore cette période de signaler en 1680 la création de la Comédie Française. </w:t>
      </w:r>
    </w:p>
    <w:p w:rsidR="0070521B" w:rsidRDefault="0070521B" w:rsidP="0070521B">
      <w:pPr>
        <w:pStyle w:val="Corpsdetexte"/>
      </w:pPr>
    </w:p>
    <w:p w:rsidR="0070521B" w:rsidRDefault="0070521B" w:rsidP="0070521B">
      <w:pPr>
        <w:pStyle w:val="Corpsdetexte"/>
      </w:pPr>
      <w:r>
        <w:tab/>
      </w:r>
      <w:r>
        <w:tab/>
        <w:t xml:space="preserve">De la Révolution Française à la Troisième République. </w:t>
      </w:r>
    </w:p>
    <w:p w:rsidR="0070521B" w:rsidRDefault="0070521B" w:rsidP="0070521B">
      <w:pPr>
        <w:pStyle w:val="Corpsdetexte"/>
      </w:pPr>
    </w:p>
    <w:p w:rsidR="0070521B" w:rsidRDefault="0070521B" w:rsidP="0070521B">
      <w:pPr>
        <w:pStyle w:val="Corpsdetexte"/>
      </w:pPr>
      <w:r>
        <w:t>Les révolutionnaires s’approprient les biens du clergé, de la Couronne, des Académies… et contribuent ainsi à doter l’Etat d’un patrimoine considérable qu’il devra par la suite protéger, conserver. Le décret de la Convention du 27 juillet 1793 crée le Musée central des arts de la République, aujourd’hui plus connu sous l’appellation Musée du Louvre. Il devait ouvrir le 10 août 1793, date symbolique du 1</w:t>
      </w:r>
      <w:r w:rsidRPr="00457E25">
        <w:rPr>
          <w:vertAlign w:val="superscript"/>
        </w:rPr>
        <w:t>er</w:t>
      </w:r>
      <w:r>
        <w:t xml:space="preserve"> anniversaire de la destitution du roi, mais finalement l’inauguration ne se fera que 8 novembre 1793. Ce musée n’a pas pour unique vocation de conserver le patrimoine national, il doit aussi participer à l’éducation des citoyens et à la formation des artistes. Le 21 octobre 1795 est institué le deuxième musée national, le Musée des Monuments français, il regroupe pour l’essentiel des œuvres ayant appartenues au clergé. Cette idée de protection du patrimoine se traduit aussi par la création des Archives nationales </w:t>
      </w:r>
      <w:r>
        <w:lastRenderedPageBreak/>
        <w:t xml:space="preserve">(la loi du </w:t>
      </w:r>
      <w:r>
        <w:rPr>
          <w:color w:val="000000"/>
          <w:szCs w:val="21"/>
        </w:rPr>
        <w:t xml:space="preserve">7 messidor an II (25 juin 1794) pour les archives nationales, par la loi du </w:t>
      </w:r>
      <w:r>
        <w:rPr>
          <w:bCs/>
          <w:szCs w:val="22"/>
        </w:rPr>
        <w:t>5 brumaire an V (26 octobre 1796) pour l’organisation des archives départementales)</w:t>
      </w:r>
      <w:r>
        <w:rPr>
          <w:bCs/>
          <w:color w:val="000000"/>
          <w:szCs w:val="21"/>
        </w:rPr>
        <w:t xml:space="preserve"> </w:t>
      </w:r>
      <w:r>
        <w:t xml:space="preserve">et par la transformation de la Bibliothèque du roi Bibliothèque nationale. Il faut mettre au crédit de la Révolution l’article 11 de la DDHC (« La libre communication des pensées et des opinions est un des droits les plus précieux de l’homme ; tout citoyen peut donc parler, écrire, imprimer librement, sauf à répondre de l’abus de cette liberté dans les cas déterminés par la loi ») qui sert de fondement juridique à la liberté de la presse, à la liberté de communication audiovisuelle et enfin à la liberté de création artistique. Toutefois l’œuvre révolutionnaire est également marquée par de nombreuses destructions antimonarchiques et anticatholiques, par un véritable « vandalisme révolutionnaire ». De nombreux artistes (les poètes André Chénier et Fabre d’Eglantine) et scientifiques (Lavoisier) sont guillotinés. Des monuments sont détruits ou mutilés (la galerie des rois sur le fronton de la cathédrale Notre-Dame de Paris est détruite, les révolutionnaires ayant confondus les rois de l’ancien testament avec les rois de France !). La liberté de la presse récemment reconnue est mise entre parenthèses. </w:t>
      </w:r>
    </w:p>
    <w:p w:rsidR="0070521B" w:rsidRDefault="0070521B" w:rsidP="0070521B">
      <w:pPr>
        <w:pStyle w:val="Corpsdetexte"/>
      </w:pPr>
    </w:p>
    <w:p w:rsidR="0070521B" w:rsidRDefault="0070521B" w:rsidP="0070521B">
      <w:pPr>
        <w:pStyle w:val="Corpsdetexte"/>
      </w:pPr>
      <w:r>
        <w:t xml:space="preserve">Le Premier Empire ne brille guère par sa politique culturelle. Napoléon Bonaparte est plus préoccupé par le maintien de l’ordre sur le sol national et par la conduite de guerre à l’extérieur des frontières nationales. Il faut toutefois signaler que les collections du Louvre se sont considérablement enrichies à la suite de ces conquêtes impériales. De plus au même titre que les Rois et notamment Louis XIV, Napoléon est sensible à son image de marque et passe de nombreuses commandes à des artistes officiels. </w:t>
      </w:r>
    </w:p>
    <w:p w:rsidR="0070521B" w:rsidRDefault="0070521B" w:rsidP="0070521B">
      <w:pPr>
        <w:pStyle w:val="Corpsdetexte"/>
      </w:pPr>
    </w:p>
    <w:p w:rsidR="0070521B" w:rsidRDefault="0070521B" w:rsidP="0070521B">
      <w:pPr>
        <w:pStyle w:val="Corpsdetexte"/>
      </w:pPr>
      <w:r>
        <w:t xml:space="preserve">Louis XVIII en 1818 crée le musée du Luxembourg afin d’accueillir des artistes vivants. Seuls les chefs-d’œuvre des grands maîtres finiront au musée du Louvre. A partir de la Restauration les collections publiques des musées, et notamment celle du Louvre, s’enrichissement grâce aux donations (artistes de leur vivant, leurs héritiers, mais surtout des collectionneurs). La création du musée Fabre à Montpellier est issue des legs Fabre de 1825 et 1837. Le musée de Cahors est officiellement crée en 1833, il ne comprend pendant très longtemps qu’un seul et unique tableau, un envoi de l’Etat en 1834 : « Vue d’Avignon » de Paul Huet. C’est sous la Monarchie de Juillet (1837) qu’apparaît l’inspection générale aux monuments historiques. Prosper Mérimée, l’un des premiers inspecteurs généraux, joua un rôle considérable en permettant de sauver l’Abbaye de Vézelay, le château de Chinon en recourant au service d’un jeune architecte quasi inconnu, Viollet le Duc. </w:t>
      </w:r>
    </w:p>
    <w:p w:rsidR="0070521B" w:rsidRDefault="0070521B" w:rsidP="0070521B">
      <w:pPr>
        <w:pStyle w:val="Corpsdetexte"/>
      </w:pPr>
    </w:p>
    <w:p w:rsidR="0070521B" w:rsidRDefault="0070521B" w:rsidP="0070521B">
      <w:pPr>
        <w:pStyle w:val="Corpsdetexte"/>
      </w:pPr>
      <w:r>
        <w:lastRenderedPageBreak/>
        <w:t xml:space="preserve">La Seconde République sera plus préoccupée par l’Education que par les Arts. C’est durant sa courte existence qu’est votée le 15 mars 1850 la loi Falloux qui institue un double régime d’écoles publiques et d’écoles privées.  </w:t>
      </w:r>
    </w:p>
    <w:p w:rsidR="0070521B" w:rsidRDefault="0070521B" w:rsidP="0070521B">
      <w:pPr>
        <w:pStyle w:val="Corpsdetexte"/>
      </w:pPr>
    </w:p>
    <w:p w:rsidR="0070521B" w:rsidRDefault="0070521B" w:rsidP="0070521B">
      <w:pPr>
        <w:pStyle w:val="Corpsdetexte"/>
      </w:pPr>
      <w:r>
        <w:t xml:space="preserve">Sous le Second Empire, l’action culturelle du neveu sera proche de celle de son oncle. L’empereur est un mécène généreux qui n’hésite pas à lancer de « grands travaux » : Opéra Garnier, rénovation du centre ville de paris par le Baron Haussmann … On doit aussi à l’initiative de napoléon III la création en 1863 du Salon des refusés au cours duquel fut présenté le tableau de Manet Déjeuner sur l’herbe. </w:t>
      </w:r>
    </w:p>
    <w:p w:rsidR="0070521B" w:rsidRDefault="0070521B" w:rsidP="0070521B">
      <w:pPr>
        <w:pStyle w:val="Corpsdetexte"/>
      </w:pPr>
    </w:p>
    <w:p w:rsidR="0070521B" w:rsidRDefault="0070521B" w:rsidP="0070521B">
      <w:pPr>
        <w:pStyle w:val="Corpsdetexte"/>
      </w:pPr>
      <w:r>
        <w:t xml:space="preserve">Il est possible de dégager trois caractéristiques principales de cette période : l’importance du mécénat dans le financement de la culture, la mise en œuvre d’une véritable politique patrimoniale de L’Etat et surtout l’ancrage d’une tradition bien française : le centralisme culturel. </w:t>
      </w:r>
    </w:p>
    <w:p w:rsidR="0070521B" w:rsidRDefault="0070521B" w:rsidP="0070521B">
      <w:pPr>
        <w:pStyle w:val="Corpsdetexte"/>
      </w:pPr>
    </w:p>
    <w:p w:rsidR="0070521B" w:rsidRDefault="0070521B" w:rsidP="0070521B">
      <w:pPr>
        <w:pStyle w:val="Corpsdetexte"/>
      </w:pPr>
      <w:r>
        <w:tab/>
      </w:r>
      <w:r>
        <w:tab/>
        <w:t xml:space="preserve">De la Troisième à la Quatrième République. </w:t>
      </w:r>
    </w:p>
    <w:p w:rsidR="0070521B" w:rsidRDefault="0070521B" w:rsidP="0070521B">
      <w:pPr>
        <w:pStyle w:val="Corpsdetexte"/>
      </w:pPr>
    </w:p>
    <w:p w:rsidR="0070521B" w:rsidRDefault="0070521B" w:rsidP="0070521B">
      <w:pPr>
        <w:pStyle w:val="Corpsdetexte"/>
      </w:pPr>
      <w:r>
        <w:t>La Troisième République offre un bilan assez contrasté. Une grande partie des domaines artistiques et culturels ne sont plus sous la tutelle du ministère de l’intérieur, mais sous la tutelle du ministère de l’Education nationale : le ministère de l’Instruction Publique et des Beaux-Arts va perdurer jusqu’en 1959. Ce rattachement des Arts à l’Education n’est pas anodin, il fonde « l’utilité sociale des Beaux-Arts » et pose « les fondements d’un service public des beaux-arts » » (Philippe POIRRIER, L’Etat et la culture en France au Xxe siècle, Livre de poche, références, 2000, p.19). Au sein du ministère de rattachement, la Direction des Beaux-Arts se structure progressivement et produit de la réglementation : en 1885 est publié pour la première fois un Traité de l’administration des Beaux-Arts</w:t>
      </w:r>
      <w:r>
        <w:rPr>
          <w:rStyle w:val="Appelnotedebasdep"/>
        </w:rPr>
        <w:footnoteReference w:id="1"/>
      </w:r>
      <w:r>
        <w:t xml:space="preserve">. D’ailleurs entre novembre 1881 et janvier 1882, sous le ministère Gambetta, Antonin Proust est nommé ministre des Arts.  </w:t>
      </w:r>
    </w:p>
    <w:p w:rsidR="0070521B" w:rsidRDefault="0070521B" w:rsidP="0070521B">
      <w:pPr>
        <w:pStyle w:val="Corpsdetexte"/>
      </w:pPr>
      <w:r>
        <w:t xml:space="preserve">De nombreux efforts ont été faits notamment pour la conservation du patrimoine (une loi de 1887 permet le classement et donc la protection de monuments publics présentant un intérêt national, elle sera remplacée par la célèbre loi du 31 décembre 1913 qui sert encore de base à notre réglementation actuelle). La Troisième République est marquée par l’essor des musées sur l’ensemble du territoire. Beaucoup de ces musées sont issus d’initiatives locales, des </w:t>
      </w:r>
      <w:r>
        <w:lastRenderedPageBreak/>
        <w:t>municipalités. La Troisième République est aussi marquée par le renforcement de l’interventionnisme local sur le terrain culturel. Le soutien à la création artistique n’est pas oublié. Ce soutien est le fruit d’un lien étroit entre la commande publique et la sélection opérée par l’Académie des Beaux-Arts</w:t>
      </w:r>
      <w:r>
        <w:rPr>
          <w:rStyle w:val="Appelnotedebasdep"/>
        </w:rPr>
        <w:footnoteReference w:id="2"/>
      </w:r>
      <w:r>
        <w:t>. Cette dernière exerce sa tutelle sur l’Ecole des beaux-Arts, elle exerce ainsi un contrôle étroit sur le Prix de Rome et jusqu’en 1847 assurera la sélection des œuvres admises au Salon. Elle participe ainsi à la mise en œuvre « </w:t>
      </w:r>
      <w:r w:rsidRPr="006D19CB">
        <w:rPr>
          <w:i/>
        </w:rPr>
        <w:t>d’un efficace dispositif de reproduction d’une élite artistique et sociale.</w:t>
      </w:r>
      <w:r>
        <w:t> »</w:t>
      </w:r>
      <w:r>
        <w:rPr>
          <w:rStyle w:val="Appelnotedebasdep"/>
        </w:rPr>
        <w:footnoteReference w:id="3"/>
      </w:r>
      <w:r>
        <w:t xml:space="preserve"> Le lauréat du Prix de Rome aura plus de chance de voir ses œuvres faire l’objet d’une commande publique. Il en va de même de l’artiste qui se voit décerné une médaille par le jury du Salon.  « </w:t>
      </w:r>
      <w:r w:rsidRPr="006D19CB">
        <w:rPr>
          <w:i/>
        </w:rPr>
        <w:t>… la réalité montre que le Salon au XIXe siècle est aussi, et surtout, le lieu où l’artiste établit sa relation avec le pouvoir, avec le pouvoir administratif, avec le pouvoir académique, avec le pouvoir économique</w:t>
      </w:r>
      <w:r>
        <w:t> »</w:t>
      </w:r>
      <w:r>
        <w:rPr>
          <w:rStyle w:val="Appelnotedebasdep"/>
        </w:rPr>
        <w:footnoteReference w:id="4"/>
      </w:r>
      <w:r>
        <w:t>. La sélection au Salon est fondée sur des critères académiques, de nombreux artistes voient leurs tableaux refusés. Le Salon se révèle incapable d’absorber toute l’offre, les artistes doivent trouver des moyens d’exister indépendamment de la commande publique. C’est dans ce contexte que le marché de l’art va se nourrir des demandes des marchands d’art, des collectionneurs : par exemple Millet vend L’Angelus 1000 francs en 1860, entre 1869 et 1889 à la suite de ventes multiples le tableau passe de 30000 à 600000 francs, après avoir été acquis par des américains le tableau est racheté et retourne sur le territoire français pour 800000 francs. Les prix pratiqués sur le marché rendent difficile l’acquisition de ces tableaux par l’Etat et renforce le rôle des dons et legs dans l’enrichissement des collections publiques. L’Angelus, œuvre refusée au Salon, finira par entrer au musée du Louvre, par legs du grand collectionneur Alfred Chauchard. Le développement du marché de l’art va de pair avec l’affirmation de l’autonomie de l’artiste, en l’éloignant des structures corporatistes il favorise la liberté de création. La galerie Van Leer ouverte en 1925, présente l’année suivante une exposition du peintre surréaliste Max Ernst</w:t>
      </w:r>
      <w:r>
        <w:rPr>
          <w:rStyle w:val="Appelnotedebasdep"/>
        </w:rPr>
        <w:footnoteReference w:id="5"/>
      </w:r>
      <w:r>
        <w:t>. Ce développement à également des côtés négatifs, les faux font leur apparition sur le marché, cela débouche sur le vote de la loi du 1</w:t>
      </w:r>
      <w:r w:rsidRPr="005A5EC7">
        <w:rPr>
          <w:vertAlign w:val="superscript"/>
        </w:rPr>
        <w:t>er</w:t>
      </w:r>
      <w:r>
        <w:t xml:space="preserve"> août 1905 sur les fraudes et falsifications. </w:t>
      </w:r>
    </w:p>
    <w:p w:rsidR="0070521B" w:rsidRDefault="0070521B" w:rsidP="0070521B">
      <w:pPr>
        <w:pStyle w:val="Corpsdetexte"/>
      </w:pPr>
    </w:p>
    <w:p w:rsidR="0070521B" w:rsidRDefault="0070521B" w:rsidP="0070521B">
      <w:pPr>
        <w:pStyle w:val="Corpsdetexte"/>
      </w:pPr>
      <w:r>
        <w:t xml:space="preserve">Le Front populaire envisage la création d’un grand « ministère de la vie culturelle », mais abandonne l’idée et se contente de créer un « ministère de l’éducation nationale » confié à Jean Zay et un « sous secrétariat d’Etat aux sports et aux loisirs » confié à Léo Lagrange. C’est la </w:t>
      </w:r>
      <w:r>
        <w:lastRenderedPageBreak/>
        <w:t xml:space="preserve">première fois en France qu’afin de rapprocher le peuple de la culture sont mis en relation les associations d’éducation populaire, le mouvement ouvriers, les intellectuels et les pouvoirs publics. Cette volonté de « populariser » la culture sert encore aujourd’hui de clé de voûte à la politique culturelle française, mais le vocable à changé : désormais il s’agit de « démocratiser » l’accès à la culture. </w:t>
      </w:r>
    </w:p>
    <w:p w:rsidR="0070521B" w:rsidRDefault="0070521B" w:rsidP="0070521B">
      <w:pPr>
        <w:pStyle w:val="Corpsdetexte"/>
      </w:pPr>
      <w:r>
        <w:t>La « politique culturelle » du Front populaire est marquée par les nombreux projets de Jean Zay. Leur énumération pourrait vite s’avérer fastidieuse. Toutefois il n’est pas inutile de revenir brièvement sur les principaux d’entre eux. Le « ministre des Beaux-Arts » a participé activement à l’exposition internationale de 1937 organisé sur le thème des « arts et techniques dans la vie moderne ». A l’occasion de cette exposition de nombreux musées ont vu le jour. L’ancien palais du Trocadéro fut en partie reconstruit pour devenir le Palais de Chaillot et accueillir le musée de l’homme, le musée de la marine, le musée des arts et des traditions, le musée des monuments français. Dans l’environnement proche du Trocadéro fut édifié le musée des travaux publics, aujourd’hui Palais d’Iéna où siège le Conseil Economique et Social. Virent également le jour le musée des arts modernes, actuellement plus connu sous l’appellation de Palais de Tokyo (inauguré seulement en 1961) et le Palais de la Découverte dont l’un des objectifs est de faire sortir la science des laboratoires et de montrer à tous les publics la science en train de se faire. Cette volonté de permettre au plus grand nombre d’accéder à la culture, à la connaissance est au centre des actions culturelles menées par Jean Zay. Lorsque cela s’avérera nécessaire et urgent (en août 1939) il s’efforcera aussi de protéger le patrimoine culturel français : il fera notamment transporter dans les souterrains de certains châteaux de la Loire les chefs-d’œuvre de nombreux musées afin de les protéger des bombardements. Il s’efforce d’aider le théâtre aussi bien à Paris qu’en province. Il nomme un nouvel administrateur à la Comédie Française lui redonnant ainsi un coup de jeune et lui permettant de redevenir la première scène de Paris. Il est à l’initiative de la loi du 14 janvier 1939 portant réorganisation des théâtres lyriques nationaux : elle crée la Réunion des Théâtres Lyriques Nationaux qui est chargée de la gestion artistique et financière de l’Opéra (Opéra Garnier) et de l’Opéra comique. Il ambitionne de créer un véritable « </w:t>
      </w:r>
      <w:r>
        <w:rPr>
          <w:i/>
        </w:rPr>
        <w:t>théâtre populaire, dans lequel il voyait le moyen d’apporter à la masse des français une éducation artistique de qualité. Mû par ses sentiments profondément démocratique, le ministre voyait aussi le problème en pédagogue et estimait que le théâtre devait être un complément de l’école en apportant aux individus un supplément de culture</w:t>
      </w:r>
      <w:r>
        <w:t> »</w:t>
      </w:r>
      <w:r>
        <w:rPr>
          <w:rStyle w:val="Appelnotedebasdep"/>
        </w:rPr>
        <w:footnoteReference w:id="6"/>
      </w:r>
      <w:r>
        <w:t xml:space="preserve">. Jean Zay intervient également dans le domaine du cinéma. Il participe à la police du </w:t>
      </w:r>
      <w:r>
        <w:lastRenderedPageBreak/>
        <w:t>cinéma et s’oppose à ce que les associations de « défense de la famille », affichant ouvertement la défense d’un certain ordre moral guère compatible avec la liberté de création artistique, puissent intégrer la commission qui délivre les visas d’exploitation d’un film. Son projet d’un statut du cinéma</w:t>
      </w:r>
      <w:r>
        <w:rPr>
          <w:rStyle w:val="Appelnotedebasdep"/>
        </w:rPr>
        <w:footnoteReference w:id="7"/>
      </w:r>
      <w:r>
        <w:t xml:space="preserve"> devant instaurer une carte d’identité professionnelle, un institut bancaire spécialisé dans le soutien au cinéma ne pourra être discuté à temps devant les chambres. Il est l’initiateur du festival de Cannes dont l’objectif était de concurrencer la biennale de Venise. Ce festival devait se tenir tous les ans et son inauguration était prévue pour septembre 1939. La guerre en décidera autrement, mais sa renommée internationale aujourd’hui souligne le caractère visionnaire de son instigateur. Jean Zay était effectivement en avance sur son temps, en témoigne cette autre innovation qui doit faciliter l’accès à la lecture : les « bibliobus ». Ou bien ce projet de consacrer 1,5% des commandes publiques à des travaux de décoration : ce soutien aux artistes par le biais des commandes publiques subsiste encore de nos jours même si le pourcentage n’est plus que de 1%. Ou bien encore son immense projet de loi sur les droits d’auteur et le contrat d’édition</w:t>
      </w:r>
      <w:r>
        <w:rPr>
          <w:rStyle w:val="Appelnotedebasdep"/>
        </w:rPr>
        <w:footnoteReference w:id="8"/>
      </w:r>
      <w:r>
        <w:t xml:space="preserve"> dont l’objectif est de donner une meilleure protection aux travailleurs intellectuels. Jean Zay est également à l’origine du décret du 10 juillet 1936 qui rend obligatoire le versement des « dossiers, registres et pièces reconnus inutiles pour les ministères, administrations, services et établissements de l’Etat » et interdit toute destruction d’archives sans le visa officiel du directeur des Archives de France. </w:t>
      </w:r>
    </w:p>
    <w:p w:rsidR="0070521B" w:rsidRDefault="0070521B" w:rsidP="0070521B">
      <w:pPr>
        <w:pStyle w:val="Corpsdetexte"/>
      </w:pPr>
    </w:p>
    <w:p w:rsidR="0070521B" w:rsidRDefault="0070521B" w:rsidP="0070521B">
      <w:pPr>
        <w:pStyle w:val="Corpsdetexte"/>
      </w:pPr>
    </w:p>
    <w:p w:rsidR="0070521B" w:rsidRDefault="0070521B" w:rsidP="0070521B">
      <w:pPr>
        <w:pStyle w:val="Corpsdetexte"/>
      </w:pPr>
      <w:r>
        <w:t xml:space="preserve">Le Régime de Vichy contribue à renforcer l’intervention de l’Etat en matière culturelle. Cette intervention est au service de la «  Révolution nationale » et s’articule autour du respect des traditions et du folklore local. De plus Vichy doit compter, voire collaborer, avec le contrôle du secteur culturel par l’armée d’occupation (exclusion du milieu artistique des juifs et des anti-français, mise entre parenthèse de la liberté d’expression, contrôle de la presse, de la production des films…).  Le bilan culturel du Régime de Vichy doit être nuancé car de nombreuses lois ont laissé des traces dans notre paysage culturel actuel : en décembre 1940 apparaît l’Ordre des architectes, une loi de 1941 réorganise le secteur des musées, la loi du 27 septembre 1941 (loi Carcopino) donne les moyens à l’Etat d’agir pour protéger le patrimoine archéologique en cas </w:t>
      </w:r>
      <w:r>
        <w:lastRenderedPageBreak/>
        <w:t xml:space="preserve">de risque de destruction (fondement de ce qui est dénommé aujourd’hui, l’archéologie préventive). </w:t>
      </w:r>
    </w:p>
    <w:p w:rsidR="0070521B" w:rsidRDefault="0070521B" w:rsidP="0070521B">
      <w:pPr>
        <w:pStyle w:val="Corpsdetexte"/>
      </w:pPr>
    </w:p>
    <w:p w:rsidR="0070521B" w:rsidRDefault="0070521B" w:rsidP="0070521B">
      <w:pPr>
        <w:pStyle w:val="Corpsdetexte"/>
      </w:pPr>
      <w:r>
        <w:t xml:space="preserve">Si la Quatrième République est marquée par la reconnaissance symbolique d’un droit à la culture (cf supra) dans la Constitution du 27 octobre 1946, elle l’est également par l’absence de structure ministérielle autonome chargée de la culture. Le décret du 18 août 1945 organise la direction générale des arts et des lettres qui va être la seule véritable structure administrative stable dans le domaine culturel. Cette DG va être rattachée successivement au « ministère de la jeunesse, des arts et des lettres » (existence éphémère de janvier à novembre 1947), puis au « secrétariat d’Etat aux Beaux-Arts » (août 1951 à mai 1954), enfin au « secrétariat d’Etat aux Arts et Lettres » (février 1956 jusqu’à la fin du régime). Toutefois si cette DG a le mérite d’exister elle reste dans ses structures et ses moyens financiers totalement subordonnée au grand « ministère de l’Education nationale ». </w:t>
      </w:r>
    </w:p>
    <w:p w:rsidR="0070521B" w:rsidRDefault="0070521B" w:rsidP="0070521B">
      <w:pPr>
        <w:pStyle w:val="Corpsdetexte"/>
      </w:pPr>
      <w:r>
        <w:t xml:space="preserve">Malgré la faiblesse de ses moyens, la DG a eu à sa tête des fonctionnaires dynamiques qui ont su mettre en place certains projets ambitieux et influencer la classe politique pour qu’ils soient mis en œuvre. La démocratisation de l’accès à la culture s’exprime dans le domaine de la lecture publique et des bibliothèques. Une ordonnance du 2 novembre 1945 organise les bibliothèques centrales de prêts dans les départements (devenus depuis les bibliothèques départementales de prêts) en permettant notamment la desserte des petites communes par des bibliobus. Une ordonnance du 13 juillet 1945 réforme l’organisation des musées en classant ces derniers en trois catégories : musées nationaux, musées classés et musées contrôlés. La loi du 25 octobre 1946 crée le Centre National de la Cinématographie (aujourd’hui Centre national du cinéma et de l’image animée) qui joue un rôle essentiel dans la régulation de l’ensemble de la filière cinématographique. Elle est complétée par la loi du 23 septembre 1948 qui institue le premier mécanisme d’aide financier au cinéma français. Enfin la loi du 11 mars 1957 sur la propriété littéraire et artistique constitue encore aujourd’hui l’un des piliers fondamentaux des droits d’auteurs. </w:t>
      </w:r>
    </w:p>
    <w:p w:rsidR="0070521B" w:rsidRDefault="0070521B" w:rsidP="0070521B">
      <w:pPr>
        <w:pStyle w:val="Corpsdetexte"/>
      </w:pPr>
    </w:p>
    <w:p w:rsidR="0070521B" w:rsidRDefault="0070521B" w:rsidP="0070521B">
      <w:pPr>
        <w:pStyle w:val="Corpsdetexte"/>
      </w:pPr>
      <w:r>
        <w:t xml:space="preserve">Si l’année 1959 est considérée pour beaucoup comme l’an zéro des politiques culturelles en France, ces dernières n’en reposent pas moins sur ce riche héritage culturel qui vient d’être survolé. </w:t>
      </w:r>
      <w:r>
        <w:tab/>
        <w:t xml:space="preserve"> </w:t>
      </w:r>
    </w:p>
    <w:p w:rsidR="0070521B" w:rsidRDefault="0070521B" w:rsidP="0070521B">
      <w:pPr>
        <w:pStyle w:val="Corpsdetexte"/>
      </w:pPr>
      <w:r>
        <w:t xml:space="preserve">Cet historique de l’intervention des pouvoirs publics dans le domaine culturel n’illustre qu’une infime partie de la vie culturelle française. A côté de l’action des institutions publiques foisonnent les initiatives et les projets culturels individuels. Le droit de la culture ne peut bien </w:t>
      </w:r>
      <w:r>
        <w:lastRenderedPageBreak/>
        <w:t xml:space="preserve">évidemment saisir l’ensemble de la vie culturelle d’un pays, mais il permet de mieux comprendre comment l’Etat intervient dans la Culture. Une des difficultés posées par l’étude du droit de la culture réside dans le fait qu’il se situe à la frontière de nombreuses branches du droit et qu’il puise ses sources aussi bien dans le droit public que dans le droit privé. </w:t>
      </w:r>
    </w:p>
    <w:p w:rsidR="0070521B" w:rsidRDefault="0070521B" w:rsidP="0070521B">
      <w:pPr>
        <w:pStyle w:val="Corpsdetexte"/>
      </w:pPr>
    </w:p>
    <w:p w:rsidR="0070521B" w:rsidRDefault="0070521B" w:rsidP="0070521B">
      <w:pPr>
        <w:pStyle w:val="CHAPITRE"/>
      </w:pPr>
      <w:bookmarkStart w:id="13" w:name="_Toc213820887"/>
      <w:bookmarkStart w:id="14" w:name="_Toc213821594"/>
      <w:bookmarkStart w:id="15" w:name="_Toc213821779"/>
      <w:bookmarkStart w:id="16" w:name="_Toc213821997"/>
      <w:bookmarkStart w:id="17" w:name="_Toc213822513"/>
      <w:bookmarkStart w:id="18" w:name="_Toc213845037"/>
      <w:bookmarkStart w:id="19" w:name="_Toc442602400"/>
      <w:r>
        <w:t>Les sources du droit de la culture :</w:t>
      </w:r>
      <w:bookmarkEnd w:id="13"/>
      <w:bookmarkEnd w:id="14"/>
      <w:bookmarkEnd w:id="15"/>
      <w:bookmarkEnd w:id="16"/>
      <w:bookmarkEnd w:id="17"/>
      <w:bookmarkEnd w:id="18"/>
      <w:bookmarkEnd w:id="19"/>
      <w:r>
        <w:t xml:space="preserve"> </w:t>
      </w:r>
    </w:p>
    <w:p w:rsidR="0070521B" w:rsidRDefault="0070521B" w:rsidP="0070521B">
      <w:pPr>
        <w:pStyle w:val="Corpsdetexte"/>
      </w:pPr>
    </w:p>
    <w:p w:rsidR="0070521B" w:rsidRDefault="0070521B" w:rsidP="0070521B">
      <w:pPr>
        <w:pStyle w:val="Corpsdetexte"/>
      </w:pPr>
      <w:r>
        <w:t xml:space="preserve">Les sources du droit de la culture sont l’ensemble des règles de droit applicables aux institutions et aux activités culturelles au sein de l’Etat français. Les règles de droit n’ont pas toutes la même valeur juridique et par conséquent elles sont hiérarchisées entre elles. </w:t>
      </w:r>
    </w:p>
    <w:p w:rsidR="0070521B" w:rsidRDefault="0070521B" w:rsidP="0070521B">
      <w:pPr>
        <w:pStyle w:val="Corpsdetexte"/>
      </w:pPr>
    </w:p>
    <w:p w:rsidR="0070521B" w:rsidRDefault="0070521B" w:rsidP="0070521B">
      <w:pPr>
        <w:pStyle w:val="Corpsdetexte"/>
      </w:pPr>
      <w:r>
        <w:t>Au somment de cette hiérarchie l’on trouve la norme suprême ou fondamentale, la Constitution. La culture n’y fait l’objet que d’une seule référence expresse : « </w:t>
      </w:r>
      <w:r>
        <w:rPr>
          <w:i/>
        </w:rPr>
        <w:t>La nation garantit l’égal accès de l’enfant et de l’adulte à l’instruction, à la formation professionnelle et à la culture</w:t>
      </w:r>
      <w:r>
        <w:t xml:space="preserve"> » (Alinéa 13 du Préambule de la Constitution du 27 octobre 1946 intégré dans le Préambule de la Constitution du 4 octobre 1958). Cette disposition constitutionnelle consacre un égal accès de tous les citoyens à la culture, en d’autres termes un </w:t>
      </w:r>
      <w:r>
        <w:rPr>
          <w:u w:val="single"/>
        </w:rPr>
        <w:t>droit à la culture</w:t>
      </w:r>
      <w:r>
        <w:t>. Le préambule de la Constitution du 4 octobre 1958 comprend aussi la DDHC, son article 11 sert de fondement à la liberté d’expression. La loi du 7 juillet 2016 plutôt que de consacrer la notion de « libre expression artistique » dispose dans son article 1 : « la création artistique est libre ».  Dans son manuel « Le droit public de la culture »</w:t>
      </w:r>
      <w:r>
        <w:rPr>
          <w:rStyle w:val="Appelnotedebasdep"/>
        </w:rPr>
        <w:footnoteReference w:id="9"/>
      </w:r>
      <w:r>
        <w:t xml:space="preserve">, Jean-François Auby considère que la Constitution consacre aussi un droit à la diversité culturelle. Son article 75-1 dispose : « Les langues régionales appartiennent au patrimoine de la France ». Pourquoi ne pas considérer aussi qu’il s’agit d’une référence au patrimoine culturel immatériel consacré par une convention de l’UNESCO. La référence dans la Constitution française d’un droit à la culture ne reflète qu’droit de la culture. Ce dernier comprend aussi et essentiellement </w:t>
      </w:r>
      <w:r>
        <w:rPr>
          <w:u w:val="single"/>
        </w:rPr>
        <w:t>l’ensemble de la réglementation relative à la culture</w:t>
      </w:r>
      <w:r>
        <w:t xml:space="preserve">. </w:t>
      </w:r>
    </w:p>
    <w:p w:rsidR="0070521B" w:rsidRDefault="0070521B" w:rsidP="0070521B">
      <w:pPr>
        <w:pStyle w:val="Corpsdetexte"/>
      </w:pPr>
      <w:r>
        <w:t xml:space="preserve">L’essentiel de cette réglementation est contenu dans les lois et les règlements d’application des lois. Or ces lois et règlements sont extrêmement nombreux car le champ des activités culturelles est vaste et en interaction avec d’autres secteurs d’activité (urbanisme, environnement…) : la dernière loi à être entrée en vigueur est celle n°2006-925 du 7 juillet 2016 relative à la liberté de création, à l’architecture et au patrimoine. Depuis toujours les juristes confrontés au </w:t>
      </w:r>
      <w:r>
        <w:lastRenderedPageBreak/>
        <w:t>foisonnement des textes applicables, dans un souci de clarification et de simplification, regroupent l’ensemble de la réglementation dans des codes. La diversité des activités culturelles ne permet pas l’adoption d’un code de la culture. Toutefois il existe au moins trois codes qui ont pour objet essentiel le domaine de la culture. Le premier de ces codes a été instauré par la loi du 1</w:t>
      </w:r>
      <w:r>
        <w:rPr>
          <w:vertAlign w:val="superscript"/>
        </w:rPr>
        <w:t>er</w:t>
      </w:r>
      <w:r>
        <w:t xml:space="preserve"> juillet 1992 : le code de la propriété intellectuelle. Il regroupe l’ensemble des lois et des règlements d’application des lois relatifs à la propriété littéraire et artistique, c’est-à-dire aux droits d’auteur et aux droits voisins. Le second de ces codes a été adopté par l’ordonnance du 20 février 2004 : le code du patrimoine. L’examen attentif du code montre que l’essentiel de la réglementation concerne le patrimoine culturel : monuments historiques, musées, archives, bibliothèques… Or un examen encore plus attentif montre que cette réglementation du patrimoine culturel ne peut être détachée de la réglementation contenue dans d’autres codes. Le code du patrimoine apparaît tantôt comme un code « pilote », tantôt comme un code « suiveur ». Le code du patrimoine est un code « pilote » à l’égard du code général des collectivités territoriales : il oriente les dispositions relatives aux services publics locaux que sont les archives, les musées, les bibliothèques. Il n’est par contre qu’un code « suiveur » à l’égard du code pénal, du code des impôts, du code de l’urbanisme ou du code de l’environnement. Cela signifie que l’essentiel de la réglementation qui concerne les permis de construire sur les immeubles protégés ou inscrits se trouve dans le code de l’urbanisme ; l’essentiel de la réglementation relatif aux sites protégés ou inscrits se trouve dans le code de l’environnement. L’ordonnance n°2009-901 du 24 juillet 2009 institue le code du cinéma et de l’image animée qui se substitue au code de l’industrie cinématographique entré en vigueur en janvier 1956. L’étude du droit de la culture est complexe du fait de la ramification des règles de droit qui touchent directement ou indirectement au domaine culturel. </w:t>
      </w:r>
    </w:p>
    <w:p w:rsidR="0070521B" w:rsidRDefault="0070521B" w:rsidP="0070521B">
      <w:pPr>
        <w:pStyle w:val="Corpsdetexte"/>
      </w:pPr>
      <w:r>
        <w:t xml:space="preserve">Le législateur et le Gouvernement ne sont pas les seules autorités compétentes pour édicter des normes applicables dans le domaine de la culture. Depuis quelques années la réglementation internationale, communautaire et européenne, s’est considérablement accrue. La réglementation internationale émane pour l’essentiel de l’Unesco (Convention pour la sauvegarde du patrimoine culturel immatériel ratifiée par la loi n°2006-791 du 6 juillet 2006), la réglementation européenne du Conseil de l’Europe (convention pour la protection du patrimoine audiovisuel ratifiée par la loi n°2006-785 du 5 juillet 2006). L’Unesco est également connu pour sa liste du patrimoine mondial sur laquelle sont inscrits de nombreux biens culturels (Le Mont-Saint Michel et sa Baie en 1979, le pont du Gard (1985), la Cité de Carcassonne (1997), Vignoble de Champagne et de Bourgogne (2015) et naturels (Pitons et cirques de la Réunion en 2010) français. L’Organisation Mondiale du Commerce est une organisation </w:t>
      </w:r>
      <w:r>
        <w:lastRenderedPageBreak/>
        <w:t>internationale fondée en 1995 dont l’objet est l’application la plus large possible des règles de la libre concurrence aux marchandises et aux services. L’application des règles de l’OMC aux biens culturels heurtent de plein fouet « l’exception culturelle » française et européenne, notamment dans le domaine du cinéma. Le Conseil de l’Europe est une organisation internationale dont le périmètre d’action se situe à l’échelle européenne (47 Etats membres dont la Turquie). Le Conseil de l’Europe intervient dans le domaine culturel, il est à l’origine de la Charte européenne des langues régionales et minoritaires ; mais aussi dans le domaine des droits de l’Homme, il a produit la Convention européenne de sauvegarde des droits de l’Homme et des libertés fondamentales, dite CEDH. Enfin la réglementation communautaire de l’Union européenne se traduit par des règlements et des directives. La réglementation de l’Union Européenne est essentiellement économique, marginalement culturelle (transposition par la loi du 1</w:t>
      </w:r>
      <w:r>
        <w:rPr>
          <w:vertAlign w:val="superscript"/>
        </w:rPr>
        <w:t>er</w:t>
      </w:r>
      <w:r>
        <w:t xml:space="preserve"> août 2006 de la directive communautaire du 22 mai 2001 sur l’harmonisation des droits d’auteur et des droits voisins dans la société de l’information). L’Union européenne est aussi à l’origine d’action emblématique : la Capitale européenne de la culture initiée en 1985 par la ministre grecque de la culture Mélina Mercouri et par Jack Lang ou bien les journées européennes du patrimoine. Cette réglementation possède une valeur infra constitutionnelle et supra législative.  </w:t>
      </w:r>
    </w:p>
    <w:p w:rsidR="0070521B" w:rsidRDefault="0070521B" w:rsidP="0070521B">
      <w:pPr>
        <w:pStyle w:val="Corpsdetexte"/>
      </w:pPr>
      <w:r>
        <w:t xml:space="preserve">Enfin une des sources du droit de la culture résulte de la jurisprudence. La jurisprudence peut être définie comme l’ensemble des décisions rendues par les juridictions lorsqu’elles appliquent le droit en vigueur. Parfois à l’occasion d’un litige, d’un contentieux, les juridictions sont amenées à créer des règles de droit : elles créent de la jurisprudence. Cette jurisprudence peut émaner des juridictions judiciaires qui appliquent le droit privé et des juridictions administratives qui appliquent le droit public. Une des caractéristiques du droit de la culture est d’être à la frontière du droit privé et du droit public. Dans la mesure ou le pouvoir juridictionnel est soumis au pouvoir législatif, la jurisprudence à une valeur infra législative, mais supra réglementaire. </w:t>
      </w:r>
    </w:p>
    <w:p w:rsidR="0070521B" w:rsidRDefault="0070521B" w:rsidP="0070521B">
      <w:pPr>
        <w:pStyle w:val="Corpsdetexte"/>
      </w:pPr>
    </w:p>
    <w:p w:rsidR="0070521B" w:rsidRDefault="0070521B" w:rsidP="0070521B">
      <w:pPr>
        <w:pStyle w:val="Corpsdetexte"/>
      </w:pPr>
      <w:r>
        <w:t>C’est l’ensemble de ces règles de droit qui sont la source du droit de la culture. Elles déterminent le statut des institutions culturelles (1</w:t>
      </w:r>
      <w:r>
        <w:rPr>
          <w:vertAlign w:val="superscript"/>
        </w:rPr>
        <w:t>ere</w:t>
      </w:r>
      <w:r>
        <w:t xml:space="preserve"> partie) et le régime juridique des activités culturelles (2</w:t>
      </w:r>
      <w:r>
        <w:rPr>
          <w:vertAlign w:val="superscript"/>
        </w:rPr>
        <w:t>ième</w:t>
      </w:r>
      <w:r>
        <w:t xml:space="preserve"> partie). </w:t>
      </w:r>
    </w:p>
    <w:p w:rsidR="0070521B" w:rsidRDefault="0070521B" w:rsidP="0070521B">
      <w:pPr>
        <w:pStyle w:val="Corpsdetexte"/>
      </w:pPr>
    </w:p>
    <w:p w:rsidR="0070521B" w:rsidRDefault="0070521B" w:rsidP="0070521B">
      <w:pPr>
        <w:pStyle w:val="Corpsdetexte"/>
      </w:pPr>
    </w:p>
    <w:p w:rsidR="00350595" w:rsidRDefault="00350595">
      <w:bookmarkStart w:id="20" w:name="_GoBack"/>
      <w:bookmarkEnd w:id="20"/>
    </w:p>
    <w:sectPr w:rsidR="003505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09E" w:rsidRDefault="00BD009E" w:rsidP="0070521B">
      <w:pPr>
        <w:spacing w:after="0" w:line="240" w:lineRule="auto"/>
      </w:pPr>
      <w:r>
        <w:separator/>
      </w:r>
    </w:p>
  </w:endnote>
  <w:endnote w:type="continuationSeparator" w:id="0">
    <w:p w:rsidR="00BD009E" w:rsidRDefault="00BD009E" w:rsidP="00705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09E" w:rsidRDefault="00BD009E" w:rsidP="0070521B">
      <w:pPr>
        <w:spacing w:after="0" w:line="240" w:lineRule="auto"/>
      </w:pPr>
      <w:r>
        <w:separator/>
      </w:r>
    </w:p>
  </w:footnote>
  <w:footnote w:type="continuationSeparator" w:id="0">
    <w:p w:rsidR="00BD009E" w:rsidRDefault="00BD009E" w:rsidP="0070521B">
      <w:pPr>
        <w:spacing w:after="0" w:line="240" w:lineRule="auto"/>
      </w:pPr>
      <w:r>
        <w:continuationSeparator/>
      </w:r>
    </w:p>
  </w:footnote>
  <w:footnote w:id="1">
    <w:p w:rsidR="0070521B" w:rsidRDefault="0070521B" w:rsidP="0070521B">
      <w:pPr>
        <w:pStyle w:val="Notedebasdepage"/>
      </w:pPr>
      <w:r>
        <w:rPr>
          <w:rStyle w:val="Appelnotedebasdep"/>
        </w:rPr>
        <w:footnoteRef/>
      </w:r>
      <w:r>
        <w:t xml:space="preserve"> P. DUPRE et G. OLLENDORFF, Traité de l’administration des Beaux-arts, Tome 1 et 2, 1885</w:t>
      </w:r>
    </w:p>
  </w:footnote>
  <w:footnote w:id="2">
    <w:p w:rsidR="0070521B" w:rsidRDefault="0070521B" w:rsidP="0070521B">
      <w:pPr>
        <w:pStyle w:val="Notedebasdepage"/>
      </w:pPr>
      <w:r>
        <w:rPr>
          <w:rStyle w:val="Appelnotedebasdep"/>
        </w:rPr>
        <w:footnoteRef/>
      </w:r>
      <w:r>
        <w:t xml:space="preserve"> Cette dernière est issue d’une réforme qui commence avec</w:t>
      </w:r>
      <w:r w:rsidRPr="004800B4">
        <w:t xml:space="preserve"> </w:t>
      </w:r>
      <w:r>
        <w:t>la Constitution de l’an III en 1795 qui fonde l’Institut de France (héritier des anciennes académies royales).</w:t>
      </w:r>
    </w:p>
  </w:footnote>
  <w:footnote w:id="3">
    <w:p w:rsidR="0070521B" w:rsidRDefault="0070521B" w:rsidP="0070521B">
      <w:pPr>
        <w:pStyle w:val="Notedebasdepage"/>
      </w:pPr>
      <w:r>
        <w:rPr>
          <w:rStyle w:val="Appelnotedebasdep"/>
        </w:rPr>
        <w:footnoteRef/>
      </w:r>
      <w:r>
        <w:t xml:space="preserve"> G. MONNIER, L’art et ses institutions en France, Folio Histoire, 1995, p.69. </w:t>
      </w:r>
    </w:p>
  </w:footnote>
  <w:footnote w:id="4">
    <w:p w:rsidR="0070521B" w:rsidRDefault="0070521B" w:rsidP="0070521B">
      <w:pPr>
        <w:pStyle w:val="Notedebasdepage"/>
      </w:pPr>
      <w:r>
        <w:rPr>
          <w:rStyle w:val="Appelnotedebasdep"/>
        </w:rPr>
        <w:footnoteRef/>
      </w:r>
      <w:r>
        <w:t xml:space="preserve"> G. MONNIER, op.cit, p.129.</w:t>
      </w:r>
    </w:p>
  </w:footnote>
  <w:footnote w:id="5">
    <w:p w:rsidR="0070521B" w:rsidRDefault="0070521B" w:rsidP="0070521B">
      <w:pPr>
        <w:pStyle w:val="Notedebasdepage"/>
      </w:pPr>
      <w:r>
        <w:rPr>
          <w:rStyle w:val="Appelnotedebasdep"/>
        </w:rPr>
        <w:footnoteRef/>
      </w:r>
      <w:r>
        <w:t xml:space="preserve"> G. MONNIER, Op.cit, p.288. </w:t>
      </w:r>
    </w:p>
  </w:footnote>
  <w:footnote w:id="6">
    <w:p w:rsidR="0070521B" w:rsidRDefault="0070521B" w:rsidP="0070521B">
      <w:pPr>
        <w:pStyle w:val="Notedebasdepage"/>
      </w:pPr>
      <w:r>
        <w:rPr>
          <w:rStyle w:val="Appelnotedebasdep"/>
        </w:rPr>
        <w:footnoteRef/>
      </w:r>
      <w:r>
        <w:t xml:space="preserve"> M. Ruby, La vie et l’œuvre de Jean Zay, p.310-311. </w:t>
      </w:r>
    </w:p>
  </w:footnote>
  <w:footnote w:id="7">
    <w:p w:rsidR="0070521B" w:rsidRDefault="0070521B" w:rsidP="0070521B">
      <w:pPr>
        <w:pStyle w:val="Notedebasdepage"/>
      </w:pPr>
      <w:r>
        <w:rPr>
          <w:rStyle w:val="Appelnotedebasdep"/>
        </w:rPr>
        <w:footnoteRef/>
      </w:r>
      <w:r>
        <w:t xml:space="preserve"> L. Saboulard, </w:t>
      </w:r>
      <w:r>
        <w:rPr>
          <w:i/>
          <w:iCs/>
        </w:rPr>
        <w:t>Jean Zay, ministre des Beaux-Arts (1936-1939), Etude de cas sur sa politique cinématographique</w:t>
      </w:r>
      <w:r>
        <w:t xml:space="preserve">, Mémoire de master 1, Université de Toulouse- Le Mirail, 2009. </w:t>
      </w:r>
    </w:p>
  </w:footnote>
  <w:footnote w:id="8">
    <w:p w:rsidR="0070521B" w:rsidRDefault="0070521B" w:rsidP="0070521B">
      <w:pPr>
        <w:pStyle w:val="Notedebasdepage"/>
      </w:pPr>
      <w:r>
        <w:rPr>
          <w:rStyle w:val="Appelnotedebasdep"/>
        </w:rPr>
        <w:footnoteRef/>
      </w:r>
      <w:r>
        <w:t xml:space="preserve"> F. Reneaud, Une tentative de suppression de la propriété littéraire et artistique : le projet de Jean Zay sur le droit d’auteur et le contrat d’édition, </w:t>
      </w:r>
      <w:r>
        <w:rPr>
          <w:i/>
          <w:iCs/>
        </w:rPr>
        <w:t>Revue Lamy Droit de l’immatériel</w:t>
      </w:r>
      <w:r>
        <w:t xml:space="preserve">, octobre 2008. </w:t>
      </w:r>
    </w:p>
    <w:p w:rsidR="0070521B" w:rsidRDefault="0070521B" w:rsidP="0070521B">
      <w:pPr>
        <w:pStyle w:val="Notedebasdepage"/>
      </w:pPr>
    </w:p>
    <w:p w:rsidR="0070521B" w:rsidRDefault="0070521B" w:rsidP="0070521B">
      <w:pPr>
        <w:pStyle w:val="Notedebasdepage"/>
      </w:pPr>
    </w:p>
  </w:footnote>
  <w:footnote w:id="9">
    <w:p w:rsidR="0070521B" w:rsidRDefault="0070521B" w:rsidP="0070521B">
      <w:pPr>
        <w:pStyle w:val="Notedebasdepage"/>
      </w:pPr>
      <w:r>
        <w:rPr>
          <w:rStyle w:val="Appelnotedebasdep"/>
        </w:rPr>
        <w:footnoteRef/>
      </w:r>
      <w:r>
        <w:t xml:space="preserve"> J.F AUBRY, « Le droit public de la culture », Berger Levrault, 2016, p.48.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1B"/>
    <w:rsid w:val="00350595"/>
    <w:rsid w:val="0070521B"/>
    <w:rsid w:val="00BD00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7F234-23C2-4A9D-BE55-E8BB2B75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répertoire texte"/>
    <w:basedOn w:val="Normal"/>
    <w:link w:val="CorpsdetexteCar"/>
    <w:semiHidden/>
    <w:rsid w:val="0070521B"/>
    <w:pPr>
      <w:spacing w:after="0" w:line="36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semiHidden/>
    <w:rsid w:val="0070521B"/>
    <w:rPr>
      <w:rFonts w:ascii="Times New Roman" w:eastAsia="Times New Roman" w:hAnsi="Times New Roman" w:cs="Times New Roman"/>
      <w:sz w:val="24"/>
      <w:szCs w:val="20"/>
      <w:lang w:eastAsia="fr-FR"/>
    </w:rPr>
  </w:style>
  <w:style w:type="character" w:styleId="Appelnotedebasdep">
    <w:name w:val="footnote reference"/>
    <w:semiHidden/>
    <w:rsid w:val="0070521B"/>
    <w:rPr>
      <w:vertAlign w:val="superscript"/>
    </w:rPr>
  </w:style>
  <w:style w:type="paragraph" w:styleId="Notedebasdepage">
    <w:name w:val="footnote text"/>
    <w:basedOn w:val="Normal"/>
    <w:link w:val="NotedebasdepageCar"/>
    <w:semiHidden/>
    <w:rsid w:val="0070521B"/>
    <w:pPr>
      <w:spacing w:after="0" w:line="240" w:lineRule="auto"/>
      <w:jc w:val="both"/>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70521B"/>
    <w:rPr>
      <w:rFonts w:ascii="Times New Roman" w:eastAsia="Times New Roman" w:hAnsi="Times New Roman" w:cs="Times New Roman"/>
      <w:sz w:val="20"/>
      <w:szCs w:val="20"/>
      <w:lang w:eastAsia="fr-FR"/>
    </w:rPr>
  </w:style>
  <w:style w:type="paragraph" w:customStyle="1" w:styleId="PARTIE">
    <w:name w:val="PARTIE"/>
    <w:basedOn w:val="TM1"/>
    <w:next w:val="TM1"/>
    <w:rsid w:val="0070521B"/>
    <w:pPr>
      <w:spacing w:after="0" w:line="240" w:lineRule="auto"/>
      <w:jc w:val="center"/>
    </w:pPr>
    <w:rPr>
      <w:rFonts w:ascii="Times New Roman" w:eastAsia="Times New Roman" w:hAnsi="Times New Roman" w:cs="Times New Roman"/>
      <w:b/>
      <w:bCs/>
      <w:sz w:val="40"/>
      <w:szCs w:val="24"/>
      <w:lang w:eastAsia="fr-FR"/>
    </w:rPr>
  </w:style>
  <w:style w:type="paragraph" w:customStyle="1" w:styleId="CHAPITRE">
    <w:name w:val="CHAPITRE"/>
    <w:basedOn w:val="Normal"/>
    <w:rsid w:val="0070521B"/>
    <w:pPr>
      <w:spacing w:after="0" w:line="360" w:lineRule="auto"/>
      <w:jc w:val="both"/>
    </w:pPr>
    <w:rPr>
      <w:rFonts w:ascii="Times New Roman" w:eastAsia="Times New Roman" w:hAnsi="Times New Roman" w:cs="Times New Roman"/>
      <w:b/>
      <w:sz w:val="32"/>
      <w:szCs w:val="20"/>
      <w:lang w:eastAsia="fr-FR"/>
    </w:rPr>
  </w:style>
  <w:style w:type="paragraph" w:styleId="TM1">
    <w:name w:val="toc 1"/>
    <w:basedOn w:val="Normal"/>
    <w:next w:val="Normal"/>
    <w:autoRedefine/>
    <w:uiPriority w:val="39"/>
    <w:semiHidden/>
    <w:unhideWhenUsed/>
    <w:rsid w:val="0070521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4544</Words>
  <Characters>24997</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reneaud</dc:creator>
  <cp:keywords/>
  <dc:description/>
  <cp:lastModifiedBy>fabrice reneaud</cp:lastModifiedBy>
  <cp:revision>1</cp:revision>
  <dcterms:created xsi:type="dcterms:W3CDTF">2016-10-05T16:06:00Z</dcterms:created>
  <dcterms:modified xsi:type="dcterms:W3CDTF">2016-10-05T16:09:00Z</dcterms:modified>
</cp:coreProperties>
</file>