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7" w:rsidRPr="00A53034" w:rsidRDefault="000A5CD7" w:rsidP="000A5CD7">
      <w:pPr>
        <w:spacing w:beforeAutospacing="1" w:after="0" w:afterAutospacing="1" w:line="270" w:lineRule="atLeast"/>
        <w:outlineLvl w:val="1"/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3"/>
          <w:szCs w:val="23"/>
          <w:lang w:eastAsia="fr-FR"/>
        </w:rPr>
      </w:pPr>
      <w:r w:rsidRPr="00A53034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3"/>
          <w:lang w:eastAsia="fr-FR"/>
        </w:rPr>
        <w:t> </w:t>
      </w:r>
      <w:hyperlink r:id="rId4" w:anchor="46951" w:history="1">
        <w:r w:rsidRPr="00A53034">
          <w:rPr>
            <w:rFonts w:ascii="Comic Sans MS" w:eastAsia="Times New Roman" w:hAnsi="Comic Sans MS" w:cs="Times New Roman"/>
            <w:b/>
            <w:bCs/>
            <w:i/>
            <w:iCs/>
            <w:color w:val="000000" w:themeColor="text1"/>
            <w:sz w:val="23"/>
            <w:u w:val="single"/>
            <w:lang w:eastAsia="fr-FR"/>
          </w:rPr>
          <w:t xml:space="preserve"> </w:t>
        </w:r>
        <w:proofErr w:type="gramStart"/>
        <w:r w:rsidRPr="00A53034">
          <w:rPr>
            <w:rFonts w:ascii="Comic Sans MS" w:eastAsia="Times New Roman" w:hAnsi="Comic Sans MS" w:cs="Times New Roman"/>
            <w:b/>
            <w:bCs/>
            <w:i/>
            <w:iCs/>
            <w:color w:val="000000" w:themeColor="text1"/>
            <w:sz w:val="23"/>
            <w:u w:val="single"/>
            <w:lang w:eastAsia="fr-FR"/>
          </w:rPr>
          <w:t>comptabilisation</w:t>
        </w:r>
        <w:proofErr w:type="gramEnd"/>
        <w:r w:rsidRPr="00A53034">
          <w:rPr>
            <w:rFonts w:ascii="Comic Sans MS" w:eastAsia="Times New Roman" w:hAnsi="Comic Sans MS" w:cs="Times New Roman"/>
            <w:b/>
            <w:bCs/>
            <w:i/>
            <w:iCs/>
            <w:color w:val="000000" w:themeColor="text1"/>
            <w:sz w:val="23"/>
            <w:u w:val="single"/>
            <w:lang w:eastAsia="fr-FR"/>
          </w:rPr>
          <w:t xml:space="preserve"> de D10</w:t>
        </w:r>
      </w:hyperlink>
    </w:p>
    <w:p w:rsidR="000A5CD7" w:rsidRPr="00A53034" w:rsidRDefault="000A5CD7" w:rsidP="000A5CD7">
      <w:pPr>
        <w:spacing w:after="0" w:line="336" w:lineRule="atLeast"/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</w:pP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Sur la base d’une facture pro forma, ou un contrat, établie par votre fournisseur, libellée en Euros ou en Us dollars vous allez procéder à l’importation d’une matière première destinée à la production au niveau de votre entreprise.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0"/>
          <w:u w:val="single"/>
          <w:lang w:eastAsia="fr-FR"/>
        </w:rPr>
        <w:t>ETAPE 1 Demande d’Ouverture de la lettre de crédit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Muni de cette facture pro forma vous allez faire une demande d’ouverture d’une lettre de crédit au profit de votre fournisseur X (imprimé disponible au niveau de la banque)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Cette demande doit comporter exactement tous les termes existant sur la facture ou le contrat, ainsi que les documents devant parvenir à votre banque pour dédouanement de la matière première ( Factures commerciales, connaissement, Certificat d’origine, certificat de conformité, certificat d’analyse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etc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…), ces documents parviendront de la banque de votre fournisseur à la votre.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La matérialisation de ce Credoc se fait par Swift entre les 2 banques. </w:t>
      </w:r>
      <w:proofErr w:type="gram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à</w:t>
      </w:r>
      <w:proofErr w:type="gram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la réception de la lettre de crédit, votre fournisseur procédera à l’acheminement de la matière première.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1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vertAlign w:val="superscript"/>
          <w:lang w:eastAsia="fr-FR"/>
        </w:rPr>
        <w:t>er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Ecriture Comptable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 l’ouverture de la lettre de crédit la banque procédera à la provision de cette de crédit.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Exemple :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Montant de la facture en USD = 120.000,00 $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 la date d’ouverture du 20/09/2010 le cours est de 74,00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La contre valeur de cette provision est de : 8.880.000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L’avis de Débit de votre banque sera ainsi comptabilisé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542 Régies et accréditifs …………………8.880.000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512 Banque……………………………….8.880.000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0"/>
          <w:u w:val="single"/>
          <w:lang w:eastAsia="fr-FR"/>
        </w:rPr>
        <w:t>ETAPE 2 Arrivée de la marchandise et dédouanement.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 la réception d’un avis d’arrivée émis par la compagnie maritime, vous allez récupérer et domicilier ces documents auprès de votre banque. Ces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documents sont remis à votre transitaire pour faire la déclaration au niveau de l’inspection des douanes du port de débarquement.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Procédure et écritures qui vont caractériser cette opération d’importation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Sur la base des documents facture originale, connaissement le transitaire procède à la déclaration comme suit :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lastRenderedPageBreak/>
        <w:t>Date d’arrivé de la matière première 15/10/2010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Valeur de la facture 120.000,00 $ x Taux du Jour en douane 73.50 $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Facture 120.000,00 $ x 73,50 DA = 8.820.000,00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Sur la base de 8.820.000 DA vous allez payer les droits de douanes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Généralement de 5% pour la matière première est de 15 à 40% pour d’autres produits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8820.000 DA x5% = 441.000,00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Vous allez payer la TVA 17% sur (8.820.000,00 DA + 441.000,00 DA) x17% = 1.574.370,00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Le montant du chèque à libeller au profit de la recette des douanes est de :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1.574.370 DA + 441.000,00 DA soit 2.015.370, 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En plus des frais de douanes, vous allez procéder au paiement des frais de manutention, Gardiennage, Débours du port et frais de convoyage s’il s’agit de produits sensibles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etc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… disons 200.000,00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Les honoraires du transitaire rémunéré par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contenair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20.000,00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Les Ecritures à constater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JOURNAL DES ACHATS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D 381 Facture Fournisseur X D10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n°XX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…….8.820.000.00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382 frais …………………..…………………200.000.00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385 Droits de douanes………………………..441.000.00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445 TVA Sur D10 n°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XXXdu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………..….....1.574.370.00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401 Facture Fournisseur x………….…..….8.820.000.00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401 Recette Douanes Alger……..…………2.015.370.00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C 401 Autres Créditeurs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sogeprts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Alger …..…..200.000.00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JOURNAL DE STOCKS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31 Entrée Stocks MP………..………9.461.000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381 Facture Fournisseur X ………..………………8.820.000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lastRenderedPageBreak/>
        <w:t>C 382 Frais……….…………………………….....……200.000,00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385 Droits de douanes……..……………..………….441.000,00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 la date Du transfert du règlement au profit du Fournisseur, disons le 30/10/2010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Vous allez avoir Un avis de crédit de votre banque pour la restitution de la provision du 20/09/2010 8.880.000,00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Avis de crédit à comptabiliser comme suit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512 Banque………………. 8.880.000,00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 542 Régies et accréditifs……………… 8.880.000,00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Lors du paiement du fournisseur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Avis de Débit pour paiement au taux du Jour le 30/10/2010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Cours du Jour USD = 75 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Vous allez recevoir un Avis de débit que vous allez comptabiliser ainsi :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401 Fournisseur X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Fact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N°XX …………9.000.000,00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512 Banque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regl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fact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fourniss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x……………….….9.000.000,00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lang w:eastAsia="fr-FR"/>
        </w:rPr>
        <w:t> 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Nous allons remarquer que seul le compte Fournisseur présente un solde débiteur de 180.000,00 DA qui est dû à la fluctuation du Dinar à la date d’entrée de la MP et de la date de règlement du fournisseur.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9.000.000 DA – 8.820.000,00 DA = 180.000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Que nous allons solder par le Débit du compte </w:t>
      </w:r>
      <w:proofErr w:type="gram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:</w:t>
      </w:r>
      <w:proofErr w:type="gram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>D 666. Charges Différences sur change 180.000 DA</w:t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</w:r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br/>
        <w:t xml:space="preserve">C 401 </w:t>
      </w:r>
      <w:proofErr w:type="spellStart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>Fact</w:t>
      </w:r>
      <w:proofErr w:type="spellEnd"/>
      <w:r w:rsidRPr="00A53034">
        <w:rPr>
          <w:rFonts w:ascii="Comic Sans MS" w:eastAsia="Times New Roman" w:hAnsi="Comic Sans MS" w:cs="Times New Roman"/>
          <w:i/>
          <w:iCs/>
          <w:color w:val="000000" w:themeColor="text1"/>
          <w:sz w:val="20"/>
          <w:szCs w:val="20"/>
          <w:lang w:eastAsia="fr-FR"/>
        </w:rPr>
        <w:t xml:space="preserve"> fournisseur x ………………………………..180.000 DA</w:t>
      </w:r>
    </w:p>
    <w:p w:rsidR="00B06759" w:rsidRPr="00A53034" w:rsidRDefault="00B06759">
      <w:pPr>
        <w:rPr>
          <w:rFonts w:ascii="Comic Sans MS" w:hAnsi="Comic Sans MS"/>
          <w:i/>
          <w:iCs/>
          <w:color w:val="000000" w:themeColor="text1"/>
        </w:rPr>
      </w:pPr>
    </w:p>
    <w:sectPr w:rsidR="00B06759" w:rsidRPr="00A53034" w:rsidSect="000A5CD7">
      <w:pgSz w:w="11906" w:h="16838"/>
      <w:pgMar w:top="426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CD7"/>
    <w:rsid w:val="000A5CD7"/>
    <w:rsid w:val="001E3903"/>
    <w:rsid w:val="00A53034"/>
    <w:rsid w:val="00B0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59"/>
  </w:style>
  <w:style w:type="paragraph" w:styleId="Titre2">
    <w:name w:val="heading 2"/>
    <w:basedOn w:val="Normal"/>
    <w:link w:val="Titre2Car"/>
    <w:uiPriority w:val="9"/>
    <w:qFormat/>
    <w:rsid w:val="000A5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5C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0A5CD7"/>
  </w:style>
  <w:style w:type="character" w:styleId="Lienhypertexte">
    <w:name w:val="Hyperlink"/>
    <w:basedOn w:val="Policepardfaut"/>
    <w:uiPriority w:val="99"/>
    <w:semiHidden/>
    <w:unhideWhenUsed/>
    <w:rsid w:val="000A5CD7"/>
    <w:rPr>
      <w:color w:val="0000FF"/>
      <w:u w:val="single"/>
    </w:rPr>
  </w:style>
  <w:style w:type="paragraph" w:customStyle="1" w:styleId="author">
    <w:name w:val="author"/>
    <w:basedOn w:val="Normal"/>
    <w:rsid w:val="000A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5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3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777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ta-alg.com/t8149-comptabilisation-de-d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3911</Characters>
  <Application>Microsoft Office Word</Application>
  <DocSecurity>0</DocSecurity>
  <Lines>32</Lines>
  <Paragraphs>9</Paragraphs>
  <ScaleCrop>false</ScaleCrop>
  <Company>TOSHIBA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medani amar said don</dc:creator>
  <cp:lastModifiedBy>PC</cp:lastModifiedBy>
  <cp:revision>3</cp:revision>
  <dcterms:created xsi:type="dcterms:W3CDTF">2014-04-21T07:38:00Z</dcterms:created>
  <dcterms:modified xsi:type="dcterms:W3CDTF">2014-04-21T06:45:00Z</dcterms:modified>
</cp:coreProperties>
</file>