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colors1.xml" ContentType="application/vnd.openxmlformats-officedocument.drawingml.diagramColors+xml"/>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rawing4.xml" ContentType="application/vnd.ms-office.drawingml.diagramDrawing+xml"/>
  <Override PartName="/word/diagrams/layout9.xml" ContentType="application/vnd.openxmlformats-officedocument.drawingml.diagramLayout+xml"/>
  <Override PartName="/word/diagrams/data10.xml" ContentType="application/vnd.openxmlformats-officedocument.drawingml.diagramData+xml"/>
  <Override PartName="/word/diagrams/layout10.xml" ContentType="application/vnd.openxmlformats-officedocument.drawingml.diagramLayout+xml"/>
  <Override PartName="/word/diagrams/drawing2.xml" ContentType="application/vnd.ms-office.drawingml.diagramDrawing+xml"/>
  <Override PartName="/word/drawings/drawing2.xml" ContentType="application/vnd.openxmlformats-officedocument.drawingml.chartshapes+xml"/>
  <Override PartName="/word/diagrams/layout7.xml" ContentType="application/vnd.openxmlformats-officedocument.drawingml.diagramLayout+xml"/>
  <Override PartName="/word/diagrams/quickStyle9.xml" ContentType="application/vnd.openxmlformats-officedocument.drawingml.diagramStyle+xml"/>
  <Override PartName="/word/footer1.xml" ContentType="application/vnd.openxmlformats-officedocument.wordprocessingml.footer+xml"/>
  <Override PartName="/word/diagrams/layout5.xml" ContentType="application/vnd.openxmlformats-officedocument.drawingml.diagramLayout+xml"/>
  <Override PartName="/word/charts/chart4.xml" ContentType="application/vnd.openxmlformats-officedocument.drawingml.chart+xml"/>
  <Override PartName="/word/diagrams/layout6.xml" ContentType="application/vnd.openxmlformats-officedocument.drawingml.diagramLayout+xml"/>
  <Override PartName="/word/diagrams/quickStyle7.xml" ContentType="application/vnd.openxmlformats-officedocument.drawingml.diagramStyle+xml"/>
  <Override PartName="/word/charts/chart5.xml" ContentType="application/vnd.openxmlformats-officedocument.drawingml.chart+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Default Extension="xlsx" ContentType="application/vnd.openxmlformats-officedocument.spreadsheetml.sheet"/>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diagrams/colors9.xml" ContentType="application/vnd.openxmlformats-officedocument.drawingml.diagramColors+xml"/>
  <Override PartName="/word/diagrams/drawing10.xml" ContentType="application/vnd.ms-office.drawingml.diagramDrawing+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rawing9.xml" ContentType="application/vnd.ms-office.drawingml.diagramDrawing+xml"/>
  <Override PartName="/word/diagrams/quickStyle10.xml" ContentType="application/vnd.openxmlformats-officedocument.drawingml.diagramStyle+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Default Extension="jpeg" ContentType="image/jpeg"/>
  <Override PartName="/word/diagrams/drawing5.xml" ContentType="application/vnd.ms-office.drawingml.diagramDrawing+xml"/>
  <Override PartName="/word/numbering.xml" ContentType="application/vnd.openxmlformats-officedocument.wordprocessingml.numbering+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iagrams/drawing1.xml" ContentType="application/vnd.ms-office.drawingml.diagramDrawing+xml"/>
  <Override PartName="/word/diagrams/layout8.xml" ContentType="application/vnd.openxmlformats-officedocument.drawingml.diagramLayout+xml"/>
  <Override PartName="/word/charts/chart6.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431A" w:rsidRPr="00441F0A" w:rsidRDefault="006649F8" w:rsidP="000D0609">
      <w:pPr>
        <w:spacing w:line="276" w:lineRule="auto"/>
        <w:jc w:val="center"/>
        <w:rPr>
          <w:rFonts w:ascii="Times New Roman" w:hAnsi="Times New Roman" w:cs="Times New Roman"/>
          <w:b/>
          <w:sz w:val="24"/>
          <w:szCs w:val="24"/>
        </w:rPr>
      </w:pPr>
      <w:r>
        <w:rPr>
          <w:rFonts w:ascii="Times New Roman" w:hAnsi="Times New Roman" w:cs="Times New Roman"/>
          <w:b/>
          <w:noProof/>
          <w:sz w:val="24"/>
          <w:szCs w:val="24"/>
          <w:lang w:eastAsia="fr-CA"/>
        </w:rPr>
        <w:drawing>
          <wp:inline distT="0" distB="0" distL="0" distR="0">
            <wp:extent cx="3676346" cy="1612231"/>
            <wp:effectExtent l="19050" t="0" r="304" b="0"/>
            <wp:docPr id="51" name="Image 9" descr="C:\Users\Célia\Documents\Administration des affaires\Hiver 2015\Gestion stratégique des entreprises\logo2bla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élia\Documents\Administration des affaires\Hiver 2015\Gestion stratégique des entreprises\logo2blanc.jpg"/>
                    <pic:cNvPicPr>
                      <a:picLocks noChangeAspect="1" noChangeArrowheads="1"/>
                    </pic:cNvPicPr>
                  </pic:nvPicPr>
                  <pic:blipFill>
                    <a:blip r:embed="rId8" cstate="print"/>
                    <a:srcRect/>
                    <a:stretch>
                      <a:fillRect/>
                    </a:stretch>
                  </pic:blipFill>
                  <pic:spPr bwMode="auto">
                    <a:xfrm>
                      <a:off x="0" y="0"/>
                      <a:ext cx="3675886" cy="1612029"/>
                    </a:xfrm>
                    <a:prstGeom prst="rect">
                      <a:avLst/>
                    </a:prstGeom>
                    <a:noFill/>
                    <a:ln w="9525">
                      <a:noFill/>
                      <a:miter lim="800000"/>
                      <a:headEnd/>
                      <a:tailEnd/>
                    </a:ln>
                  </pic:spPr>
                </pic:pic>
              </a:graphicData>
            </a:graphic>
          </wp:inline>
        </w:drawing>
      </w:r>
    </w:p>
    <w:p w:rsidR="007B7B75" w:rsidRDefault="007B7B75" w:rsidP="007B7B75">
      <w:pPr>
        <w:jc w:val="center"/>
        <w:rPr>
          <w:rFonts w:ascii="Times New Roman" w:hAnsi="Times New Roman" w:cs="Times New Roman"/>
          <w:sz w:val="24"/>
          <w:szCs w:val="24"/>
        </w:rPr>
      </w:pPr>
      <w:r>
        <w:rPr>
          <w:rFonts w:ascii="Times New Roman" w:hAnsi="Times New Roman" w:cs="Times New Roman"/>
          <w:sz w:val="24"/>
          <w:szCs w:val="24"/>
        </w:rPr>
        <w:t>UNIVERSITÉ DU QUÉBEC À TROIS-RIVIÈRES</w:t>
      </w:r>
    </w:p>
    <w:p w:rsidR="007B7B75" w:rsidRDefault="007B7B75" w:rsidP="007B7B75">
      <w:pPr>
        <w:jc w:val="center"/>
        <w:rPr>
          <w:rFonts w:ascii="Times New Roman" w:hAnsi="Times New Roman" w:cs="Times New Roman"/>
          <w:sz w:val="24"/>
          <w:szCs w:val="24"/>
        </w:rPr>
      </w:pPr>
    </w:p>
    <w:p w:rsidR="007B7B75" w:rsidRDefault="007B7B75" w:rsidP="007B7B75">
      <w:pPr>
        <w:jc w:val="center"/>
        <w:rPr>
          <w:rFonts w:ascii="Times New Roman" w:hAnsi="Times New Roman" w:cs="Times New Roman"/>
          <w:sz w:val="24"/>
          <w:szCs w:val="24"/>
        </w:rPr>
      </w:pPr>
    </w:p>
    <w:p w:rsidR="007B7B75" w:rsidRDefault="007B7B75" w:rsidP="007B7B75">
      <w:pPr>
        <w:jc w:val="center"/>
        <w:rPr>
          <w:rFonts w:ascii="Times New Roman" w:hAnsi="Times New Roman" w:cs="Times New Roman"/>
          <w:sz w:val="24"/>
          <w:szCs w:val="24"/>
        </w:rPr>
      </w:pPr>
    </w:p>
    <w:p w:rsidR="007B7B75" w:rsidRDefault="007B7B75" w:rsidP="006649F8">
      <w:pPr>
        <w:spacing w:after="0"/>
        <w:jc w:val="center"/>
        <w:rPr>
          <w:rFonts w:ascii="Times New Roman" w:hAnsi="Times New Roman" w:cs="Times New Roman"/>
          <w:sz w:val="24"/>
          <w:szCs w:val="24"/>
        </w:rPr>
      </w:pPr>
      <w:r>
        <w:rPr>
          <w:rFonts w:ascii="Times New Roman" w:hAnsi="Times New Roman" w:cs="Times New Roman"/>
          <w:sz w:val="24"/>
          <w:szCs w:val="24"/>
        </w:rPr>
        <w:t>TRAVAIL DE SESSION</w:t>
      </w:r>
    </w:p>
    <w:p w:rsidR="007B7B75" w:rsidRDefault="007B7B75" w:rsidP="006649F8">
      <w:pPr>
        <w:spacing w:after="0"/>
        <w:jc w:val="center"/>
        <w:rPr>
          <w:rFonts w:ascii="Times New Roman" w:hAnsi="Times New Roman" w:cs="Times New Roman"/>
          <w:sz w:val="24"/>
          <w:szCs w:val="24"/>
        </w:rPr>
      </w:pPr>
      <w:r>
        <w:rPr>
          <w:rFonts w:ascii="Times New Roman" w:hAnsi="Times New Roman" w:cs="Times New Roman"/>
          <w:sz w:val="24"/>
          <w:szCs w:val="24"/>
        </w:rPr>
        <w:t>PRÉSENTÉ À :</w:t>
      </w:r>
    </w:p>
    <w:p w:rsidR="007B7B75" w:rsidRDefault="007B7B75" w:rsidP="006649F8">
      <w:pPr>
        <w:spacing w:after="0"/>
        <w:jc w:val="center"/>
        <w:rPr>
          <w:rFonts w:ascii="Times New Roman" w:hAnsi="Times New Roman" w:cs="Times New Roman"/>
          <w:sz w:val="24"/>
          <w:szCs w:val="24"/>
        </w:rPr>
      </w:pPr>
      <w:r>
        <w:rPr>
          <w:rFonts w:ascii="Times New Roman" w:hAnsi="Times New Roman" w:cs="Times New Roman"/>
          <w:sz w:val="24"/>
          <w:szCs w:val="24"/>
        </w:rPr>
        <w:t>MONSIEUR HANI SARKIS</w:t>
      </w:r>
    </w:p>
    <w:p w:rsidR="007B7B75" w:rsidRDefault="007B7B75" w:rsidP="006649F8">
      <w:pPr>
        <w:spacing w:after="0"/>
        <w:jc w:val="center"/>
        <w:rPr>
          <w:rFonts w:ascii="Times New Roman" w:hAnsi="Times New Roman" w:cs="Times New Roman"/>
          <w:sz w:val="24"/>
          <w:szCs w:val="24"/>
        </w:rPr>
      </w:pPr>
      <w:r>
        <w:rPr>
          <w:rFonts w:ascii="Times New Roman" w:hAnsi="Times New Roman" w:cs="Times New Roman"/>
          <w:sz w:val="24"/>
          <w:szCs w:val="24"/>
        </w:rPr>
        <w:t>COMME EXIGENCE PARTIELLE</w:t>
      </w:r>
    </w:p>
    <w:p w:rsidR="007B7B75" w:rsidRDefault="007B7B75" w:rsidP="006649F8">
      <w:pPr>
        <w:spacing w:after="0"/>
        <w:jc w:val="center"/>
        <w:rPr>
          <w:rFonts w:ascii="Times New Roman" w:hAnsi="Times New Roman" w:cs="Times New Roman"/>
          <w:sz w:val="24"/>
          <w:szCs w:val="24"/>
        </w:rPr>
      </w:pPr>
      <w:r>
        <w:rPr>
          <w:rFonts w:ascii="Times New Roman" w:hAnsi="Times New Roman" w:cs="Times New Roman"/>
          <w:sz w:val="24"/>
          <w:szCs w:val="24"/>
        </w:rPr>
        <w:t>DU COURS</w:t>
      </w:r>
    </w:p>
    <w:p w:rsidR="007B7B75" w:rsidRDefault="007B7B75" w:rsidP="006649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GESTION STRATÉGIQUE DES ENTREPRISES (</w:t>
      </w:r>
      <w:r w:rsidRPr="00441F0A">
        <w:rPr>
          <w:rFonts w:ascii="Times New Roman" w:hAnsi="Times New Roman" w:cs="Times New Roman"/>
          <w:sz w:val="24"/>
          <w:szCs w:val="24"/>
        </w:rPr>
        <w:t>ADM1016</w:t>
      </w:r>
      <w:r>
        <w:rPr>
          <w:rFonts w:ascii="Times New Roman" w:hAnsi="Times New Roman" w:cs="Times New Roman"/>
          <w:sz w:val="24"/>
          <w:szCs w:val="24"/>
        </w:rPr>
        <w:t>-01)</w:t>
      </w:r>
    </w:p>
    <w:p w:rsidR="007B7B75" w:rsidRDefault="007B7B75" w:rsidP="006649F8">
      <w:pPr>
        <w:spacing w:after="0"/>
        <w:jc w:val="center"/>
        <w:rPr>
          <w:rFonts w:ascii="Times New Roman" w:hAnsi="Times New Roman" w:cs="Times New Roman"/>
          <w:sz w:val="24"/>
          <w:szCs w:val="24"/>
        </w:rPr>
      </w:pPr>
    </w:p>
    <w:p w:rsidR="007B7B75" w:rsidRDefault="007B7B75" w:rsidP="007B7B75">
      <w:pPr>
        <w:jc w:val="center"/>
        <w:rPr>
          <w:rFonts w:ascii="Times New Roman" w:hAnsi="Times New Roman" w:cs="Times New Roman"/>
          <w:sz w:val="24"/>
          <w:szCs w:val="24"/>
        </w:rPr>
      </w:pPr>
    </w:p>
    <w:p w:rsidR="007B7B75" w:rsidRDefault="007B7B75" w:rsidP="007B7B75">
      <w:pPr>
        <w:jc w:val="center"/>
        <w:rPr>
          <w:rFonts w:ascii="Times New Roman" w:hAnsi="Times New Roman" w:cs="Times New Roman"/>
          <w:sz w:val="24"/>
          <w:szCs w:val="24"/>
        </w:rPr>
      </w:pPr>
    </w:p>
    <w:p w:rsidR="007B7B75" w:rsidRDefault="007B7B75" w:rsidP="007B7B75">
      <w:pPr>
        <w:jc w:val="center"/>
        <w:rPr>
          <w:rFonts w:ascii="Times New Roman" w:hAnsi="Times New Roman" w:cs="Times New Roman"/>
          <w:sz w:val="24"/>
          <w:szCs w:val="24"/>
        </w:rPr>
      </w:pPr>
      <w:r>
        <w:rPr>
          <w:rFonts w:ascii="Times New Roman" w:hAnsi="Times New Roman" w:cs="Times New Roman"/>
          <w:sz w:val="24"/>
          <w:szCs w:val="24"/>
        </w:rPr>
        <w:t>PAR</w:t>
      </w:r>
    </w:p>
    <w:p w:rsidR="007B7B75" w:rsidRPr="00660B2C" w:rsidRDefault="007B7B75" w:rsidP="007B7B7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JONATHAN </w:t>
      </w:r>
      <w:r w:rsidRPr="00660B2C">
        <w:rPr>
          <w:rFonts w:ascii="Times New Roman" w:hAnsi="Times New Roman" w:cs="Times New Roman"/>
          <w:sz w:val="24"/>
          <w:szCs w:val="24"/>
        </w:rPr>
        <w:t>CLERMONT</w:t>
      </w:r>
      <w:r w:rsidR="00660B2C" w:rsidRPr="00660B2C">
        <w:rPr>
          <w:sz w:val="24"/>
          <w:szCs w:val="24"/>
          <w:lang w:val="fr-FR"/>
        </w:rPr>
        <w:t xml:space="preserve"> (</w:t>
      </w:r>
      <w:r w:rsidR="00660B2C" w:rsidRPr="00660B2C">
        <w:rPr>
          <w:rStyle w:val="uficommentbody"/>
          <w:sz w:val="24"/>
          <w:szCs w:val="24"/>
          <w:lang w:val="fr-FR"/>
        </w:rPr>
        <w:t>CLEJ 18108902)</w:t>
      </w:r>
    </w:p>
    <w:p w:rsidR="007B7B75" w:rsidRPr="001D2425" w:rsidRDefault="007B7B75" w:rsidP="007B7B75">
      <w:pPr>
        <w:spacing w:after="0" w:line="240" w:lineRule="auto"/>
        <w:jc w:val="center"/>
        <w:rPr>
          <w:rFonts w:ascii="Times New Roman" w:hAnsi="Times New Roman" w:cs="Times New Roman"/>
          <w:sz w:val="24"/>
          <w:szCs w:val="24"/>
        </w:rPr>
      </w:pPr>
      <w:r w:rsidRPr="001D2425">
        <w:rPr>
          <w:rFonts w:ascii="Times New Roman" w:hAnsi="Times New Roman" w:cs="Times New Roman"/>
          <w:sz w:val="24"/>
          <w:szCs w:val="24"/>
        </w:rPr>
        <w:t>CÉLIA DE MONTIGNY (DEMC 10549202)</w:t>
      </w:r>
    </w:p>
    <w:p w:rsidR="007B7B75" w:rsidRPr="00C66463" w:rsidRDefault="007B7B75" w:rsidP="007B7B75">
      <w:pPr>
        <w:spacing w:after="0" w:line="240" w:lineRule="auto"/>
        <w:jc w:val="center"/>
        <w:rPr>
          <w:rFonts w:ascii="Times New Roman" w:hAnsi="Times New Roman" w:cs="Times New Roman"/>
          <w:sz w:val="24"/>
          <w:szCs w:val="24"/>
          <w:lang w:val="en-CA"/>
        </w:rPr>
      </w:pPr>
      <w:r w:rsidRPr="00C66463">
        <w:rPr>
          <w:rFonts w:ascii="Times New Roman" w:hAnsi="Times New Roman" w:cs="Times New Roman"/>
          <w:sz w:val="24"/>
          <w:szCs w:val="24"/>
          <w:lang w:val="en-CA"/>
        </w:rPr>
        <w:t>ERNEST KING</w:t>
      </w:r>
      <w:r w:rsidR="002841FC" w:rsidRPr="00C66463">
        <w:rPr>
          <w:rFonts w:ascii="Times New Roman" w:hAnsi="Times New Roman" w:cs="Times New Roman"/>
          <w:sz w:val="24"/>
          <w:szCs w:val="24"/>
          <w:lang w:val="en-CA"/>
        </w:rPr>
        <w:t>-GIGUÈRE</w:t>
      </w:r>
      <w:r w:rsidR="001D2425" w:rsidRPr="00C66463">
        <w:rPr>
          <w:rFonts w:ascii="Times New Roman" w:hAnsi="Times New Roman" w:cs="Times New Roman"/>
          <w:sz w:val="24"/>
          <w:szCs w:val="24"/>
          <w:lang w:val="en-CA"/>
        </w:rPr>
        <w:t xml:space="preserve"> (</w:t>
      </w:r>
      <w:r w:rsidR="001D2425" w:rsidRPr="00C66463">
        <w:rPr>
          <w:sz w:val="24"/>
          <w:szCs w:val="24"/>
          <w:lang w:val="en-CA"/>
        </w:rPr>
        <w:t>KINE 27039305)</w:t>
      </w:r>
    </w:p>
    <w:p w:rsidR="007B7B75" w:rsidRPr="00C66463" w:rsidRDefault="007B7B75" w:rsidP="007B7B75">
      <w:pPr>
        <w:spacing w:after="0"/>
        <w:jc w:val="center"/>
        <w:rPr>
          <w:rFonts w:ascii="Times New Roman" w:hAnsi="Times New Roman" w:cs="Times New Roman"/>
          <w:sz w:val="24"/>
          <w:szCs w:val="24"/>
          <w:lang w:val="en-CA"/>
        </w:rPr>
      </w:pPr>
      <w:r w:rsidRPr="00C66463">
        <w:rPr>
          <w:rFonts w:ascii="Times New Roman" w:hAnsi="Times New Roman" w:cs="Times New Roman"/>
          <w:sz w:val="24"/>
          <w:szCs w:val="24"/>
          <w:lang w:val="en-CA"/>
        </w:rPr>
        <w:t>ALEX TESSIER</w:t>
      </w:r>
      <w:r w:rsidR="001D2425" w:rsidRPr="00C66463">
        <w:rPr>
          <w:rFonts w:ascii="Times New Roman" w:hAnsi="Times New Roman" w:cs="Times New Roman"/>
          <w:sz w:val="24"/>
          <w:szCs w:val="24"/>
          <w:lang w:val="en-CA"/>
        </w:rPr>
        <w:t xml:space="preserve"> (</w:t>
      </w:r>
      <w:r w:rsidR="001D2425" w:rsidRPr="00C66463">
        <w:rPr>
          <w:sz w:val="24"/>
          <w:szCs w:val="24"/>
          <w:lang w:val="en-CA"/>
        </w:rPr>
        <w:t>TESA 06079209)</w:t>
      </w:r>
    </w:p>
    <w:p w:rsidR="007B7B75" w:rsidRPr="00C66463" w:rsidRDefault="007B7B75" w:rsidP="007B7B75">
      <w:pPr>
        <w:jc w:val="center"/>
        <w:rPr>
          <w:rFonts w:ascii="Times New Roman" w:hAnsi="Times New Roman" w:cs="Times New Roman"/>
          <w:sz w:val="24"/>
          <w:szCs w:val="24"/>
          <w:lang w:val="en-CA"/>
        </w:rPr>
      </w:pPr>
    </w:p>
    <w:p w:rsidR="007B7B75" w:rsidRPr="00C66463" w:rsidRDefault="007B7B75" w:rsidP="007B7B75">
      <w:pPr>
        <w:jc w:val="center"/>
        <w:rPr>
          <w:rFonts w:ascii="Times New Roman" w:hAnsi="Times New Roman" w:cs="Times New Roman"/>
          <w:sz w:val="24"/>
          <w:szCs w:val="24"/>
          <w:lang w:val="en-CA"/>
        </w:rPr>
      </w:pPr>
    </w:p>
    <w:p w:rsidR="007B7B75" w:rsidRPr="00C66463" w:rsidRDefault="007B7B75" w:rsidP="006649F8">
      <w:pPr>
        <w:spacing w:after="0"/>
        <w:jc w:val="center"/>
        <w:rPr>
          <w:rFonts w:ascii="Times New Roman" w:hAnsi="Times New Roman" w:cs="Times New Roman"/>
          <w:sz w:val="24"/>
          <w:szCs w:val="24"/>
          <w:lang w:val="en-CA"/>
        </w:rPr>
      </w:pPr>
    </w:p>
    <w:p w:rsidR="007B7B75" w:rsidRDefault="007B7B75" w:rsidP="006649F8">
      <w:pPr>
        <w:spacing w:after="0"/>
        <w:jc w:val="center"/>
        <w:rPr>
          <w:rFonts w:ascii="Times New Roman" w:hAnsi="Times New Roman" w:cs="Times New Roman"/>
          <w:sz w:val="24"/>
          <w:szCs w:val="24"/>
        </w:rPr>
      </w:pPr>
      <w:r>
        <w:rPr>
          <w:rFonts w:ascii="Times New Roman" w:hAnsi="Times New Roman" w:cs="Times New Roman"/>
          <w:sz w:val="24"/>
          <w:szCs w:val="24"/>
        </w:rPr>
        <w:t xml:space="preserve">RAPPORT STRATÉGIQUE : </w:t>
      </w:r>
    </w:p>
    <w:p w:rsidR="007B7B75" w:rsidRDefault="007B7B75" w:rsidP="006649F8">
      <w:pPr>
        <w:spacing w:after="0"/>
        <w:jc w:val="center"/>
        <w:rPr>
          <w:rFonts w:ascii="Times New Roman" w:hAnsi="Times New Roman" w:cs="Times New Roman"/>
          <w:sz w:val="24"/>
          <w:szCs w:val="24"/>
        </w:rPr>
      </w:pPr>
      <w:r>
        <w:rPr>
          <w:rFonts w:ascii="Times New Roman" w:hAnsi="Times New Roman" w:cs="Times New Roman"/>
          <w:sz w:val="24"/>
          <w:szCs w:val="24"/>
        </w:rPr>
        <w:t>UQTR</w:t>
      </w:r>
    </w:p>
    <w:p w:rsidR="007B7B75" w:rsidRDefault="007B7B75" w:rsidP="006649F8">
      <w:pPr>
        <w:spacing w:after="0"/>
        <w:jc w:val="center"/>
        <w:rPr>
          <w:rFonts w:ascii="Times New Roman" w:hAnsi="Times New Roman" w:cs="Times New Roman"/>
          <w:sz w:val="24"/>
          <w:szCs w:val="24"/>
        </w:rPr>
      </w:pPr>
    </w:p>
    <w:p w:rsidR="007B7B75" w:rsidRDefault="007B7B75" w:rsidP="007B7B75">
      <w:pPr>
        <w:jc w:val="center"/>
        <w:rPr>
          <w:rFonts w:ascii="Times New Roman" w:hAnsi="Times New Roman" w:cs="Times New Roman"/>
          <w:sz w:val="24"/>
          <w:szCs w:val="24"/>
        </w:rPr>
      </w:pPr>
    </w:p>
    <w:p w:rsidR="007B7B75" w:rsidRDefault="007B7B75" w:rsidP="007B7B75">
      <w:pPr>
        <w:jc w:val="center"/>
        <w:rPr>
          <w:rFonts w:ascii="Times New Roman" w:hAnsi="Times New Roman" w:cs="Times New Roman"/>
          <w:sz w:val="24"/>
          <w:szCs w:val="24"/>
        </w:rPr>
      </w:pPr>
    </w:p>
    <w:p w:rsidR="00D93DEA" w:rsidRDefault="00DF39AB" w:rsidP="005F6958">
      <w:pPr>
        <w:jc w:val="center"/>
        <w:rPr>
          <w:rFonts w:ascii="Times New Roman" w:hAnsi="Times New Roman" w:cs="Times New Roman"/>
          <w:sz w:val="24"/>
          <w:szCs w:val="24"/>
        </w:rPr>
        <w:sectPr w:rsidR="00D93DEA" w:rsidSect="00074250">
          <w:headerReference w:type="default" r:id="rId9"/>
          <w:footerReference w:type="default" r:id="rId10"/>
          <w:pgSz w:w="12240" w:h="15840"/>
          <w:pgMar w:top="1440" w:right="1800" w:bottom="1440" w:left="1800" w:header="708" w:footer="708" w:gutter="0"/>
          <w:cols w:space="708"/>
          <w:titlePg/>
          <w:docGrid w:linePitch="360"/>
        </w:sectPr>
      </w:pPr>
      <w:r>
        <w:rPr>
          <w:rFonts w:ascii="Times New Roman" w:hAnsi="Times New Roman" w:cs="Times New Roman"/>
          <w:sz w:val="24"/>
          <w:szCs w:val="24"/>
        </w:rPr>
        <w:t>28</w:t>
      </w:r>
      <w:r w:rsidR="007B7B75">
        <w:rPr>
          <w:rFonts w:ascii="Times New Roman" w:hAnsi="Times New Roman" w:cs="Times New Roman"/>
          <w:sz w:val="24"/>
          <w:szCs w:val="24"/>
        </w:rPr>
        <w:t xml:space="preserve"> AVRIL 2015</w:t>
      </w:r>
    </w:p>
    <w:sdt>
      <w:sdtPr>
        <w:rPr>
          <w:rFonts w:ascii="Times New Roman" w:hAnsi="Times New Roman" w:cs="Times New Roman"/>
          <w:b/>
          <w:bCs/>
          <w:sz w:val="24"/>
          <w:szCs w:val="24"/>
        </w:rPr>
        <w:id w:val="317803213"/>
        <w:docPartObj>
          <w:docPartGallery w:val="Table of Contents"/>
          <w:docPartUnique/>
        </w:docPartObj>
      </w:sdtPr>
      <w:sdtEndPr>
        <w:rPr>
          <w:b w:val="0"/>
          <w:bCs w:val="0"/>
        </w:rPr>
      </w:sdtEndPr>
      <w:sdtContent>
        <w:p w:rsidR="000D0609" w:rsidRPr="00441F0A" w:rsidRDefault="000D0609" w:rsidP="005F6958">
          <w:pPr>
            <w:jc w:val="center"/>
            <w:rPr>
              <w:rFonts w:ascii="Times New Roman" w:hAnsi="Times New Roman" w:cs="Times New Roman"/>
              <w:sz w:val="24"/>
              <w:szCs w:val="24"/>
            </w:rPr>
          </w:pPr>
          <w:r w:rsidRPr="005F6958">
            <w:rPr>
              <w:rFonts w:ascii="Times New Roman" w:hAnsi="Times New Roman" w:cs="Times New Roman"/>
              <w:b/>
              <w:sz w:val="24"/>
              <w:szCs w:val="24"/>
            </w:rPr>
            <w:t>Table des matières</w:t>
          </w:r>
        </w:p>
        <w:p w:rsidR="004C5B8C" w:rsidRDefault="00B05C0A">
          <w:pPr>
            <w:pStyle w:val="TM1"/>
            <w:tabs>
              <w:tab w:val="right" w:leader="dot" w:pos="8630"/>
            </w:tabs>
            <w:rPr>
              <w:rFonts w:asciiTheme="minorHAnsi" w:eastAsiaTheme="minorEastAsia" w:hAnsiTheme="minorHAnsi" w:cstheme="minorBidi"/>
              <w:b w:val="0"/>
              <w:bCs w:val="0"/>
              <w:caps w:val="0"/>
              <w:noProof/>
              <w:sz w:val="22"/>
              <w:szCs w:val="22"/>
              <w:lang w:eastAsia="fr-CA"/>
            </w:rPr>
          </w:pPr>
          <w:r w:rsidRPr="00B05C0A">
            <w:rPr>
              <w:rFonts w:ascii="Times New Roman" w:hAnsi="Times New Roman" w:cs="Times New Roman"/>
              <w:b w:val="0"/>
              <w:bCs w:val="0"/>
              <w:caps w:val="0"/>
              <w:lang w:val="fr-FR"/>
            </w:rPr>
            <w:fldChar w:fldCharType="begin"/>
          </w:r>
          <w:r w:rsidR="005F6958">
            <w:rPr>
              <w:rFonts w:ascii="Times New Roman" w:hAnsi="Times New Roman" w:cs="Times New Roman"/>
              <w:b w:val="0"/>
              <w:bCs w:val="0"/>
              <w:caps w:val="0"/>
              <w:lang w:val="fr-FR"/>
            </w:rPr>
            <w:instrText xml:space="preserve"> TOC \o "1-4" \u </w:instrText>
          </w:r>
          <w:r w:rsidRPr="00B05C0A">
            <w:rPr>
              <w:rFonts w:ascii="Times New Roman" w:hAnsi="Times New Roman" w:cs="Times New Roman"/>
              <w:b w:val="0"/>
              <w:bCs w:val="0"/>
              <w:caps w:val="0"/>
              <w:lang w:val="fr-FR"/>
            </w:rPr>
            <w:fldChar w:fldCharType="separate"/>
          </w:r>
          <w:r w:rsidR="004C5B8C">
            <w:rPr>
              <w:noProof/>
            </w:rPr>
            <w:t>INTRODUCTION</w:t>
          </w:r>
          <w:r w:rsidR="004C5B8C">
            <w:rPr>
              <w:noProof/>
            </w:rPr>
            <w:tab/>
          </w:r>
          <w:r w:rsidR="004C5B8C">
            <w:rPr>
              <w:noProof/>
            </w:rPr>
            <w:fldChar w:fldCharType="begin"/>
          </w:r>
          <w:r w:rsidR="004C5B8C">
            <w:rPr>
              <w:noProof/>
            </w:rPr>
            <w:instrText xml:space="preserve"> PAGEREF _Toc417486214 \h </w:instrText>
          </w:r>
          <w:r w:rsidR="004C5B8C">
            <w:rPr>
              <w:noProof/>
            </w:rPr>
          </w:r>
          <w:r w:rsidR="004C5B8C">
            <w:rPr>
              <w:noProof/>
            </w:rPr>
            <w:fldChar w:fldCharType="separate"/>
          </w:r>
          <w:r w:rsidR="004C5B8C">
            <w:rPr>
              <w:noProof/>
            </w:rPr>
            <w:t>1</w:t>
          </w:r>
          <w:r w:rsidR="004C5B8C">
            <w:rPr>
              <w:noProof/>
            </w:rPr>
            <w:fldChar w:fldCharType="end"/>
          </w:r>
        </w:p>
        <w:p w:rsidR="004C5B8C" w:rsidRDefault="004C5B8C">
          <w:pPr>
            <w:pStyle w:val="TM3"/>
            <w:tabs>
              <w:tab w:val="right" w:leader="dot" w:pos="8630"/>
            </w:tabs>
            <w:rPr>
              <w:rFonts w:eastAsiaTheme="minorEastAsia" w:cstheme="minorBidi"/>
              <w:noProof/>
              <w:sz w:val="22"/>
              <w:szCs w:val="22"/>
              <w:lang w:eastAsia="fr-CA"/>
            </w:rPr>
          </w:pPr>
          <w:r>
            <w:rPr>
              <w:noProof/>
            </w:rPr>
            <w:t>1.1 Historique</w:t>
          </w:r>
          <w:r>
            <w:rPr>
              <w:noProof/>
            </w:rPr>
            <w:tab/>
          </w:r>
          <w:r>
            <w:rPr>
              <w:noProof/>
            </w:rPr>
            <w:fldChar w:fldCharType="begin"/>
          </w:r>
          <w:r>
            <w:rPr>
              <w:noProof/>
            </w:rPr>
            <w:instrText xml:space="preserve"> PAGEREF _Toc417486215 \h </w:instrText>
          </w:r>
          <w:r>
            <w:rPr>
              <w:noProof/>
            </w:rPr>
          </w:r>
          <w:r>
            <w:rPr>
              <w:noProof/>
            </w:rPr>
            <w:fldChar w:fldCharType="separate"/>
          </w:r>
          <w:r>
            <w:rPr>
              <w:noProof/>
            </w:rPr>
            <w:t>2</w:t>
          </w:r>
          <w:r>
            <w:rPr>
              <w:noProof/>
            </w:rPr>
            <w:fldChar w:fldCharType="end"/>
          </w:r>
        </w:p>
        <w:p w:rsidR="004C5B8C" w:rsidRDefault="004C5B8C">
          <w:pPr>
            <w:pStyle w:val="TM3"/>
            <w:tabs>
              <w:tab w:val="right" w:leader="dot" w:pos="8630"/>
            </w:tabs>
            <w:rPr>
              <w:rFonts w:eastAsiaTheme="minorEastAsia" w:cstheme="minorBidi"/>
              <w:noProof/>
              <w:sz w:val="22"/>
              <w:szCs w:val="22"/>
              <w:lang w:eastAsia="fr-CA"/>
            </w:rPr>
          </w:pPr>
          <w:r>
            <w:rPr>
              <w:noProof/>
            </w:rPr>
            <w:t>1.2 Mission</w:t>
          </w:r>
          <w:r>
            <w:rPr>
              <w:noProof/>
            </w:rPr>
            <w:tab/>
          </w:r>
          <w:r>
            <w:rPr>
              <w:noProof/>
            </w:rPr>
            <w:fldChar w:fldCharType="begin"/>
          </w:r>
          <w:r>
            <w:rPr>
              <w:noProof/>
            </w:rPr>
            <w:instrText xml:space="preserve"> PAGEREF _Toc417486216 \h </w:instrText>
          </w:r>
          <w:r>
            <w:rPr>
              <w:noProof/>
            </w:rPr>
          </w:r>
          <w:r>
            <w:rPr>
              <w:noProof/>
            </w:rPr>
            <w:fldChar w:fldCharType="separate"/>
          </w:r>
          <w:r>
            <w:rPr>
              <w:noProof/>
            </w:rPr>
            <w:t>3</w:t>
          </w:r>
          <w:r>
            <w:rPr>
              <w:noProof/>
            </w:rPr>
            <w:fldChar w:fldCharType="end"/>
          </w:r>
        </w:p>
        <w:p w:rsidR="004C5B8C" w:rsidRDefault="004C5B8C">
          <w:pPr>
            <w:pStyle w:val="TM3"/>
            <w:tabs>
              <w:tab w:val="right" w:leader="dot" w:pos="8630"/>
            </w:tabs>
            <w:rPr>
              <w:rFonts w:eastAsiaTheme="minorEastAsia" w:cstheme="minorBidi"/>
              <w:noProof/>
              <w:sz w:val="22"/>
              <w:szCs w:val="22"/>
              <w:lang w:eastAsia="fr-CA"/>
            </w:rPr>
          </w:pPr>
          <w:r>
            <w:rPr>
              <w:noProof/>
            </w:rPr>
            <w:t>1.3 Vision</w:t>
          </w:r>
          <w:r>
            <w:rPr>
              <w:noProof/>
            </w:rPr>
            <w:tab/>
          </w:r>
          <w:r>
            <w:rPr>
              <w:noProof/>
            </w:rPr>
            <w:fldChar w:fldCharType="begin"/>
          </w:r>
          <w:r>
            <w:rPr>
              <w:noProof/>
            </w:rPr>
            <w:instrText xml:space="preserve"> PAGEREF _Toc417486217 \h </w:instrText>
          </w:r>
          <w:r>
            <w:rPr>
              <w:noProof/>
            </w:rPr>
          </w:r>
          <w:r>
            <w:rPr>
              <w:noProof/>
            </w:rPr>
            <w:fldChar w:fldCharType="separate"/>
          </w:r>
          <w:r>
            <w:rPr>
              <w:noProof/>
            </w:rPr>
            <w:t>3</w:t>
          </w:r>
          <w:r>
            <w:rPr>
              <w:noProof/>
            </w:rPr>
            <w:fldChar w:fldCharType="end"/>
          </w:r>
        </w:p>
        <w:p w:rsidR="004C5B8C" w:rsidRDefault="004C5B8C">
          <w:pPr>
            <w:pStyle w:val="TM3"/>
            <w:tabs>
              <w:tab w:val="right" w:leader="dot" w:pos="8630"/>
            </w:tabs>
            <w:rPr>
              <w:rFonts w:eastAsiaTheme="minorEastAsia" w:cstheme="minorBidi"/>
              <w:noProof/>
              <w:sz w:val="22"/>
              <w:szCs w:val="22"/>
              <w:lang w:eastAsia="fr-CA"/>
            </w:rPr>
          </w:pPr>
          <w:r>
            <w:rPr>
              <w:noProof/>
            </w:rPr>
            <w:t>1.4 Valeurs</w:t>
          </w:r>
          <w:r>
            <w:rPr>
              <w:noProof/>
            </w:rPr>
            <w:tab/>
          </w:r>
          <w:r>
            <w:rPr>
              <w:noProof/>
            </w:rPr>
            <w:fldChar w:fldCharType="begin"/>
          </w:r>
          <w:r>
            <w:rPr>
              <w:noProof/>
            </w:rPr>
            <w:instrText xml:space="preserve"> PAGEREF _Toc417486218 \h </w:instrText>
          </w:r>
          <w:r>
            <w:rPr>
              <w:noProof/>
            </w:rPr>
          </w:r>
          <w:r>
            <w:rPr>
              <w:noProof/>
            </w:rPr>
            <w:fldChar w:fldCharType="separate"/>
          </w:r>
          <w:r>
            <w:rPr>
              <w:noProof/>
            </w:rPr>
            <w:t>4</w:t>
          </w:r>
          <w:r>
            <w:rPr>
              <w:noProof/>
            </w:rPr>
            <w:fldChar w:fldCharType="end"/>
          </w:r>
        </w:p>
        <w:p w:rsidR="004C5B8C" w:rsidRDefault="004C5B8C">
          <w:pPr>
            <w:pStyle w:val="TM3"/>
            <w:tabs>
              <w:tab w:val="right" w:leader="dot" w:pos="8630"/>
            </w:tabs>
            <w:rPr>
              <w:rFonts w:eastAsiaTheme="minorEastAsia" w:cstheme="minorBidi"/>
              <w:noProof/>
              <w:sz w:val="22"/>
              <w:szCs w:val="22"/>
              <w:lang w:eastAsia="fr-CA"/>
            </w:rPr>
          </w:pPr>
          <w:r>
            <w:rPr>
              <w:noProof/>
            </w:rPr>
            <w:t>1.5 Objectifs</w:t>
          </w:r>
          <w:r>
            <w:rPr>
              <w:noProof/>
            </w:rPr>
            <w:tab/>
          </w:r>
          <w:r>
            <w:rPr>
              <w:noProof/>
            </w:rPr>
            <w:fldChar w:fldCharType="begin"/>
          </w:r>
          <w:r>
            <w:rPr>
              <w:noProof/>
            </w:rPr>
            <w:instrText xml:space="preserve"> PAGEREF _Toc417486219 \h </w:instrText>
          </w:r>
          <w:r>
            <w:rPr>
              <w:noProof/>
            </w:rPr>
          </w:r>
          <w:r>
            <w:rPr>
              <w:noProof/>
            </w:rPr>
            <w:fldChar w:fldCharType="separate"/>
          </w:r>
          <w:r>
            <w:rPr>
              <w:noProof/>
            </w:rPr>
            <w:t>4</w:t>
          </w:r>
          <w:r>
            <w:rPr>
              <w:noProof/>
            </w:rPr>
            <w:fldChar w:fldCharType="end"/>
          </w:r>
        </w:p>
        <w:p w:rsidR="004C5B8C" w:rsidRDefault="004C5B8C">
          <w:pPr>
            <w:pStyle w:val="TM1"/>
            <w:tabs>
              <w:tab w:val="right" w:leader="dot" w:pos="8630"/>
            </w:tabs>
            <w:rPr>
              <w:rFonts w:asciiTheme="minorHAnsi" w:eastAsiaTheme="minorEastAsia" w:hAnsiTheme="minorHAnsi" w:cstheme="minorBidi"/>
              <w:b w:val="0"/>
              <w:bCs w:val="0"/>
              <w:caps w:val="0"/>
              <w:noProof/>
              <w:sz w:val="22"/>
              <w:szCs w:val="22"/>
              <w:lang w:eastAsia="fr-CA"/>
            </w:rPr>
          </w:pPr>
          <w:r>
            <w:rPr>
              <w:noProof/>
            </w:rPr>
            <w:t>DIAGNOSTIC STRATÉGIQUE</w:t>
          </w:r>
          <w:r>
            <w:rPr>
              <w:noProof/>
            </w:rPr>
            <w:tab/>
          </w:r>
          <w:r>
            <w:rPr>
              <w:noProof/>
            </w:rPr>
            <w:fldChar w:fldCharType="begin"/>
          </w:r>
          <w:r>
            <w:rPr>
              <w:noProof/>
            </w:rPr>
            <w:instrText xml:space="preserve"> PAGEREF _Toc417486220 \h </w:instrText>
          </w:r>
          <w:r>
            <w:rPr>
              <w:noProof/>
            </w:rPr>
          </w:r>
          <w:r>
            <w:rPr>
              <w:noProof/>
            </w:rPr>
            <w:fldChar w:fldCharType="separate"/>
          </w:r>
          <w:r>
            <w:rPr>
              <w:noProof/>
            </w:rPr>
            <w:t>9</w:t>
          </w:r>
          <w:r>
            <w:rPr>
              <w:noProof/>
            </w:rPr>
            <w:fldChar w:fldCharType="end"/>
          </w:r>
        </w:p>
        <w:p w:rsidR="004C5B8C" w:rsidRDefault="004C5B8C">
          <w:pPr>
            <w:pStyle w:val="TM2"/>
            <w:tabs>
              <w:tab w:val="right" w:leader="dot" w:pos="8630"/>
            </w:tabs>
            <w:rPr>
              <w:rFonts w:eastAsiaTheme="minorEastAsia" w:cstheme="minorBidi"/>
              <w:b w:val="0"/>
              <w:bCs w:val="0"/>
              <w:noProof/>
              <w:sz w:val="22"/>
              <w:szCs w:val="22"/>
              <w:lang w:eastAsia="fr-CA"/>
            </w:rPr>
          </w:pPr>
          <w:r>
            <w:rPr>
              <w:noProof/>
            </w:rPr>
            <w:t>2. L’environnement</w:t>
          </w:r>
          <w:r>
            <w:rPr>
              <w:noProof/>
            </w:rPr>
            <w:tab/>
          </w:r>
          <w:r>
            <w:rPr>
              <w:noProof/>
            </w:rPr>
            <w:fldChar w:fldCharType="begin"/>
          </w:r>
          <w:r>
            <w:rPr>
              <w:noProof/>
            </w:rPr>
            <w:instrText xml:space="preserve"> PAGEREF _Toc417486221 \h </w:instrText>
          </w:r>
          <w:r>
            <w:rPr>
              <w:noProof/>
            </w:rPr>
          </w:r>
          <w:r>
            <w:rPr>
              <w:noProof/>
            </w:rPr>
            <w:fldChar w:fldCharType="separate"/>
          </w:r>
          <w:r>
            <w:rPr>
              <w:noProof/>
            </w:rPr>
            <w:t>9</w:t>
          </w:r>
          <w:r>
            <w:rPr>
              <w:noProof/>
            </w:rPr>
            <w:fldChar w:fldCharType="end"/>
          </w:r>
        </w:p>
        <w:p w:rsidR="004C5B8C" w:rsidRDefault="004C5B8C">
          <w:pPr>
            <w:pStyle w:val="TM3"/>
            <w:tabs>
              <w:tab w:val="right" w:leader="dot" w:pos="8630"/>
            </w:tabs>
            <w:rPr>
              <w:rFonts w:eastAsiaTheme="minorEastAsia" w:cstheme="minorBidi"/>
              <w:noProof/>
              <w:sz w:val="22"/>
              <w:szCs w:val="22"/>
              <w:lang w:eastAsia="fr-CA"/>
            </w:rPr>
          </w:pPr>
          <w:r>
            <w:rPr>
              <w:noProof/>
            </w:rPr>
            <w:t>2.1 Macroenvironnement</w:t>
          </w:r>
          <w:r>
            <w:rPr>
              <w:noProof/>
            </w:rPr>
            <w:tab/>
          </w:r>
          <w:r>
            <w:rPr>
              <w:noProof/>
            </w:rPr>
            <w:fldChar w:fldCharType="begin"/>
          </w:r>
          <w:r>
            <w:rPr>
              <w:noProof/>
            </w:rPr>
            <w:instrText xml:space="preserve"> PAGEREF _Toc417486222 \h </w:instrText>
          </w:r>
          <w:r>
            <w:rPr>
              <w:noProof/>
            </w:rPr>
          </w:r>
          <w:r>
            <w:rPr>
              <w:noProof/>
            </w:rPr>
            <w:fldChar w:fldCharType="separate"/>
          </w:r>
          <w:r>
            <w:rPr>
              <w:noProof/>
            </w:rPr>
            <w:t>9</w:t>
          </w:r>
          <w:r>
            <w:rPr>
              <w:noProof/>
            </w:rPr>
            <w:fldChar w:fldCharType="end"/>
          </w:r>
        </w:p>
        <w:p w:rsidR="004C5B8C" w:rsidRDefault="004C5B8C">
          <w:pPr>
            <w:pStyle w:val="TM4"/>
            <w:tabs>
              <w:tab w:val="right" w:leader="dot" w:pos="8630"/>
            </w:tabs>
            <w:rPr>
              <w:rFonts w:eastAsiaTheme="minorEastAsia" w:cstheme="minorBidi"/>
              <w:noProof/>
              <w:sz w:val="22"/>
              <w:szCs w:val="22"/>
              <w:lang w:eastAsia="fr-CA"/>
            </w:rPr>
          </w:pPr>
          <w:r>
            <w:rPr>
              <w:noProof/>
            </w:rPr>
            <w:t>2.1.1 PESTEL</w:t>
          </w:r>
          <w:r>
            <w:rPr>
              <w:noProof/>
            </w:rPr>
            <w:tab/>
          </w:r>
          <w:r>
            <w:rPr>
              <w:noProof/>
            </w:rPr>
            <w:fldChar w:fldCharType="begin"/>
          </w:r>
          <w:r>
            <w:rPr>
              <w:noProof/>
            </w:rPr>
            <w:instrText xml:space="preserve"> PAGEREF _Toc417486223 \h </w:instrText>
          </w:r>
          <w:r>
            <w:rPr>
              <w:noProof/>
            </w:rPr>
          </w:r>
          <w:r>
            <w:rPr>
              <w:noProof/>
            </w:rPr>
            <w:fldChar w:fldCharType="separate"/>
          </w:r>
          <w:r>
            <w:rPr>
              <w:noProof/>
            </w:rPr>
            <w:t>9</w:t>
          </w:r>
          <w:r>
            <w:rPr>
              <w:noProof/>
            </w:rPr>
            <w:fldChar w:fldCharType="end"/>
          </w:r>
        </w:p>
        <w:p w:rsidR="004C5B8C" w:rsidRDefault="004C5B8C">
          <w:pPr>
            <w:pStyle w:val="TM4"/>
            <w:tabs>
              <w:tab w:val="right" w:leader="dot" w:pos="8630"/>
            </w:tabs>
            <w:rPr>
              <w:rFonts w:eastAsiaTheme="minorEastAsia" w:cstheme="minorBidi"/>
              <w:noProof/>
              <w:sz w:val="22"/>
              <w:szCs w:val="22"/>
              <w:lang w:eastAsia="fr-CA"/>
            </w:rPr>
          </w:pPr>
          <w:r>
            <w:rPr>
              <w:noProof/>
            </w:rPr>
            <w:t>2.1.2 La construction de scénarios</w:t>
          </w:r>
          <w:r>
            <w:rPr>
              <w:noProof/>
            </w:rPr>
            <w:tab/>
          </w:r>
          <w:r>
            <w:rPr>
              <w:noProof/>
            </w:rPr>
            <w:fldChar w:fldCharType="begin"/>
          </w:r>
          <w:r>
            <w:rPr>
              <w:noProof/>
            </w:rPr>
            <w:instrText xml:space="preserve"> PAGEREF _Toc417486224 \h </w:instrText>
          </w:r>
          <w:r>
            <w:rPr>
              <w:noProof/>
            </w:rPr>
          </w:r>
          <w:r>
            <w:rPr>
              <w:noProof/>
            </w:rPr>
            <w:fldChar w:fldCharType="separate"/>
          </w:r>
          <w:r>
            <w:rPr>
              <w:noProof/>
            </w:rPr>
            <w:t>15</w:t>
          </w:r>
          <w:r>
            <w:rPr>
              <w:noProof/>
            </w:rPr>
            <w:fldChar w:fldCharType="end"/>
          </w:r>
        </w:p>
        <w:p w:rsidR="004C5B8C" w:rsidRDefault="004C5B8C">
          <w:pPr>
            <w:pStyle w:val="TM3"/>
            <w:tabs>
              <w:tab w:val="right" w:leader="dot" w:pos="8630"/>
            </w:tabs>
            <w:rPr>
              <w:rFonts w:eastAsiaTheme="minorEastAsia" w:cstheme="minorBidi"/>
              <w:noProof/>
              <w:sz w:val="22"/>
              <w:szCs w:val="22"/>
              <w:lang w:eastAsia="fr-CA"/>
            </w:rPr>
          </w:pPr>
          <w:r>
            <w:rPr>
              <w:noProof/>
            </w:rPr>
            <w:t>2.2 Industrie</w:t>
          </w:r>
          <w:r>
            <w:rPr>
              <w:noProof/>
            </w:rPr>
            <w:tab/>
          </w:r>
          <w:r>
            <w:rPr>
              <w:noProof/>
            </w:rPr>
            <w:fldChar w:fldCharType="begin"/>
          </w:r>
          <w:r>
            <w:rPr>
              <w:noProof/>
            </w:rPr>
            <w:instrText xml:space="preserve"> PAGEREF _Toc417486225 \h </w:instrText>
          </w:r>
          <w:r>
            <w:rPr>
              <w:noProof/>
            </w:rPr>
          </w:r>
          <w:r>
            <w:rPr>
              <w:noProof/>
            </w:rPr>
            <w:fldChar w:fldCharType="separate"/>
          </w:r>
          <w:r>
            <w:rPr>
              <w:noProof/>
            </w:rPr>
            <w:t>15</w:t>
          </w:r>
          <w:r>
            <w:rPr>
              <w:noProof/>
            </w:rPr>
            <w:fldChar w:fldCharType="end"/>
          </w:r>
        </w:p>
        <w:p w:rsidR="004C5B8C" w:rsidRDefault="004C5B8C">
          <w:pPr>
            <w:pStyle w:val="TM4"/>
            <w:tabs>
              <w:tab w:val="right" w:leader="dot" w:pos="8630"/>
            </w:tabs>
            <w:rPr>
              <w:rFonts w:eastAsiaTheme="minorEastAsia" w:cstheme="minorBidi"/>
              <w:noProof/>
              <w:sz w:val="22"/>
              <w:szCs w:val="22"/>
              <w:lang w:eastAsia="fr-CA"/>
            </w:rPr>
          </w:pPr>
          <w:r>
            <w:rPr>
              <w:noProof/>
            </w:rPr>
            <w:t>2.2.1 Le modèle des 5 (+1) forces de Porter</w:t>
          </w:r>
          <w:r>
            <w:rPr>
              <w:noProof/>
            </w:rPr>
            <w:tab/>
          </w:r>
          <w:r>
            <w:rPr>
              <w:noProof/>
            </w:rPr>
            <w:fldChar w:fldCharType="begin"/>
          </w:r>
          <w:r>
            <w:rPr>
              <w:noProof/>
            </w:rPr>
            <w:instrText xml:space="preserve"> PAGEREF _Toc417486226 \h </w:instrText>
          </w:r>
          <w:r>
            <w:rPr>
              <w:noProof/>
            </w:rPr>
          </w:r>
          <w:r>
            <w:rPr>
              <w:noProof/>
            </w:rPr>
            <w:fldChar w:fldCharType="separate"/>
          </w:r>
          <w:r>
            <w:rPr>
              <w:noProof/>
            </w:rPr>
            <w:t>15</w:t>
          </w:r>
          <w:r>
            <w:rPr>
              <w:noProof/>
            </w:rPr>
            <w:fldChar w:fldCharType="end"/>
          </w:r>
        </w:p>
        <w:p w:rsidR="004C5B8C" w:rsidRDefault="004C5B8C">
          <w:pPr>
            <w:pStyle w:val="TM4"/>
            <w:tabs>
              <w:tab w:val="right" w:leader="dot" w:pos="8630"/>
            </w:tabs>
            <w:rPr>
              <w:rFonts w:eastAsiaTheme="minorEastAsia" w:cstheme="minorBidi"/>
              <w:noProof/>
              <w:sz w:val="22"/>
              <w:szCs w:val="22"/>
              <w:lang w:eastAsia="fr-CA"/>
            </w:rPr>
          </w:pPr>
          <w:r>
            <w:rPr>
              <w:noProof/>
            </w:rPr>
            <w:t>2.2.2 Le cycle de vie de l’industrie</w:t>
          </w:r>
          <w:r>
            <w:rPr>
              <w:noProof/>
            </w:rPr>
            <w:tab/>
          </w:r>
          <w:r>
            <w:rPr>
              <w:noProof/>
            </w:rPr>
            <w:fldChar w:fldCharType="begin"/>
          </w:r>
          <w:r>
            <w:rPr>
              <w:noProof/>
            </w:rPr>
            <w:instrText xml:space="preserve"> PAGEREF _Toc417486227 \h </w:instrText>
          </w:r>
          <w:r>
            <w:rPr>
              <w:noProof/>
            </w:rPr>
          </w:r>
          <w:r>
            <w:rPr>
              <w:noProof/>
            </w:rPr>
            <w:fldChar w:fldCharType="separate"/>
          </w:r>
          <w:r>
            <w:rPr>
              <w:noProof/>
            </w:rPr>
            <w:t>21</w:t>
          </w:r>
          <w:r>
            <w:rPr>
              <w:noProof/>
            </w:rPr>
            <w:fldChar w:fldCharType="end"/>
          </w:r>
        </w:p>
        <w:p w:rsidR="004C5B8C" w:rsidRDefault="004C5B8C">
          <w:pPr>
            <w:pStyle w:val="TM3"/>
            <w:tabs>
              <w:tab w:val="right" w:leader="dot" w:pos="8630"/>
            </w:tabs>
            <w:rPr>
              <w:rFonts w:eastAsiaTheme="minorEastAsia" w:cstheme="minorBidi"/>
              <w:noProof/>
              <w:sz w:val="22"/>
              <w:szCs w:val="22"/>
              <w:lang w:eastAsia="fr-CA"/>
            </w:rPr>
          </w:pPr>
          <w:r>
            <w:rPr>
              <w:noProof/>
            </w:rPr>
            <w:t>2.3 La concurrence et les marchés</w:t>
          </w:r>
          <w:r>
            <w:rPr>
              <w:noProof/>
            </w:rPr>
            <w:tab/>
          </w:r>
          <w:r>
            <w:rPr>
              <w:noProof/>
            </w:rPr>
            <w:fldChar w:fldCharType="begin"/>
          </w:r>
          <w:r>
            <w:rPr>
              <w:noProof/>
            </w:rPr>
            <w:instrText xml:space="preserve"> PAGEREF _Toc417486228 \h </w:instrText>
          </w:r>
          <w:r>
            <w:rPr>
              <w:noProof/>
            </w:rPr>
          </w:r>
          <w:r>
            <w:rPr>
              <w:noProof/>
            </w:rPr>
            <w:fldChar w:fldCharType="separate"/>
          </w:r>
          <w:r>
            <w:rPr>
              <w:noProof/>
            </w:rPr>
            <w:t>21</w:t>
          </w:r>
          <w:r>
            <w:rPr>
              <w:noProof/>
            </w:rPr>
            <w:fldChar w:fldCharType="end"/>
          </w:r>
        </w:p>
        <w:p w:rsidR="004C5B8C" w:rsidRDefault="004C5B8C">
          <w:pPr>
            <w:pStyle w:val="TM4"/>
            <w:tabs>
              <w:tab w:val="right" w:leader="dot" w:pos="8630"/>
            </w:tabs>
            <w:rPr>
              <w:rFonts w:eastAsiaTheme="minorEastAsia" w:cstheme="minorBidi"/>
              <w:noProof/>
              <w:sz w:val="22"/>
              <w:szCs w:val="22"/>
              <w:lang w:eastAsia="fr-CA"/>
            </w:rPr>
          </w:pPr>
          <w:r>
            <w:rPr>
              <w:noProof/>
            </w:rPr>
            <w:t>2.3.1 Les groupes stratégiques</w:t>
          </w:r>
          <w:r>
            <w:rPr>
              <w:noProof/>
            </w:rPr>
            <w:tab/>
          </w:r>
          <w:r>
            <w:rPr>
              <w:noProof/>
            </w:rPr>
            <w:fldChar w:fldCharType="begin"/>
          </w:r>
          <w:r>
            <w:rPr>
              <w:noProof/>
            </w:rPr>
            <w:instrText xml:space="preserve"> PAGEREF _Toc417486229 \h </w:instrText>
          </w:r>
          <w:r>
            <w:rPr>
              <w:noProof/>
            </w:rPr>
          </w:r>
          <w:r>
            <w:rPr>
              <w:noProof/>
            </w:rPr>
            <w:fldChar w:fldCharType="separate"/>
          </w:r>
          <w:r>
            <w:rPr>
              <w:noProof/>
            </w:rPr>
            <w:t>21</w:t>
          </w:r>
          <w:r>
            <w:rPr>
              <w:noProof/>
            </w:rPr>
            <w:fldChar w:fldCharType="end"/>
          </w:r>
        </w:p>
        <w:p w:rsidR="004C5B8C" w:rsidRDefault="004C5B8C">
          <w:pPr>
            <w:pStyle w:val="TM4"/>
            <w:tabs>
              <w:tab w:val="right" w:leader="dot" w:pos="8630"/>
            </w:tabs>
            <w:rPr>
              <w:rFonts w:eastAsiaTheme="minorEastAsia" w:cstheme="minorBidi"/>
              <w:noProof/>
              <w:sz w:val="22"/>
              <w:szCs w:val="22"/>
              <w:lang w:eastAsia="fr-CA"/>
            </w:rPr>
          </w:pPr>
          <w:r>
            <w:rPr>
              <w:noProof/>
            </w:rPr>
            <w:t>2.3.2 Approche océan bleu</w:t>
          </w:r>
          <w:r>
            <w:rPr>
              <w:noProof/>
            </w:rPr>
            <w:tab/>
          </w:r>
          <w:r>
            <w:rPr>
              <w:noProof/>
            </w:rPr>
            <w:fldChar w:fldCharType="begin"/>
          </w:r>
          <w:r>
            <w:rPr>
              <w:noProof/>
            </w:rPr>
            <w:instrText xml:space="preserve"> PAGEREF _Toc417486230 \h </w:instrText>
          </w:r>
          <w:r>
            <w:rPr>
              <w:noProof/>
            </w:rPr>
          </w:r>
          <w:r>
            <w:rPr>
              <w:noProof/>
            </w:rPr>
            <w:fldChar w:fldCharType="separate"/>
          </w:r>
          <w:r>
            <w:rPr>
              <w:noProof/>
            </w:rPr>
            <w:t>26</w:t>
          </w:r>
          <w:r>
            <w:rPr>
              <w:noProof/>
            </w:rPr>
            <w:fldChar w:fldCharType="end"/>
          </w:r>
        </w:p>
        <w:p w:rsidR="004C5B8C" w:rsidRDefault="004C5B8C">
          <w:pPr>
            <w:pStyle w:val="TM3"/>
            <w:tabs>
              <w:tab w:val="right" w:leader="dot" w:pos="8630"/>
            </w:tabs>
            <w:rPr>
              <w:rFonts w:eastAsiaTheme="minorEastAsia" w:cstheme="minorBidi"/>
              <w:noProof/>
              <w:sz w:val="22"/>
              <w:szCs w:val="22"/>
              <w:lang w:eastAsia="fr-CA"/>
            </w:rPr>
          </w:pPr>
          <w:r>
            <w:rPr>
              <w:noProof/>
            </w:rPr>
            <w:t>2.4 Facteurs clés de succès</w:t>
          </w:r>
          <w:r>
            <w:rPr>
              <w:noProof/>
            </w:rPr>
            <w:tab/>
          </w:r>
          <w:r>
            <w:rPr>
              <w:noProof/>
            </w:rPr>
            <w:fldChar w:fldCharType="begin"/>
          </w:r>
          <w:r>
            <w:rPr>
              <w:noProof/>
            </w:rPr>
            <w:instrText xml:space="preserve"> PAGEREF _Toc417486231 \h </w:instrText>
          </w:r>
          <w:r>
            <w:rPr>
              <w:noProof/>
            </w:rPr>
          </w:r>
          <w:r>
            <w:rPr>
              <w:noProof/>
            </w:rPr>
            <w:fldChar w:fldCharType="separate"/>
          </w:r>
          <w:r>
            <w:rPr>
              <w:noProof/>
            </w:rPr>
            <w:t>32</w:t>
          </w:r>
          <w:r>
            <w:rPr>
              <w:noProof/>
            </w:rPr>
            <w:fldChar w:fldCharType="end"/>
          </w:r>
        </w:p>
        <w:p w:rsidR="004C5B8C" w:rsidRDefault="004C5B8C">
          <w:pPr>
            <w:pStyle w:val="TM2"/>
            <w:tabs>
              <w:tab w:val="right" w:leader="dot" w:pos="8630"/>
            </w:tabs>
            <w:rPr>
              <w:rFonts w:eastAsiaTheme="minorEastAsia" w:cstheme="minorBidi"/>
              <w:b w:val="0"/>
              <w:bCs w:val="0"/>
              <w:noProof/>
              <w:sz w:val="22"/>
              <w:szCs w:val="22"/>
              <w:lang w:eastAsia="fr-CA"/>
            </w:rPr>
          </w:pPr>
          <w:r>
            <w:rPr>
              <w:noProof/>
            </w:rPr>
            <w:t>3. La capacité stratégique</w:t>
          </w:r>
          <w:r>
            <w:rPr>
              <w:noProof/>
            </w:rPr>
            <w:tab/>
          </w:r>
          <w:r>
            <w:rPr>
              <w:noProof/>
            </w:rPr>
            <w:fldChar w:fldCharType="begin"/>
          </w:r>
          <w:r>
            <w:rPr>
              <w:noProof/>
            </w:rPr>
            <w:instrText xml:space="preserve"> PAGEREF _Toc417486232 \h </w:instrText>
          </w:r>
          <w:r>
            <w:rPr>
              <w:noProof/>
            </w:rPr>
          </w:r>
          <w:r>
            <w:rPr>
              <w:noProof/>
            </w:rPr>
            <w:fldChar w:fldCharType="separate"/>
          </w:r>
          <w:r>
            <w:rPr>
              <w:noProof/>
            </w:rPr>
            <w:t>33</w:t>
          </w:r>
          <w:r>
            <w:rPr>
              <w:noProof/>
            </w:rPr>
            <w:fldChar w:fldCharType="end"/>
          </w:r>
        </w:p>
        <w:p w:rsidR="004C5B8C" w:rsidRDefault="004C5B8C">
          <w:pPr>
            <w:pStyle w:val="TM3"/>
            <w:tabs>
              <w:tab w:val="right" w:leader="dot" w:pos="8630"/>
            </w:tabs>
            <w:rPr>
              <w:rFonts w:eastAsiaTheme="minorEastAsia" w:cstheme="minorBidi"/>
              <w:noProof/>
              <w:sz w:val="22"/>
              <w:szCs w:val="22"/>
              <w:lang w:eastAsia="fr-CA"/>
            </w:rPr>
          </w:pPr>
          <w:r>
            <w:rPr>
              <w:noProof/>
            </w:rPr>
            <w:t>3.1 Les fondements de la capacité stratégique</w:t>
          </w:r>
          <w:r>
            <w:rPr>
              <w:noProof/>
            </w:rPr>
            <w:tab/>
          </w:r>
          <w:r>
            <w:rPr>
              <w:noProof/>
            </w:rPr>
            <w:fldChar w:fldCharType="begin"/>
          </w:r>
          <w:r>
            <w:rPr>
              <w:noProof/>
            </w:rPr>
            <w:instrText xml:space="preserve"> PAGEREF _Toc417486233 \h </w:instrText>
          </w:r>
          <w:r>
            <w:rPr>
              <w:noProof/>
            </w:rPr>
          </w:r>
          <w:r>
            <w:rPr>
              <w:noProof/>
            </w:rPr>
            <w:fldChar w:fldCharType="separate"/>
          </w:r>
          <w:r>
            <w:rPr>
              <w:noProof/>
            </w:rPr>
            <w:t>33</w:t>
          </w:r>
          <w:r>
            <w:rPr>
              <w:noProof/>
            </w:rPr>
            <w:fldChar w:fldCharType="end"/>
          </w:r>
        </w:p>
        <w:p w:rsidR="004C5B8C" w:rsidRDefault="004C5B8C">
          <w:pPr>
            <w:pStyle w:val="TM4"/>
            <w:tabs>
              <w:tab w:val="right" w:leader="dot" w:pos="8630"/>
            </w:tabs>
            <w:rPr>
              <w:rFonts w:eastAsiaTheme="minorEastAsia" w:cstheme="minorBidi"/>
              <w:noProof/>
              <w:sz w:val="22"/>
              <w:szCs w:val="22"/>
              <w:lang w:eastAsia="fr-CA"/>
            </w:rPr>
          </w:pPr>
          <w:r>
            <w:rPr>
              <w:noProof/>
            </w:rPr>
            <w:t>3.1.1 Les capacités dynamiques</w:t>
          </w:r>
          <w:r>
            <w:rPr>
              <w:noProof/>
            </w:rPr>
            <w:tab/>
          </w:r>
          <w:r>
            <w:rPr>
              <w:noProof/>
            </w:rPr>
            <w:fldChar w:fldCharType="begin"/>
          </w:r>
          <w:r>
            <w:rPr>
              <w:noProof/>
            </w:rPr>
            <w:instrText xml:space="preserve"> PAGEREF _Toc417486234 \h </w:instrText>
          </w:r>
          <w:r>
            <w:rPr>
              <w:noProof/>
            </w:rPr>
          </w:r>
          <w:r>
            <w:rPr>
              <w:noProof/>
            </w:rPr>
            <w:fldChar w:fldCharType="separate"/>
          </w:r>
          <w:r>
            <w:rPr>
              <w:noProof/>
            </w:rPr>
            <w:t>33</w:t>
          </w:r>
          <w:r>
            <w:rPr>
              <w:noProof/>
            </w:rPr>
            <w:fldChar w:fldCharType="end"/>
          </w:r>
        </w:p>
        <w:p w:rsidR="004C5B8C" w:rsidRDefault="004C5B8C">
          <w:pPr>
            <w:pStyle w:val="TM4"/>
            <w:tabs>
              <w:tab w:val="right" w:leader="dot" w:pos="8630"/>
            </w:tabs>
            <w:rPr>
              <w:rFonts w:eastAsiaTheme="minorEastAsia" w:cstheme="minorBidi"/>
              <w:noProof/>
              <w:sz w:val="22"/>
              <w:szCs w:val="22"/>
              <w:lang w:eastAsia="fr-CA"/>
            </w:rPr>
          </w:pPr>
          <w:r>
            <w:rPr>
              <w:noProof/>
            </w:rPr>
            <w:t>3.1.2 Les capacités seuils et les capacités distinctives</w:t>
          </w:r>
          <w:r>
            <w:rPr>
              <w:noProof/>
            </w:rPr>
            <w:tab/>
          </w:r>
          <w:r>
            <w:rPr>
              <w:noProof/>
            </w:rPr>
            <w:fldChar w:fldCharType="begin"/>
          </w:r>
          <w:r>
            <w:rPr>
              <w:noProof/>
            </w:rPr>
            <w:instrText xml:space="preserve"> PAGEREF _Toc417486235 \h </w:instrText>
          </w:r>
          <w:r>
            <w:rPr>
              <w:noProof/>
            </w:rPr>
          </w:r>
          <w:r>
            <w:rPr>
              <w:noProof/>
            </w:rPr>
            <w:fldChar w:fldCharType="separate"/>
          </w:r>
          <w:r>
            <w:rPr>
              <w:noProof/>
            </w:rPr>
            <w:t>33</w:t>
          </w:r>
          <w:r>
            <w:rPr>
              <w:noProof/>
            </w:rPr>
            <w:fldChar w:fldCharType="end"/>
          </w:r>
        </w:p>
        <w:p w:rsidR="004C5B8C" w:rsidRDefault="004C5B8C">
          <w:pPr>
            <w:pStyle w:val="TM3"/>
            <w:tabs>
              <w:tab w:val="right" w:leader="dot" w:pos="8630"/>
            </w:tabs>
            <w:rPr>
              <w:rFonts w:eastAsiaTheme="minorEastAsia" w:cstheme="minorBidi"/>
              <w:noProof/>
              <w:sz w:val="22"/>
              <w:szCs w:val="22"/>
              <w:lang w:eastAsia="fr-CA"/>
            </w:rPr>
          </w:pPr>
          <w:r>
            <w:rPr>
              <w:noProof/>
            </w:rPr>
            <w:t>3.2 Le VRIN des capacités stratégiques</w:t>
          </w:r>
          <w:r>
            <w:rPr>
              <w:noProof/>
            </w:rPr>
            <w:tab/>
          </w:r>
          <w:r>
            <w:rPr>
              <w:noProof/>
            </w:rPr>
            <w:fldChar w:fldCharType="begin"/>
          </w:r>
          <w:r>
            <w:rPr>
              <w:noProof/>
            </w:rPr>
            <w:instrText xml:space="preserve"> PAGEREF _Toc417486236 \h </w:instrText>
          </w:r>
          <w:r>
            <w:rPr>
              <w:noProof/>
            </w:rPr>
          </w:r>
          <w:r>
            <w:rPr>
              <w:noProof/>
            </w:rPr>
            <w:fldChar w:fldCharType="separate"/>
          </w:r>
          <w:r>
            <w:rPr>
              <w:noProof/>
            </w:rPr>
            <w:t>35</w:t>
          </w:r>
          <w:r>
            <w:rPr>
              <w:noProof/>
            </w:rPr>
            <w:fldChar w:fldCharType="end"/>
          </w:r>
        </w:p>
        <w:p w:rsidR="004C5B8C" w:rsidRDefault="004C5B8C">
          <w:pPr>
            <w:pStyle w:val="TM3"/>
            <w:tabs>
              <w:tab w:val="right" w:leader="dot" w:pos="8630"/>
            </w:tabs>
            <w:rPr>
              <w:rFonts w:eastAsiaTheme="minorEastAsia" w:cstheme="minorBidi"/>
              <w:noProof/>
              <w:sz w:val="22"/>
              <w:szCs w:val="22"/>
              <w:lang w:eastAsia="fr-CA"/>
            </w:rPr>
          </w:pPr>
          <w:r>
            <w:rPr>
              <w:noProof/>
            </w:rPr>
            <w:t>3.3 Le diagnostic de la capacité stratégique</w:t>
          </w:r>
          <w:r>
            <w:rPr>
              <w:noProof/>
            </w:rPr>
            <w:tab/>
          </w:r>
          <w:r>
            <w:rPr>
              <w:noProof/>
            </w:rPr>
            <w:fldChar w:fldCharType="begin"/>
          </w:r>
          <w:r>
            <w:rPr>
              <w:noProof/>
            </w:rPr>
            <w:instrText xml:space="preserve"> PAGEREF _Toc417486237 \h </w:instrText>
          </w:r>
          <w:r>
            <w:rPr>
              <w:noProof/>
            </w:rPr>
          </w:r>
          <w:r>
            <w:rPr>
              <w:noProof/>
            </w:rPr>
            <w:fldChar w:fldCharType="separate"/>
          </w:r>
          <w:r>
            <w:rPr>
              <w:noProof/>
            </w:rPr>
            <w:t>38</w:t>
          </w:r>
          <w:r>
            <w:rPr>
              <w:noProof/>
            </w:rPr>
            <w:fldChar w:fldCharType="end"/>
          </w:r>
        </w:p>
        <w:p w:rsidR="004C5B8C" w:rsidRDefault="004C5B8C">
          <w:pPr>
            <w:pStyle w:val="TM4"/>
            <w:tabs>
              <w:tab w:val="right" w:leader="dot" w:pos="8630"/>
            </w:tabs>
            <w:rPr>
              <w:rFonts w:eastAsiaTheme="minorEastAsia" w:cstheme="minorBidi"/>
              <w:noProof/>
              <w:sz w:val="22"/>
              <w:szCs w:val="22"/>
              <w:lang w:eastAsia="fr-CA"/>
            </w:rPr>
          </w:pPr>
          <w:r>
            <w:rPr>
              <w:noProof/>
            </w:rPr>
            <w:t>3.3.1 L’étalonnage</w:t>
          </w:r>
          <w:r>
            <w:rPr>
              <w:noProof/>
            </w:rPr>
            <w:tab/>
          </w:r>
          <w:r>
            <w:rPr>
              <w:noProof/>
            </w:rPr>
            <w:fldChar w:fldCharType="begin"/>
          </w:r>
          <w:r>
            <w:rPr>
              <w:noProof/>
            </w:rPr>
            <w:instrText xml:space="preserve"> PAGEREF _Toc417486238 \h </w:instrText>
          </w:r>
          <w:r>
            <w:rPr>
              <w:noProof/>
            </w:rPr>
          </w:r>
          <w:r>
            <w:rPr>
              <w:noProof/>
            </w:rPr>
            <w:fldChar w:fldCharType="separate"/>
          </w:r>
          <w:r>
            <w:rPr>
              <w:noProof/>
            </w:rPr>
            <w:t>38</w:t>
          </w:r>
          <w:r>
            <w:rPr>
              <w:noProof/>
            </w:rPr>
            <w:fldChar w:fldCharType="end"/>
          </w:r>
        </w:p>
        <w:p w:rsidR="004C5B8C" w:rsidRDefault="004C5B8C">
          <w:pPr>
            <w:pStyle w:val="TM4"/>
            <w:tabs>
              <w:tab w:val="right" w:leader="dot" w:pos="8630"/>
            </w:tabs>
            <w:rPr>
              <w:rFonts w:eastAsiaTheme="minorEastAsia" w:cstheme="minorBidi"/>
              <w:noProof/>
              <w:sz w:val="22"/>
              <w:szCs w:val="22"/>
              <w:lang w:eastAsia="fr-CA"/>
            </w:rPr>
          </w:pPr>
          <w:r>
            <w:rPr>
              <w:noProof/>
              <w:lang w:eastAsia="fr-CA"/>
            </w:rPr>
            <w:t>3.3.2 Chaîne de valeur</w:t>
          </w:r>
          <w:r>
            <w:rPr>
              <w:noProof/>
            </w:rPr>
            <w:tab/>
          </w:r>
          <w:r>
            <w:rPr>
              <w:noProof/>
            </w:rPr>
            <w:fldChar w:fldCharType="begin"/>
          </w:r>
          <w:r>
            <w:rPr>
              <w:noProof/>
            </w:rPr>
            <w:instrText xml:space="preserve"> PAGEREF _Toc417486239 \h </w:instrText>
          </w:r>
          <w:r>
            <w:rPr>
              <w:noProof/>
            </w:rPr>
          </w:r>
          <w:r>
            <w:rPr>
              <w:noProof/>
            </w:rPr>
            <w:fldChar w:fldCharType="separate"/>
          </w:r>
          <w:r>
            <w:rPr>
              <w:noProof/>
            </w:rPr>
            <w:t>46</w:t>
          </w:r>
          <w:r>
            <w:rPr>
              <w:noProof/>
            </w:rPr>
            <w:fldChar w:fldCharType="end"/>
          </w:r>
        </w:p>
        <w:p w:rsidR="004C5B8C" w:rsidRDefault="004C5B8C">
          <w:pPr>
            <w:pStyle w:val="TM4"/>
            <w:tabs>
              <w:tab w:val="right" w:leader="dot" w:pos="8630"/>
            </w:tabs>
            <w:rPr>
              <w:rFonts w:eastAsiaTheme="minorEastAsia" w:cstheme="minorBidi"/>
              <w:noProof/>
              <w:sz w:val="22"/>
              <w:szCs w:val="22"/>
              <w:lang w:eastAsia="fr-CA"/>
            </w:rPr>
          </w:pPr>
          <w:r>
            <w:rPr>
              <w:noProof/>
            </w:rPr>
            <w:t>3.3.3 FFOM/SWOT</w:t>
          </w:r>
          <w:r>
            <w:rPr>
              <w:noProof/>
            </w:rPr>
            <w:tab/>
          </w:r>
          <w:r>
            <w:rPr>
              <w:noProof/>
            </w:rPr>
            <w:fldChar w:fldCharType="begin"/>
          </w:r>
          <w:r>
            <w:rPr>
              <w:noProof/>
            </w:rPr>
            <w:instrText xml:space="preserve"> PAGEREF _Toc417486240 \h </w:instrText>
          </w:r>
          <w:r>
            <w:rPr>
              <w:noProof/>
            </w:rPr>
          </w:r>
          <w:r>
            <w:rPr>
              <w:noProof/>
            </w:rPr>
            <w:fldChar w:fldCharType="separate"/>
          </w:r>
          <w:r>
            <w:rPr>
              <w:noProof/>
            </w:rPr>
            <w:t>49</w:t>
          </w:r>
          <w:r>
            <w:rPr>
              <w:noProof/>
            </w:rPr>
            <w:fldChar w:fldCharType="end"/>
          </w:r>
        </w:p>
        <w:p w:rsidR="004C5B8C" w:rsidRDefault="004C5B8C">
          <w:pPr>
            <w:pStyle w:val="TM1"/>
            <w:tabs>
              <w:tab w:val="right" w:leader="dot" w:pos="8630"/>
            </w:tabs>
            <w:rPr>
              <w:rFonts w:asciiTheme="minorHAnsi" w:eastAsiaTheme="minorEastAsia" w:hAnsiTheme="minorHAnsi" w:cstheme="minorBidi"/>
              <w:b w:val="0"/>
              <w:bCs w:val="0"/>
              <w:caps w:val="0"/>
              <w:noProof/>
              <w:sz w:val="22"/>
              <w:szCs w:val="22"/>
              <w:lang w:eastAsia="fr-CA"/>
            </w:rPr>
          </w:pPr>
          <w:r>
            <w:rPr>
              <w:noProof/>
            </w:rPr>
            <w:t>4. L’intention stratégique</w:t>
          </w:r>
          <w:r>
            <w:rPr>
              <w:noProof/>
            </w:rPr>
            <w:tab/>
          </w:r>
          <w:r>
            <w:rPr>
              <w:noProof/>
            </w:rPr>
            <w:fldChar w:fldCharType="begin"/>
          </w:r>
          <w:r>
            <w:rPr>
              <w:noProof/>
            </w:rPr>
            <w:instrText xml:space="preserve"> PAGEREF _Toc417486241 \h </w:instrText>
          </w:r>
          <w:r>
            <w:rPr>
              <w:noProof/>
            </w:rPr>
          </w:r>
          <w:r>
            <w:rPr>
              <w:noProof/>
            </w:rPr>
            <w:fldChar w:fldCharType="separate"/>
          </w:r>
          <w:r>
            <w:rPr>
              <w:noProof/>
            </w:rPr>
            <w:t>51</w:t>
          </w:r>
          <w:r>
            <w:rPr>
              <w:noProof/>
            </w:rPr>
            <w:fldChar w:fldCharType="end"/>
          </w:r>
        </w:p>
        <w:p w:rsidR="004C5B8C" w:rsidRDefault="004C5B8C">
          <w:pPr>
            <w:pStyle w:val="TM3"/>
            <w:tabs>
              <w:tab w:val="right" w:leader="dot" w:pos="8630"/>
            </w:tabs>
            <w:rPr>
              <w:rFonts w:eastAsiaTheme="minorEastAsia" w:cstheme="minorBidi"/>
              <w:noProof/>
              <w:sz w:val="22"/>
              <w:szCs w:val="22"/>
              <w:lang w:eastAsia="fr-CA"/>
            </w:rPr>
          </w:pPr>
          <w:r>
            <w:rPr>
              <w:noProof/>
            </w:rPr>
            <w:t>4.1 La chaîne de gouvernance</w:t>
          </w:r>
          <w:r>
            <w:rPr>
              <w:noProof/>
            </w:rPr>
            <w:tab/>
          </w:r>
          <w:r>
            <w:rPr>
              <w:noProof/>
            </w:rPr>
            <w:fldChar w:fldCharType="begin"/>
          </w:r>
          <w:r>
            <w:rPr>
              <w:noProof/>
            </w:rPr>
            <w:instrText xml:space="preserve"> PAGEREF _Toc417486242 \h </w:instrText>
          </w:r>
          <w:r>
            <w:rPr>
              <w:noProof/>
            </w:rPr>
          </w:r>
          <w:r>
            <w:rPr>
              <w:noProof/>
            </w:rPr>
            <w:fldChar w:fldCharType="separate"/>
          </w:r>
          <w:r>
            <w:rPr>
              <w:noProof/>
            </w:rPr>
            <w:t>51</w:t>
          </w:r>
          <w:r>
            <w:rPr>
              <w:noProof/>
            </w:rPr>
            <w:fldChar w:fldCharType="end"/>
          </w:r>
        </w:p>
        <w:p w:rsidR="004C5B8C" w:rsidRDefault="004C5B8C">
          <w:pPr>
            <w:pStyle w:val="TM3"/>
            <w:tabs>
              <w:tab w:val="right" w:leader="dot" w:pos="8630"/>
            </w:tabs>
            <w:rPr>
              <w:rFonts w:eastAsiaTheme="minorEastAsia" w:cstheme="minorBidi"/>
              <w:noProof/>
              <w:sz w:val="22"/>
              <w:szCs w:val="22"/>
              <w:lang w:eastAsia="fr-CA"/>
            </w:rPr>
          </w:pPr>
          <w:r>
            <w:rPr>
              <w:noProof/>
            </w:rPr>
            <w:t>4.2 La responsabilité sociale de l’organisation et l’éthique</w:t>
          </w:r>
          <w:r>
            <w:rPr>
              <w:noProof/>
            </w:rPr>
            <w:tab/>
          </w:r>
          <w:r>
            <w:rPr>
              <w:noProof/>
            </w:rPr>
            <w:fldChar w:fldCharType="begin"/>
          </w:r>
          <w:r>
            <w:rPr>
              <w:noProof/>
            </w:rPr>
            <w:instrText xml:space="preserve"> PAGEREF _Toc417486243 \h </w:instrText>
          </w:r>
          <w:r>
            <w:rPr>
              <w:noProof/>
            </w:rPr>
          </w:r>
          <w:r>
            <w:rPr>
              <w:noProof/>
            </w:rPr>
            <w:fldChar w:fldCharType="separate"/>
          </w:r>
          <w:r>
            <w:rPr>
              <w:noProof/>
            </w:rPr>
            <w:t>53</w:t>
          </w:r>
          <w:r>
            <w:rPr>
              <w:noProof/>
            </w:rPr>
            <w:fldChar w:fldCharType="end"/>
          </w:r>
        </w:p>
        <w:p w:rsidR="004C5B8C" w:rsidRDefault="004C5B8C">
          <w:pPr>
            <w:pStyle w:val="TM3"/>
            <w:tabs>
              <w:tab w:val="right" w:leader="dot" w:pos="8630"/>
            </w:tabs>
            <w:rPr>
              <w:rFonts w:eastAsiaTheme="minorEastAsia" w:cstheme="minorBidi"/>
              <w:noProof/>
              <w:sz w:val="22"/>
              <w:szCs w:val="22"/>
              <w:lang w:eastAsia="fr-CA"/>
            </w:rPr>
          </w:pPr>
          <w:r>
            <w:rPr>
              <w:noProof/>
            </w:rPr>
            <w:t>4.3 Les parties prenantes</w:t>
          </w:r>
          <w:r>
            <w:rPr>
              <w:noProof/>
            </w:rPr>
            <w:tab/>
          </w:r>
          <w:r>
            <w:rPr>
              <w:noProof/>
            </w:rPr>
            <w:fldChar w:fldCharType="begin"/>
          </w:r>
          <w:r>
            <w:rPr>
              <w:noProof/>
            </w:rPr>
            <w:instrText xml:space="preserve"> PAGEREF _Toc417486244 \h </w:instrText>
          </w:r>
          <w:r>
            <w:rPr>
              <w:noProof/>
            </w:rPr>
          </w:r>
          <w:r>
            <w:rPr>
              <w:noProof/>
            </w:rPr>
            <w:fldChar w:fldCharType="separate"/>
          </w:r>
          <w:r>
            <w:rPr>
              <w:noProof/>
            </w:rPr>
            <w:t>55</w:t>
          </w:r>
          <w:r>
            <w:rPr>
              <w:noProof/>
            </w:rPr>
            <w:fldChar w:fldCharType="end"/>
          </w:r>
        </w:p>
        <w:p w:rsidR="004C5B8C" w:rsidRDefault="004C5B8C">
          <w:pPr>
            <w:pStyle w:val="TM2"/>
            <w:tabs>
              <w:tab w:val="right" w:leader="dot" w:pos="8630"/>
            </w:tabs>
            <w:rPr>
              <w:rFonts w:eastAsiaTheme="minorEastAsia" w:cstheme="minorBidi"/>
              <w:b w:val="0"/>
              <w:bCs w:val="0"/>
              <w:noProof/>
              <w:sz w:val="22"/>
              <w:szCs w:val="22"/>
              <w:lang w:eastAsia="fr-CA"/>
            </w:rPr>
          </w:pPr>
          <w:r>
            <w:rPr>
              <w:noProof/>
            </w:rPr>
            <w:t>5. Culture et stratégie</w:t>
          </w:r>
          <w:r>
            <w:rPr>
              <w:noProof/>
            </w:rPr>
            <w:tab/>
          </w:r>
          <w:r>
            <w:rPr>
              <w:noProof/>
            </w:rPr>
            <w:fldChar w:fldCharType="begin"/>
          </w:r>
          <w:r>
            <w:rPr>
              <w:noProof/>
            </w:rPr>
            <w:instrText xml:space="preserve"> PAGEREF _Toc417486245 \h </w:instrText>
          </w:r>
          <w:r>
            <w:rPr>
              <w:noProof/>
            </w:rPr>
          </w:r>
          <w:r>
            <w:rPr>
              <w:noProof/>
            </w:rPr>
            <w:fldChar w:fldCharType="separate"/>
          </w:r>
          <w:r>
            <w:rPr>
              <w:noProof/>
            </w:rPr>
            <w:t>57</w:t>
          </w:r>
          <w:r>
            <w:rPr>
              <w:noProof/>
            </w:rPr>
            <w:fldChar w:fldCharType="end"/>
          </w:r>
        </w:p>
        <w:p w:rsidR="004C5B8C" w:rsidRDefault="004C5B8C">
          <w:pPr>
            <w:pStyle w:val="TM3"/>
            <w:tabs>
              <w:tab w:val="right" w:leader="dot" w:pos="8630"/>
            </w:tabs>
            <w:rPr>
              <w:rFonts w:eastAsiaTheme="minorEastAsia" w:cstheme="minorBidi"/>
              <w:noProof/>
              <w:sz w:val="22"/>
              <w:szCs w:val="22"/>
              <w:lang w:eastAsia="fr-CA"/>
            </w:rPr>
          </w:pPr>
          <w:r>
            <w:rPr>
              <w:noProof/>
            </w:rPr>
            <w:t>5.1 Tissu culturel</w:t>
          </w:r>
          <w:r>
            <w:rPr>
              <w:noProof/>
            </w:rPr>
            <w:tab/>
          </w:r>
          <w:r>
            <w:rPr>
              <w:noProof/>
            </w:rPr>
            <w:fldChar w:fldCharType="begin"/>
          </w:r>
          <w:r>
            <w:rPr>
              <w:noProof/>
            </w:rPr>
            <w:instrText xml:space="preserve"> PAGEREF _Toc417486246 \h </w:instrText>
          </w:r>
          <w:r>
            <w:rPr>
              <w:noProof/>
            </w:rPr>
          </w:r>
          <w:r>
            <w:rPr>
              <w:noProof/>
            </w:rPr>
            <w:fldChar w:fldCharType="separate"/>
          </w:r>
          <w:r>
            <w:rPr>
              <w:noProof/>
            </w:rPr>
            <w:t>57</w:t>
          </w:r>
          <w:r>
            <w:rPr>
              <w:noProof/>
            </w:rPr>
            <w:fldChar w:fldCharType="end"/>
          </w:r>
        </w:p>
        <w:p w:rsidR="004C5B8C" w:rsidRDefault="004C5B8C">
          <w:pPr>
            <w:pStyle w:val="TM1"/>
            <w:tabs>
              <w:tab w:val="right" w:leader="dot" w:pos="8630"/>
            </w:tabs>
            <w:rPr>
              <w:rFonts w:asciiTheme="minorHAnsi" w:eastAsiaTheme="minorEastAsia" w:hAnsiTheme="minorHAnsi" w:cstheme="minorBidi"/>
              <w:b w:val="0"/>
              <w:bCs w:val="0"/>
              <w:caps w:val="0"/>
              <w:noProof/>
              <w:sz w:val="22"/>
              <w:szCs w:val="22"/>
              <w:lang w:eastAsia="fr-CA"/>
            </w:rPr>
          </w:pPr>
          <w:r>
            <w:rPr>
              <w:noProof/>
            </w:rPr>
            <w:t>CHOIX STRATÉGIQUES</w:t>
          </w:r>
          <w:r>
            <w:rPr>
              <w:noProof/>
            </w:rPr>
            <w:tab/>
          </w:r>
          <w:r>
            <w:rPr>
              <w:noProof/>
            </w:rPr>
            <w:fldChar w:fldCharType="begin"/>
          </w:r>
          <w:r>
            <w:rPr>
              <w:noProof/>
            </w:rPr>
            <w:instrText xml:space="preserve"> PAGEREF _Toc417486247 \h </w:instrText>
          </w:r>
          <w:r>
            <w:rPr>
              <w:noProof/>
            </w:rPr>
          </w:r>
          <w:r>
            <w:rPr>
              <w:noProof/>
            </w:rPr>
            <w:fldChar w:fldCharType="separate"/>
          </w:r>
          <w:r>
            <w:rPr>
              <w:noProof/>
            </w:rPr>
            <w:t>61</w:t>
          </w:r>
          <w:r>
            <w:rPr>
              <w:noProof/>
            </w:rPr>
            <w:fldChar w:fldCharType="end"/>
          </w:r>
        </w:p>
        <w:p w:rsidR="004C5B8C" w:rsidRDefault="004C5B8C">
          <w:pPr>
            <w:pStyle w:val="TM2"/>
            <w:tabs>
              <w:tab w:val="right" w:leader="dot" w:pos="8630"/>
            </w:tabs>
            <w:rPr>
              <w:rFonts w:eastAsiaTheme="minorEastAsia" w:cstheme="minorBidi"/>
              <w:b w:val="0"/>
              <w:bCs w:val="0"/>
              <w:noProof/>
              <w:sz w:val="22"/>
              <w:szCs w:val="22"/>
              <w:lang w:eastAsia="fr-CA"/>
            </w:rPr>
          </w:pPr>
          <w:r>
            <w:rPr>
              <w:noProof/>
            </w:rPr>
            <w:t>6. Les stratégies par domaine d’activité</w:t>
          </w:r>
          <w:r>
            <w:rPr>
              <w:noProof/>
            </w:rPr>
            <w:tab/>
          </w:r>
          <w:r>
            <w:rPr>
              <w:noProof/>
            </w:rPr>
            <w:fldChar w:fldCharType="begin"/>
          </w:r>
          <w:r>
            <w:rPr>
              <w:noProof/>
            </w:rPr>
            <w:instrText xml:space="preserve"> PAGEREF _Toc417486248 \h </w:instrText>
          </w:r>
          <w:r>
            <w:rPr>
              <w:noProof/>
            </w:rPr>
          </w:r>
          <w:r>
            <w:rPr>
              <w:noProof/>
            </w:rPr>
            <w:fldChar w:fldCharType="separate"/>
          </w:r>
          <w:r>
            <w:rPr>
              <w:noProof/>
            </w:rPr>
            <w:t>61</w:t>
          </w:r>
          <w:r>
            <w:rPr>
              <w:noProof/>
            </w:rPr>
            <w:fldChar w:fldCharType="end"/>
          </w:r>
        </w:p>
        <w:p w:rsidR="004C5B8C" w:rsidRDefault="004C5B8C">
          <w:pPr>
            <w:pStyle w:val="TM3"/>
            <w:tabs>
              <w:tab w:val="right" w:leader="dot" w:pos="8630"/>
            </w:tabs>
            <w:rPr>
              <w:rFonts w:eastAsiaTheme="minorEastAsia" w:cstheme="minorBidi"/>
              <w:noProof/>
              <w:sz w:val="22"/>
              <w:szCs w:val="22"/>
              <w:lang w:eastAsia="fr-CA"/>
            </w:rPr>
          </w:pPr>
          <w:r>
            <w:rPr>
              <w:noProof/>
            </w:rPr>
            <w:t>6.1  L’identification des domaines d’activité stratégique (DAS) de l’UQTR</w:t>
          </w:r>
          <w:r>
            <w:rPr>
              <w:noProof/>
            </w:rPr>
            <w:tab/>
          </w:r>
          <w:r>
            <w:rPr>
              <w:noProof/>
            </w:rPr>
            <w:fldChar w:fldCharType="begin"/>
          </w:r>
          <w:r>
            <w:rPr>
              <w:noProof/>
            </w:rPr>
            <w:instrText xml:space="preserve"> PAGEREF _Toc417486249 \h </w:instrText>
          </w:r>
          <w:r>
            <w:rPr>
              <w:noProof/>
            </w:rPr>
          </w:r>
          <w:r>
            <w:rPr>
              <w:noProof/>
            </w:rPr>
            <w:fldChar w:fldCharType="separate"/>
          </w:r>
          <w:r>
            <w:rPr>
              <w:noProof/>
            </w:rPr>
            <w:t>61</w:t>
          </w:r>
          <w:r>
            <w:rPr>
              <w:noProof/>
            </w:rPr>
            <w:fldChar w:fldCharType="end"/>
          </w:r>
        </w:p>
        <w:p w:rsidR="004C5B8C" w:rsidRDefault="004C5B8C">
          <w:pPr>
            <w:pStyle w:val="TM3"/>
            <w:tabs>
              <w:tab w:val="right" w:leader="dot" w:pos="8630"/>
            </w:tabs>
            <w:rPr>
              <w:rFonts w:eastAsiaTheme="minorEastAsia" w:cstheme="minorBidi"/>
              <w:noProof/>
              <w:sz w:val="22"/>
              <w:szCs w:val="22"/>
              <w:lang w:eastAsia="fr-CA"/>
            </w:rPr>
          </w:pPr>
          <w:r>
            <w:rPr>
              <w:noProof/>
            </w:rPr>
            <w:t>6.2 Les stratégies génériques</w:t>
          </w:r>
          <w:r>
            <w:rPr>
              <w:noProof/>
            </w:rPr>
            <w:tab/>
          </w:r>
          <w:r>
            <w:rPr>
              <w:noProof/>
            </w:rPr>
            <w:fldChar w:fldCharType="begin"/>
          </w:r>
          <w:r>
            <w:rPr>
              <w:noProof/>
            </w:rPr>
            <w:instrText xml:space="preserve"> PAGEREF _Toc417486250 \h </w:instrText>
          </w:r>
          <w:r>
            <w:rPr>
              <w:noProof/>
            </w:rPr>
          </w:r>
          <w:r>
            <w:rPr>
              <w:noProof/>
            </w:rPr>
            <w:fldChar w:fldCharType="separate"/>
          </w:r>
          <w:r>
            <w:rPr>
              <w:noProof/>
            </w:rPr>
            <w:t>62</w:t>
          </w:r>
          <w:r>
            <w:rPr>
              <w:noProof/>
            </w:rPr>
            <w:fldChar w:fldCharType="end"/>
          </w:r>
        </w:p>
        <w:p w:rsidR="004C5B8C" w:rsidRDefault="004C5B8C">
          <w:pPr>
            <w:pStyle w:val="TM4"/>
            <w:tabs>
              <w:tab w:val="right" w:leader="dot" w:pos="8630"/>
            </w:tabs>
            <w:rPr>
              <w:rFonts w:eastAsiaTheme="minorEastAsia" w:cstheme="minorBidi"/>
              <w:noProof/>
              <w:sz w:val="22"/>
              <w:szCs w:val="22"/>
              <w:lang w:eastAsia="fr-CA"/>
            </w:rPr>
          </w:pPr>
          <w:r>
            <w:rPr>
              <w:noProof/>
            </w:rPr>
            <w:t>6.2.1 Stratégie générique de Porter</w:t>
          </w:r>
          <w:r>
            <w:rPr>
              <w:noProof/>
            </w:rPr>
            <w:tab/>
          </w:r>
          <w:r>
            <w:rPr>
              <w:noProof/>
            </w:rPr>
            <w:fldChar w:fldCharType="begin"/>
          </w:r>
          <w:r>
            <w:rPr>
              <w:noProof/>
            </w:rPr>
            <w:instrText xml:space="preserve"> PAGEREF _Toc417486251 \h </w:instrText>
          </w:r>
          <w:r>
            <w:rPr>
              <w:noProof/>
            </w:rPr>
          </w:r>
          <w:r>
            <w:rPr>
              <w:noProof/>
            </w:rPr>
            <w:fldChar w:fldCharType="separate"/>
          </w:r>
          <w:r>
            <w:rPr>
              <w:noProof/>
            </w:rPr>
            <w:t>62</w:t>
          </w:r>
          <w:r>
            <w:rPr>
              <w:noProof/>
            </w:rPr>
            <w:fldChar w:fldCharType="end"/>
          </w:r>
        </w:p>
        <w:p w:rsidR="004C5B8C" w:rsidRDefault="004C5B8C">
          <w:pPr>
            <w:pStyle w:val="TM4"/>
            <w:tabs>
              <w:tab w:val="right" w:leader="dot" w:pos="8630"/>
            </w:tabs>
            <w:rPr>
              <w:rFonts w:eastAsiaTheme="minorEastAsia" w:cstheme="minorBidi"/>
              <w:noProof/>
              <w:sz w:val="22"/>
              <w:szCs w:val="22"/>
              <w:lang w:eastAsia="fr-CA"/>
            </w:rPr>
          </w:pPr>
          <w:r>
            <w:rPr>
              <w:noProof/>
            </w:rPr>
            <w:t>6.2.2 Horloge stratégique :</w:t>
          </w:r>
          <w:r>
            <w:rPr>
              <w:noProof/>
            </w:rPr>
            <w:tab/>
          </w:r>
          <w:r>
            <w:rPr>
              <w:noProof/>
            </w:rPr>
            <w:fldChar w:fldCharType="begin"/>
          </w:r>
          <w:r>
            <w:rPr>
              <w:noProof/>
            </w:rPr>
            <w:instrText xml:space="preserve"> PAGEREF _Toc417486252 \h </w:instrText>
          </w:r>
          <w:r>
            <w:rPr>
              <w:noProof/>
            </w:rPr>
          </w:r>
          <w:r>
            <w:rPr>
              <w:noProof/>
            </w:rPr>
            <w:fldChar w:fldCharType="separate"/>
          </w:r>
          <w:r>
            <w:rPr>
              <w:noProof/>
            </w:rPr>
            <w:t>65</w:t>
          </w:r>
          <w:r>
            <w:rPr>
              <w:noProof/>
            </w:rPr>
            <w:fldChar w:fldCharType="end"/>
          </w:r>
        </w:p>
        <w:p w:rsidR="004C5B8C" w:rsidRDefault="004C5B8C">
          <w:pPr>
            <w:pStyle w:val="TM4"/>
            <w:tabs>
              <w:tab w:val="right" w:leader="dot" w:pos="8630"/>
            </w:tabs>
            <w:rPr>
              <w:rFonts w:eastAsiaTheme="minorEastAsia" w:cstheme="minorBidi"/>
              <w:noProof/>
              <w:sz w:val="22"/>
              <w:szCs w:val="22"/>
              <w:lang w:eastAsia="fr-CA"/>
            </w:rPr>
          </w:pPr>
          <w:r>
            <w:rPr>
              <w:noProof/>
            </w:rPr>
            <w:t>6.2.3 Matrice d’Ansoff</w:t>
          </w:r>
          <w:r>
            <w:rPr>
              <w:noProof/>
            </w:rPr>
            <w:tab/>
          </w:r>
          <w:r>
            <w:rPr>
              <w:noProof/>
            </w:rPr>
            <w:fldChar w:fldCharType="begin"/>
          </w:r>
          <w:r>
            <w:rPr>
              <w:noProof/>
            </w:rPr>
            <w:instrText xml:space="preserve"> PAGEREF _Toc417486253 \h </w:instrText>
          </w:r>
          <w:r>
            <w:rPr>
              <w:noProof/>
            </w:rPr>
          </w:r>
          <w:r>
            <w:rPr>
              <w:noProof/>
            </w:rPr>
            <w:fldChar w:fldCharType="separate"/>
          </w:r>
          <w:r>
            <w:rPr>
              <w:noProof/>
            </w:rPr>
            <w:t>66</w:t>
          </w:r>
          <w:r>
            <w:rPr>
              <w:noProof/>
            </w:rPr>
            <w:fldChar w:fldCharType="end"/>
          </w:r>
        </w:p>
        <w:p w:rsidR="004C5B8C" w:rsidRDefault="004C5B8C">
          <w:pPr>
            <w:pStyle w:val="TM2"/>
            <w:tabs>
              <w:tab w:val="right" w:leader="dot" w:pos="8630"/>
            </w:tabs>
            <w:rPr>
              <w:rFonts w:eastAsiaTheme="minorEastAsia" w:cstheme="minorBidi"/>
              <w:b w:val="0"/>
              <w:bCs w:val="0"/>
              <w:noProof/>
              <w:sz w:val="22"/>
              <w:szCs w:val="22"/>
              <w:lang w:eastAsia="fr-CA"/>
            </w:rPr>
          </w:pPr>
          <w:r>
            <w:rPr>
              <w:noProof/>
            </w:rPr>
            <w:lastRenderedPageBreak/>
            <w:t>7. La diversification et la gestion de portefeuille</w:t>
          </w:r>
          <w:r>
            <w:rPr>
              <w:noProof/>
            </w:rPr>
            <w:tab/>
          </w:r>
          <w:r>
            <w:rPr>
              <w:noProof/>
            </w:rPr>
            <w:fldChar w:fldCharType="begin"/>
          </w:r>
          <w:r>
            <w:rPr>
              <w:noProof/>
            </w:rPr>
            <w:instrText xml:space="preserve"> PAGEREF _Toc417486254 \h </w:instrText>
          </w:r>
          <w:r>
            <w:rPr>
              <w:noProof/>
            </w:rPr>
          </w:r>
          <w:r>
            <w:rPr>
              <w:noProof/>
            </w:rPr>
            <w:fldChar w:fldCharType="separate"/>
          </w:r>
          <w:r>
            <w:rPr>
              <w:noProof/>
            </w:rPr>
            <w:t>67</w:t>
          </w:r>
          <w:r>
            <w:rPr>
              <w:noProof/>
            </w:rPr>
            <w:fldChar w:fldCharType="end"/>
          </w:r>
        </w:p>
        <w:p w:rsidR="004C5B8C" w:rsidRDefault="004C5B8C">
          <w:pPr>
            <w:pStyle w:val="TM3"/>
            <w:tabs>
              <w:tab w:val="right" w:leader="dot" w:pos="8630"/>
            </w:tabs>
            <w:rPr>
              <w:rFonts w:eastAsiaTheme="minorEastAsia" w:cstheme="minorBidi"/>
              <w:noProof/>
              <w:sz w:val="22"/>
              <w:szCs w:val="22"/>
              <w:lang w:eastAsia="fr-CA"/>
            </w:rPr>
          </w:pPr>
          <w:r>
            <w:rPr>
              <w:noProof/>
            </w:rPr>
            <w:t>7.1 L’intégration verticale</w:t>
          </w:r>
          <w:r>
            <w:rPr>
              <w:noProof/>
            </w:rPr>
            <w:tab/>
          </w:r>
          <w:r>
            <w:rPr>
              <w:noProof/>
            </w:rPr>
            <w:fldChar w:fldCharType="begin"/>
          </w:r>
          <w:r>
            <w:rPr>
              <w:noProof/>
            </w:rPr>
            <w:instrText xml:space="preserve"> PAGEREF _Toc417486255 \h </w:instrText>
          </w:r>
          <w:r>
            <w:rPr>
              <w:noProof/>
            </w:rPr>
          </w:r>
          <w:r>
            <w:rPr>
              <w:noProof/>
            </w:rPr>
            <w:fldChar w:fldCharType="separate"/>
          </w:r>
          <w:r>
            <w:rPr>
              <w:noProof/>
            </w:rPr>
            <w:t>67</w:t>
          </w:r>
          <w:r>
            <w:rPr>
              <w:noProof/>
            </w:rPr>
            <w:fldChar w:fldCharType="end"/>
          </w:r>
        </w:p>
        <w:p w:rsidR="004C5B8C" w:rsidRDefault="004C5B8C">
          <w:pPr>
            <w:pStyle w:val="TM4"/>
            <w:tabs>
              <w:tab w:val="right" w:leader="dot" w:pos="8630"/>
            </w:tabs>
            <w:rPr>
              <w:rFonts w:eastAsiaTheme="minorEastAsia" w:cstheme="minorBidi"/>
              <w:noProof/>
              <w:sz w:val="22"/>
              <w:szCs w:val="22"/>
              <w:lang w:eastAsia="fr-CA"/>
            </w:rPr>
          </w:pPr>
          <w:r>
            <w:rPr>
              <w:noProof/>
            </w:rPr>
            <w:t>7.1.1 L’intégration vers l’aval et l’intégration vers l’amont</w:t>
          </w:r>
          <w:r>
            <w:rPr>
              <w:noProof/>
            </w:rPr>
            <w:tab/>
          </w:r>
          <w:r>
            <w:rPr>
              <w:noProof/>
            </w:rPr>
            <w:fldChar w:fldCharType="begin"/>
          </w:r>
          <w:r>
            <w:rPr>
              <w:noProof/>
            </w:rPr>
            <w:instrText xml:space="preserve"> PAGEREF _Toc417486256 \h </w:instrText>
          </w:r>
          <w:r>
            <w:rPr>
              <w:noProof/>
            </w:rPr>
          </w:r>
          <w:r>
            <w:rPr>
              <w:noProof/>
            </w:rPr>
            <w:fldChar w:fldCharType="separate"/>
          </w:r>
          <w:r>
            <w:rPr>
              <w:noProof/>
            </w:rPr>
            <w:t>67</w:t>
          </w:r>
          <w:r>
            <w:rPr>
              <w:noProof/>
            </w:rPr>
            <w:fldChar w:fldCharType="end"/>
          </w:r>
        </w:p>
        <w:p w:rsidR="004C5B8C" w:rsidRDefault="004C5B8C">
          <w:pPr>
            <w:pStyle w:val="TM4"/>
            <w:tabs>
              <w:tab w:val="right" w:leader="dot" w:pos="8630"/>
            </w:tabs>
            <w:rPr>
              <w:rFonts w:eastAsiaTheme="minorEastAsia" w:cstheme="minorBidi"/>
              <w:noProof/>
              <w:sz w:val="22"/>
              <w:szCs w:val="22"/>
              <w:lang w:eastAsia="fr-CA"/>
            </w:rPr>
          </w:pPr>
          <w:r>
            <w:rPr>
              <w:noProof/>
            </w:rPr>
            <w:t>7.1.2 Externalisation des opérations de l’UQTR</w:t>
          </w:r>
          <w:r>
            <w:rPr>
              <w:noProof/>
            </w:rPr>
            <w:tab/>
          </w:r>
          <w:r>
            <w:rPr>
              <w:noProof/>
            </w:rPr>
            <w:fldChar w:fldCharType="begin"/>
          </w:r>
          <w:r>
            <w:rPr>
              <w:noProof/>
            </w:rPr>
            <w:instrText xml:space="preserve"> PAGEREF _Toc417486257 \h </w:instrText>
          </w:r>
          <w:r>
            <w:rPr>
              <w:noProof/>
            </w:rPr>
          </w:r>
          <w:r>
            <w:rPr>
              <w:noProof/>
            </w:rPr>
            <w:fldChar w:fldCharType="separate"/>
          </w:r>
          <w:r>
            <w:rPr>
              <w:noProof/>
            </w:rPr>
            <w:t>68</w:t>
          </w:r>
          <w:r>
            <w:rPr>
              <w:noProof/>
            </w:rPr>
            <w:fldChar w:fldCharType="end"/>
          </w:r>
        </w:p>
        <w:p w:rsidR="004C5B8C" w:rsidRDefault="004C5B8C">
          <w:pPr>
            <w:pStyle w:val="TM3"/>
            <w:tabs>
              <w:tab w:val="right" w:leader="dot" w:pos="8630"/>
            </w:tabs>
            <w:rPr>
              <w:rFonts w:eastAsiaTheme="minorEastAsia" w:cstheme="minorBidi"/>
              <w:noProof/>
              <w:sz w:val="22"/>
              <w:szCs w:val="22"/>
              <w:lang w:eastAsia="fr-CA"/>
            </w:rPr>
          </w:pPr>
          <w:r>
            <w:rPr>
              <w:noProof/>
            </w:rPr>
            <w:t>7.2 Logique parentale</w:t>
          </w:r>
          <w:r>
            <w:rPr>
              <w:noProof/>
            </w:rPr>
            <w:tab/>
          </w:r>
          <w:r>
            <w:rPr>
              <w:noProof/>
            </w:rPr>
            <w:fldChar w:fldCharType="begin"/>
          </w:r>
          <w:r>
            <w:rPr>
              <w:noProof/>
            </w:rPr>
            <w:instrText xml:space="preserve"> PAGEREF _Toc417486258 \h </w:instrText>
          </w:r>
          <w:r>
            <w:rPr>
              <w:noProof/>
            </w:rPr>
          </w:r>
          <w:r>
            <w:rPr>
              <w:noProof/>
            </w:rPr>
            <w:fldChar w:fldCharType="separate"/>
          </w:r>
          <w:r>
            <w:rPr>
              <w:noProof/>
            </w:rPr>
            <w:t>70</w:t>
          </w:r>
          <w:r>
            <w:rPr>
              <w:noProof/>
            </w:rPr>
            <w:fldChar w:fldCharType="end"/>
          </w:r>
        </w:p>
        <w:p w:rsidR="004C5B8C" w:rsidRDefault="004C5B8C">
          <w:pPr>
            <w:pStyle w:val="TM3"/>
            <w:tabs>
              <w:tab w:val="right" w:leader="dot" w:pos="8630"/>
            </w:tabs>
            <w:rPr>
              <w:rFonts w:eastAsiaTheme="minorEastAsia" w:cstheme="minorBidi"/>
              <w:noProof/>
              <w:sz w:val="22"/>
              <w:szCs w:val="22"/>
              <w:lang w:eastAsia="fr-CA"/>
            </w:rPr>
          </w:pPr>
          <w:r>
            <w:rPr>
              <w:noProof/>
            </w:rPr>
            <w:t>7.3 Les matrices de gestion de portefeuille</w:t>
          </w:r>
          <w:r>
            <w:rPr>
              <w:noProof/>
            </w:rPr>
            <w:tab/>
          </w:r>
          <w:r>
            <w:rPr>
              <w:noProof/>
            </w:rPr>
            <w:fldChar w:fldCharType="begin"/>
          </w:r>
          <w:r>
            <w:rPr>
              <w:noProof/>
            </w:rPr>
            <w:instrText xml:space="preserve"> PAGEREF _Toc417486259 \h </w:instrText>
          </w:r>
          <w:r>
            <w:rPr>
              <w:noProof/>
            </w:rPr>
          </w:r>
          <w:r>
            <w:rPr>
              <w:noProof/>
            </w:rPr>
            <w:fldChar w:fldCharType="separate"/>
          </w:r>
          <w:r>
            <w:rPr>
              <w:noProof/>
            </w:rPr>
            <w:t>71</w:t>
          </w:r>
          <w:r>
            <w:rPr>
              <w:noProof/>
            </w:rPr>
            <w:fldChar w:fldCharType="end"/>
          </w:r>
        </w:p>
        <w:p w:rsidR="004C5B8C" w:rsidRDefault="004C5B8C">
          <w:pPr>
            <w:pStyle w:val="TM4"/>
            <w:tabs>
              <w:tab w:val="right" w:leader="dot" w:pos="8630"/>
            </w:tabs>
            <w:rPr>
              <w:rFonts w:eastAsiaTheme="minorEastAsia" w:cstheme="minorBidi"/>
              <w:noProof/>
              <w:sz w:val="22"/>
              <w:szCs w:val="22"/>
              <w:lang w:eastAsia="fr-CA"/>
            </w:rPr>
          </w:pPr>
          <w:r>
            <w:rPr>
              <w:noProof/>
            </w:rPr>
            <w:t>7.3.1 Matrice BCG</w:t>
          </w:r>
          <w:r>
            <w:rPr>
              <w:noProof/>
            </w:rPr>
            <w:tab/>
          </w:r>
          <w:r>
            <w:rPr>
              <w:noProof/>
            </w:rPr>
            <w:fldChar w:fldCharType="begin"/>
          </w:r>
          <w:r>
            <w:rPr>
              <w:noProof/>
            </w:rPr>
            <w:instrText xml:space="preserve"> PAGEREF _Toc417486260 \h </w:instrText>
          </w:r>
          <w:r>
            <w:rPr>
              <w:noProof/>
            </w:rPr>
          </w:r>
          <w:r>
            <w:rPr>
              <w:noProof/>
            </w:rPr>
            <w:fldChar w:fldCharType="separate"/>
          </w:r>
          <w:r>
            <w:rPr>
              <w:noProof/>
            </w:rPr>
            <w:t>71</w:t>
          </w:r>
          <w:r>
            <w:rPr>
              <w:noProof/>
            </w:rPr>
            <w:fldChar w:fldCharType="end"/>
          </w:r>
        </w:p>
        <w:p w:rsidR="004C5B8C" w:rsidRDefault="004C5B8C">
          <w:pPr>
            <w:pStyle w:val="TM4"/>
            <w:tabs>
              <w:tab w:val="right" w:leader="dot" w:pos="8630"/>
            </w:tabs>
            <w:rPr>
              <w:rFonts w:eastAsiaTheme="minorEastAsia" w:cstheme="minorBidi"/>
              <w:noProof/>
              <w:sz w:val="22"/>
              <w:szCs w:val="22"/>
              <w:lang w:eastAsia="fr-CA"/>
            </w:rPr>
          </w:pPr>
          <w:r>
            <w:rPr>
              <w:noProof/>
            </w:rPr>
            <w:t>7.3.2 Matrice attraits/atouts (McKinsey) :</w:t>
          </w:r>
          <w:r>
            <w:rPr>
              <w:noProof/>
            </w:rPr>
            <w:tab/>
          </w:r>
          <w:r>
            <w:rPr>
              <w:noProof/>
            </w:rPr>
            <w:fldChar w:fldCharType="begin"/>
          </w:r>
          <w:r>
            <w:rPr>
              <w:noProof/>
            </w:rPr>
            <w:instrText xml:space="preserve"> PAGEREF _Toc417486261 \h </w:instrText>
          </w:r>
          <w:r>
            <w:rPr>
              <w:noProof/>
            </w:rPr>
          </w:r>
          <w:r>
            <w:rPr>
              <w:noProof/>
            </w:rPr>
            <w:fldChar w:fldCharType="separate"/>
          </w:r>
          <w:r>
            <w:rPr>
              <w:noProof/>
            </w:rPr>
            <w:t>73</w:t>
          </w:r>
          <w:r>
            <w:rPr>
              <w:noProof/>
            </w:rPr>
            <w:fldChar w:fldCharType="end"/>
          </w:r>
        </w:p>
        <w:p w:rsidR="004C5B8C" w:rsidRDefault="004C5B8C">
          <w:pPr>
            <w:pStyle w:val="TM2"/>
            <w:tabs>
              <w:tab w:val="right" w:leader="dot" w:pos="8630"/>
            </w:tabs>
            <w:rPr>
              <w:rFonts w:eastAsiaTheme="minorEastAsia" w:cstheme="minorBidi"/>
              <w:b w:val="0"/>
              <w:bCs w:val="0"/>
              <w:noProof/>
              <w:sz w:val="22"/>
              <w:szCs w:val="22"/>
              <w:lang w:eastAsia="fr-CA"/>
            </w:rPr>
          </w:pPr>
          <w:r>
            <w:rPr>
              <w:noProof/>
            </w:rPr>
            <w:t>8. Les stratégies internationales</w:t>
          </w:r>
          <w:r>
            <w:rPr>
              <w:noProof/>
            </w:rPr>
            <w:tab/>
          </w:r>
          <w:r>
            <w:rPr>
              <w:noProof/>
            </w:rPr>
            <w:fldChar w:fldCharType="begin"/>
          </w:r>
          <w:r>
            <w:rPr>
              <w:noProof/>
            </w:rPr>
            <w:instrText xml:space="preserve"> PAGEREF _Toc417486262 \h </w:instrText>
          </w:r>
          <w:r>
            <w:rPr>
              <w:noProof/>
            </w:rPr>
          </w:r>
          <w:r>
            <w:rPr>
              <w:noProof/>
            </w:rPr>
            <w:fldChar w:fldCharType="separate"/>
          </w:r>
          <w:r>
            <w:rPr>
              <w:noProof/>
            </w:rPr>
            <w:t>75</w:t>
          </w:r>
          <w:r>
            <w:rPr>
              <w:noProof/>
            </w:rPr>
            <w:fldChar w:fldCharType="end"/>
          </w:r>
        </w:p>
        <w:p w:rsidR="004C5B8C" w:rsidRDefault="004C5B8C">
          <w:pPr>
            <w:pStyle w:val="TM3"/>
            <w:tabs>
              <w:tab w:val="right" w:leader="dot" w:pos="8630"/>
            </w:tabs>
            <w:rPr>
              <w:rFonts w:eastAsiaTheme="minorEastAsia" w:cstheme="minorBidi"/>
              <w:noProof/>
              <w:sz w:val="22"/>
              <w:szCs w:val="22"/>
              <w:lang w:eastAsia="fr-CA"/>
            </w:rPr>
          </w:pPr>
          <w:r>
            <w:rPr>
              <w:noProof/>
            </w:rPr>
            <w:t>8.1 L’internationalisation de l’UQTR</w:t>
          </w:r>
          <w:r>
            <w:rPr>
              <w:noProof/>
            </w:rPr>
            <w:tab/>
          </w:r>
          <w:r>
            <w:rPr>
              <w:noProof/>
            </w:rPr>
            <w:fldChar w:fldCharType="begin"/>
          </w:r>
          <w:r>
            <w:rPr>
              <w:noProof/>
            </w:rPr>
            <w:instrText xml:space="preserve"> PAGEREF _Toc417486263 \h </w:instrText>
          </w:r>
          <w:r>
            <w:rPr>
              <w:noProof/>
            </w:rPr>
          </w:r>
          <w:r>
            <w:rPr>
              <w:noProof/>
            </w:rPr>
            <w:fldChar w:fldCharType="separate"/>
          </w:r>
          <w:r>
            <w:rPr>
              <w:noProof/>
            </w:rPr>
            <w:t>75</w:t>
          </w:r>
          <w:r>
            <w:rPr>
              <w:noProof/>
            </w:rPr>
            <w:fldChar w:fldCharType="end"/>
          </w:r>
        </w:p>
        <w:p w:rsidR="004C5B8C" w:rsidRDefault="004C5B8C">
          <w:pPr>
            <w:pStyle w:val="TM2"/>
            <w:tabs>
              <w:tab w:val="right" w:leader="dot" w:pos="8630"/>
            </w:tabs>
            <w:rPr>
              <w:rFonts w:eastAsiaTheme="minorEastAsia" w:cstheme="minorBidi"/>
              <w:b w:val="0"/>
              <w:bCs w:val="0"/>
              <w:noProof/>
              <w:sz w:val="22"/>
              <w:szCs w:val="22"/>
              <w:lang w:eastAsia="fr-CA"/>
            </w:rPr>
          </w:pPr>
          <w:r>
            <w:rPr>
              <w:noProof/>
            </w:rPr>
            <w:t>9. L’innovation et l’entrepreneuriat</w:t>
          </w:r>
          <w:r>
            <w:rPr>
              <w:noProof/>
            </w:rPr>
            <w:tab/>
          </w:r>
          <w:r>
            <w:rPr>
              <w:noProof/>
            </w:rPr>
            <w:fldChar w:fldCharType="begin"/>
          </w:r>
          <w:r>
            <w:rPr>
              <w:noProof/>
            </w:rPr>
            <w:instrText xml:space="preserve"> PAGEREF _Toc417486264 \h </w:instrText>
          </w:r>
          <w:r>
            <w:rPr>
              <w:noProof/>
            </w:rPr>
          </w:r>
          <w:r>
            <w:rPr>
              <w:noProof/>
            </w:rPr>
            <w:fldChar w:fldCharType="separate"/>
          </w:r>
          <w:r>
            <w:rPr>
              <w:noProof/>
            </w:rPr>
            <w:t>77</w:t>
          </w:r>
          <w:r>
            <w:rPr>
              <w:noProof/>
            </w:rPr>
            <w:fldChar w:fldCharType="end"/>
          </w:r>
        </w:p>
        <w:p w:rsidR="004C5B8C" w:rsidRDefault="004C5B8C">
          <w:pPr>
            <w:pStyle w:val="TM3"/>
            <w:tabs>
              <w:tab w:val="right" w:leader="dot" w:pos="8630"/>
            </w:tabs>
            <w:rPr>
              <w:rFonts w:eastAsiaTheme="minorEastAsia" w:cstheme="minorBidi"/>
              <w:noProof/>
              <w:sz w:val="22"/>
              <w:szCs w:val="22"/>
              <w:lang w:eastAsia="fr-CA"/>
            </w:rPr>
          </w:pPr>
          <w:r>
            <w:rPr>
              <w:noProof/>
            </w:rPr>
            <w:t>9.1 Innovation ouverte</w:t>
          </w:r>
          <w:r>
            <w:rPr>
              <w:noProof/>
            </w:rPr>
            <w:tab/>
          </w:r>
          <w:r>
            <w:rPr>
              <w:noProof/>
            </w:rPr>
            <w:fldChar w:fldCharType="begin"/>
          </w:r>
          <w:r>
            <w:rPr>
              <w:noProof/>
            </w:rPr>
            <w:instrText xml:space="preserve"> PAGEREF _Toc417486265 \h </w:instrText>
          </w:r>
          <w:r>
            <w:rPr>
              <w:noProof/>
            </w:rPr>
          </w:r>
          <w:r>
            <w:rPr>
              <w:noProof/>
            </w:rPr>
            <w:fldChar w:fldCharType="separate"/>
          </w:r>
          <w:r>
            <w:rPr>
              <w:noProof/>
            </w:rPr>
            <w:t>77</w:t>
          </w:r>
          <w:r>
            <w:rPr>
              <w:noProof/>
            </w:rPr>
            <w:fldChar w:fldCharType="end"/>
          </w:r>
        </w:p>
        <w:p w:rsidR="004C5B8C" w:rsidRDefault="004C5B8C">
          <w:pPr>
            <w:pStyle w:val="TM3"/>
            <w:tabs>
              <w:tab w:val="right" w:leader="dot" w:pos="8630"/>
            </w:tabs>
            <w:rPr>
              <w:rFonts w:eastAsiaTheme="minorEastAsia" w:cstheme="minorBidi"/>
              <w:noProof/>
              <w:sz w:val="22"/>
              <w:szCs w:val="22"/>
              <w:lang w:eastAsia="fr-CA"/>
            </w:rPr>
          </w:pPr>
          <w:r>
            <w:rPr>
              <w:noProof/>
            </w:rPr>
            <w:t>9.2 Écosystème d’affaires</w:t>
          </w:r>
          <w:r>
            <w:rPr>
              <w:noProof/>
            </w:rPr>
            <w:tab/>
          </w:r>
          <w:r>
            <w:rPr>
              <w:noProof/>
            </w:rPr>
            <w:fldChar w:fldCharType="begin"/>
          </w:r>
          <w:r>
            <w:rPr>
              <w:noProof/>
            </w:rPr>
            <w:instrText xml:space="preserve"> PAGEREF _Toc417486266 \h </w:instrText>
          </w:r>
          <w:r>
            <w:rPr>
              <w:noProof/>
            </w:rPr>
          </w:r>
          <w:r>
            <w:rPr>
              <w:noProof/>
            </w:rPr>
            <w:fldChar w:fldCharType="separate"/>
          </w:r>
          <w:r>
            <w:rPr>
              <w:noProof/>
            </w:rPr>
            <w:t>78</w:t>
          </w:r>
          <w:r>
            <w:rPr>
              <w:noProof/>
            </w:rPr>
            <w:fldChar w:fldCharType="end"/>
          </w:r>
        </w:p>
        <w:p w:rsidR="004C5B8C" w:rsidRDefault="004C5B8C">
          <w:pPr>
            <w:pStyle w:val="TM2"/>
            <w:tabs>
              <w:tab w:val="right" w:leader="dot" w:pos="8630"/>
            </w:tabs>
            <w:rPr>
              <w:rFonts w:eastAsiaTheme="minorEastAsia" w:cstheme="minorBidi"/>
              <w:b w:val="0"/>
              <w:bCs w:val="0"/>
              <w:noProof/>
              <w:sz w:val="22"/>
              <w:szCs w:val="22"/>
              <w:lang w:eastAsia="fr-CA"/>
            </w:rPr>
          </w:pPr>
          <w:r>
            <w:rPr>
              <w:noProof/>
            </w:rPr>
            <w:t>10. Fusions et acquisitions, alliances et partenariats</w:t>
          </w:r>
          <w:r>
            <w:rPr>
              <w:noProof/>
            </w:rPr>
            <w:tab/>
          </w:r>
          <w:r>
            <w:rPr>
              <w:noProof/>
            </w:rPr>
            <w:fldChar w:fldCharType="begin"/>
          </w:r>
          <w:r>
            <w:rPr>
              <w:noProof/>
            </w:rPr>
            <w:instrText xml:space="preserve"> PAGEREF _Toc417486267 \h </w:instrText>
          </w:r>
          <w:r>
            <w:rPr>
              <w:noProof/>
            </w:rPr>
          </w:r>
          <w:r>
            <w:rPr>
              <w:noProof/>
            </w:rPr>
            <w:fldChar w:fldCharType="separate"/>
          </w:r>
          <w:r>
            <w:rPr>
              <w:noProof/>
            </w:rPr>
            <w:t>79</w:t>
          </w:r>
          <w:r>
            <w:rPr>
              <w:noProof/>
            </w:rPr>
            <w:fldChar w:fldCharType="end"/>
          </w:r>
        </w:p>
        <w:p w:rsidR="004C5B8C" w:rsidRDefault="004C5B8C">
          <w:pPr>
            <w:pStyle w:val="TM3"/>
            <w:tabs>
              <w:tab w:val="right" w:leader="dot" w:pos="8630"/>
            </w:tabs>
            <w:rPr>
              <w:rFonts w:eastAsiaTheme="minorEastAsia" w:cstheme="minorBidi"/>
              <w:noProof/>
              <w:sz w:val="22"/>
              <w:szCs w:val="22"/>
              <w:lang w:eastAsia="fr-CA"/>
            </w:rPr>
          </w:pPr>
          <w:r>
            <w:rPr>
              <w:noProof/>
            </w:rPr>
            <w:t>10.1 Acquisitions</w:t>
          </w:r>
          <w:r>
            <w:rPr>
              <w:noProof/>
            </w:rPr>
            <w:tab/>
          </w:r>
          <w:r>
            <w:rPr>
              <w:noProof/>
            </w:rPr>
            <w:fldChar w:fldCharType="begin"/>
          </w:r>
          <w:r>
            <w:rPr>
              <w:noProof/>
            </w:rPr>
            <w:instrText xml:space="preserve"> PAGEREF _Toc417486268 \h </w:instrText>
          </w:r>
          <w:r>
            <w:rPr>
              <w:noProof/>
            </w:rPr>
          </w:r>
          <w:r>
            <w:rPr>
              <w:noProof/>
            </w:rPr>
            <w:fldChar w:fldCharType="separate"/>
          </w:r>
          <w:r>
            <w:rPr>
              <w:noProof/>
            </w:rPr>
            <w:t>79</w:t>
          </w:r>
          <w:r>
            <w:rPr>
              <w:noProof/>
            </w:rPr>
            <w:fldChar w:fldCharType="end"/>
          </w:r>
        </w:p>
        <w:p w:rsidR="004C5B8C" w:rsidRDefault="004C5B8C">
          <w:pPr>
            <w:pStyle w:val="TM3"/>
            <w:tabs>
              <w:tab w:val="right" w:leader="dot" w:pos="8630"/>
            </w:tabs>
            <w:rPr>
              <w:rFonts w:eastAsiaTheme="minorEastAsia" w:cstheme="minorBidi"/>
              <w:noProof/>
              <w:sz w:val="22"/>
              <w:szCs w:val="22"/>
              <w:lang w:eastAsia="fr-CA"/>
            </w:rPr>
          </w:pPr>
          <w:r>
            <w:rPr>
              <w:noProof/>
            </w:rPr>
            <w:t>10.2 Partenariats</w:t>
          </w:r>
          <w:r>
            <w:rPr>
              <w:noProof/>
            </w:rPr>
            <w:tab/>
          </w:r>
          <w:r>
            <w:rPr>
              <w:noProof/>
            </w:rPr>
            <w:fldChar w:fldCharType="begin"/>
          </w:r>
          <w:r>
            <w:rPr>
              <w:noProof/>
            </w:rPr>
            <w:instrText xml:space="preserve"> PAGEREF _Toc417486269 \h </w:instrText>
          </w:r>
          <w:r>
            <w:rPr>
              <w:noProof/>
            </w:rPr>
          </w:r>
          <w:r>
            <w:rPr>
              <w:noProof/>
            </w:rPr>
            <w:fldChar w:fldCharType="separate"/>
          </w:r>
          <w:r>
            <w:rPr>
              <w:noProof/>
            </w:rPr>
            <w:t>79</w:t>
          </w:r>
          <w:r>
            <w:rPr>
              <w:noProof/>
            </w:rPr>
            <w:fldChar w:fldCharType="end"/>
          </w:r>
        </w:p>
        <w:p w:rsidR="004C5B8C" w:rsidRDefault="004C5B8C">
          <w:pPr>
            <w:pStyle w:val="TM3"/>
            <w:tabs>
              <w:tab w:val="right" w:leader="dot" w:pos="8630"/>
            </w:tabs>
            <w:rPr>
              <w:rFonts w:eastAsiaTheme="minorEastAsia" w:cstheme="minorBidi"/>
              <w:noProof/>
              <w:sz w:val="22"/>
              <w:szCs w:val="22"/>
              <w:lang w:eastAsia="fr-CA"/>
            </w:rPr>
          </w:pPr>
          <w:r>
            <w:rPr>
              <w:noProof/>
            </w:rPr>
            <w:t>10.3 Alliances</w:t>
          </w:r>
          <w:r>
            <w:rPr>
              <w:noProof/>
            </w:rPr>
            <w:tab/>
          </w:r>
          <w:r>
            <w:rPr>
              <w:noProof/>
            </w:rPr>
            <w:fldChar w:fldCharType="begin"/>
          </w:r>
          <w:r>
            <w:rPr>
              <w:noProof/>
            </w:rPr>
            <w:instrText xml:space="preserve"> PAGEREF _Toc417486270 \h </w:instrText>
          </w:r>
          <w:r>
            <w:rPr>
              <w:noProof/>
            </w:rPr>
          </w:r>
          <w:r>
            <w:rPr>
              <w:noProof/>
            </w:rPr>
            <w:fldChar w:fldCharType="separate"/>
          </w:r>
          <w:r>
            <w:rPr>
              <w:noProof/>
            </w:rPr>
            <w:t>81</w:t>
          </w:r>
          <w:r>
            <w:rPr>
              <w:noProof/>
            </w:rPr>
            <w:fldChar w:fldCharType="end"/>
          </w:r>
        </w:p>
        <w:p w:rsidR="004C5B8C" w:rsidRDefault="004C5B8C">
          <w:pPr>
            <w:pStyle w:val="TM1"/>
            <w:tabs>
              <w:tab w:val="right" w:leader="dot" w:pos="8630"/>
            </w:tabs>
            <w:rPr>
              <w:rFonts w:asciiTheme="minorHAnsi" w:eastAsiaTheme="minorEastAsia" w:hAnsiTheme="minorHAnsi" w:cstheme="minorBidi"/>
              <w:b w:val="0"/>
              <w:bCs w:val="0"/>
              <w:caps w:val="0"/>
              <w:noProof/>
              <w:sz w:val="22"/>
              <w:szCs w:val="22"/>
              <w:lang w:eastAsia="fr-CA"/>
            </w:rPr>
          </w:pPr>
          <w:r>
            <w:rPr>
              <w:noProof/>
            </w:rPr>
            <w:t>RECOMMANDATIONS</w:t>
          </w:r>
          <w:r>
            <w:rPr>
              <w:noProof/>
            </w:rPr>
            <w:tab/>
          </w:r>
          <w:r>
            <w:rPr>
              <w:noProof/>
            </w:rPr>
            <w:fldChar w:fldCharType="begin"/>
          </w:r>
          <w:r>
            <w:rPr>
              <w:noProof/>
            </w:rPr>
            <w:instrText xml:space="preserve"> PAGEREF _Toc417486271 \h </w:instrText>
          </w:r>
          <w:r>
            <w:rPr>
              <w:noProof/>
            </w:rPr>
          </w:r>
          <w:r>
            <w:rPr>
              <w:noProof/>
            </w:rPr>
            <w:fldChar w:fldCharType="separate"/>
          </w:r>
          <w:r>
            <w:rPr>
              <w:noProof/>
            </w:rPr>
            <w:t>82</w:t>
          </w:r>
          <w:r>
            <w:rPr>
              <w:noProof/>
            </w:rPr>
            <w:fldChar w:fldCharType="end"/>
          </w:r>
        </w:p>
        <w:p w:rsidR="004C5B8C" w:rsidRDefault="004C5B8C">
          <w:pPr>
            <w:pStyle w:val="TM1"/>
            <w:tabs>
              <w:tab w:val="right" w:leader="dot" w:pos="8630"/>
            </w:tabs>
            <w:rPr>
              <w:rFonts w:asciiTheme="minorHAnsi" w:eastAsiaTheme="minorEastAsia" w:hAnsiTheme="minorHAnsi" w:cstheme="minorBidi"/>
              <w:b w:val="0"/>
              <w:bCs w:val="0"/>
              <w:caps w:val="0"/>
              <w:noProof/>
              <w:sz w:val="22"/>
              <w:szCs w:val="22"/>
              <w:lang w:eastAsia="fr-CA"/>
            </w:rPr>
          </w:pPr>
          <w:r>
            <w:rPr>
              <w:noProof/>
            </w:rPr>
            <w:t>CONCLUSION</w:t>
          </w:r>
          <w:r>
            <w:rPr>
              <w:noProof/>
            </w:rPr>
            <w:tab/>
          </w:r>
          <w:r>
            <w:rPr>
              <w:noProof/>
            </w:rPr>
            <w:fldChar w:fldCharType="begin"/>
          </w:r>
          <w:r>
            <w:rPr>
              <w:noProof/>
            </w:rPr>
            <w:instrText xml:space="preserve"> PAGEREF _Toc417486272 \h </w:instrText>
          </w:r>
          <w:r>
            <w:rPr>
              <w:noProof/>
            </w:rPr>
          </w:r>
          <w:r>
            <w:rPr>
              <w:noProof/>
            </w:rPr>
            <w:fldChar w:fldCharType="separate"/>
          </w:r>
          <w:r>
            <w:rPr>
              <w:noProof/>
            </w:rPr>
            <w:t>88</w:t>
          </w:r>
          <w:r>
            <w:rPr>
              <w:noProof/>
            </w:rPr>
            <w:fldChar w:fldCharType="end"/>
          </w:r>
        </w:p>
        <w:p w:rsidR="004C5B8C" w:rsidRDefault="004C5B8C">
          <w:pPr>
            <w:pStyle w:val="TM1"/>
            <w:tabs>
              <w:tab w:val="right" w:leader="dot" w:pos="8630"/>
            </w:tabs>
            <w:rPr>
              <w:rFonts w:asciiTheme="minorHAnsi" w:eastAsiaTheme="minorEastAsia" w:hAnsiTheme="minorHAnsi" w:cstheme="minorBidi"/>
              <w:b w:val="0"/>
              <w:bCs w:val="0"/>
              <w:caps w:val="0"/>
              <w:noProof/>
              <w:sz w:val="22"/>
              <w:szCs w:val="22"/>
              <w:lang w:eastAsia="fr-CA"/>
            </w:rPr>
          </w:pPr>
          <w:r>
            <w:rPr>
              <w:noProof/>
            </w:rPr>
            <w:t>BIBLIOGRAPHIE</w:t>
          </w:r>
          <w:r>
            <w:rPr>
              <w:noProof/>
            </w:rPr>
            <w:tab/>
          </w:r>
          <w:r>
            <w:rPr>
              <w:noProof/>
            </w:rPr>
            <w:fldChar w:fldCharType="begin"/>
          </w:r>
          <w:r>
            <w:rPr>
              <w:noProof/>
            </w:rPr>
            <w:instrText xml:space="preserve"> PAGEREF _Toc417486273 \h </w:instrText>
          </w:r>
          <w:r>
            <w:rPr>
              <w:noProof/>
            </w:rPr>
          </w:r>
          <w:r>
            <w:rPr>
              <w:noProof/>
            </w:rPr>
            <w:fldChar w:fldCharType="separate"/>
          </w:r>
          <w:r>
            <w:rPr>
              <w:noProof/>
            </w:rPr>
            <w:t>89</w:t>
          </w:r>
          <w:r>
            <w:rPr>
              <w:noProof/>
            </w:rPr>
            <w:fldChar w:fldCharType="end"/>
          </w:r>
        </w:p>
        <w:p w:rsidR="004C5B8C" w:rsidRDefault="004C5B8C">
          <w:pPr>
            <w:pStyle w:val="TM1"/>
            <w:tabs>
              <w:tab w:val="right" w:leader="dot" w:pos="8630"/>
            </w:tabs>
            <w:rPr>
              <w:rFonts w:asciiTheme="minorHAnsi" w:eastAsiaTheme="minorEastAsia" w:hAnsiTheme="minorHAnsi" w:cstheme="minorBidi"/>
              <w:b w:val="0"/>
              <w:bCs w:val="0"/>
              <w:caps w:val="0"/>
              <w:noProof/>
              <w:sz w:val="22"/>
              <w:szCs w:val="22"/>
              <w:lang w:eastAsia="fr-CA"/>
            </w:rPr>
          </w:pPr>
          <w:r>
            <w:rPr>
              <w:noProof/>
            </w:rPr>
            <w:t>ANNEXE A</w:t>
          </w:r>
          <w:r>
            <w:rPr>
              <w:noProof/>
            </w:rPr>
            <w:tab/>
          </w:r>
          <w:r>
            <w:rPr>
              <w:noProof/>
            </w:rPr>
            <w:fldChar w:fldCharType="begin"/>
          </w:r>
          <w:r>
            <w:rPr>
              <w:noProof/>
            </w:rPr>
            <w:instrText xml:space="preserve"> PAGEREF _Toc417486274 \h </w:instrText>
          </w:r>
          <w:r>
            <w:rPr>
              <w:noProof/>
            </w:rPr>
          </w:r>
          <w:r>
            <w:rPr>
              <w:noProof/>
            </w:rPr>
            <w:fldChar w:fldCharType="separate"/>
          </w:r>
          <w:r>
            <w:rPr>
              <w:noProof/>
            </w:rPr>
            <w:t>94</w:t>
          </w:r>
          <w:r>
            <w:rPr>
              <w:noProof/>
            </w:rPr>
            <w:fldChar w:fldCharType="end"/>
          </w:r>
        </w:p>
        <w:p w:rsidR="004C5B8C" w:rsidRDefault="004C5B8C">
          <w:pPr>
            <w:pStyle w:val="TM1"/>
            <w:tabs>
              <w:tab w:val="right" w:leader="dot" w:pos="8630"/>
            </w:tabs>
            <w:rPr>
              <w:rFonts w:asciiTheme="minorHAnsi" w:eastAsiaTheme="minorEastAsia" w:hAnsiTheme="minorHAnsi" w:cstheme="minorBidi"/>
              <w:b w:val="0"/>
              <w:bCs w:val="0"/>
              <w:caps w:val="0"/>
              <w:noProof/>
              <w:sz w:val="22"/>
              <w:szCs w:val="22"/>
              <w:lang w:eastAsia="fr-CA"/>
            </w:rPr>
          </w:pPr>
          <w:r>
            <w:rPr>
              <w:noProof/>
            </w:rPr>
            <w:t>ANNEXE B- Données économiques sur la Mauricie</w:t>
          </w:r>
          <w:r>
            <w:rPr>
              <w:noProof/>
            </w:rPr>
            <w:tab/>
          </w:r>
          <w:r>
            <w:rPr>
              <w:noProof/>
            </w:rPr>
            <w:fldChar w:fldCharType="begin"/>
          </w:r>
          <w:r>
            <w:rPr>
              <w:noProof/>
            </w:rPr>
            <w:instrText xml:space="preserve"> PAGEREF _Toc417486275 \h </w:instrText>
          </w:r>
          <w:r>
            <w:rPr>
              <w:noProof/>
            </w:rPr>
          </w:r>
          <w:r>
            <w:rPr>
              <w:noProof/>
            </w:rPr>
            <w:fldChar w:fldCharType="separate"/>
          </w:r>
          <w:r>
            <w:rPr>
              <w:noProof/>
            </w:rPr>
            <w:t>95</w:t>
          </w:r>
          <w:r>
            <w:rPr>
              <w:noProof/>
            </w:rPr>
            <w:fldChar w:fldCharType="end"/>
          </w:r>
        </w:p>
        <w:p w:rsidR="004C5B8C" w:rsidRDefault="004C5B8C">
          <w:pPr>
            <w:pStyle w:val="TM1"/>
            <w:tabs>
              <w:tab w:val="right" w:leader="dot" w:pos="8630"/>
            </w:tabs>
            <w:rPr>
              <w:rFonts w:asciiTheme="minorHAnsi" w:eastAsiaTheme="minorEastAsia" w:hAnsiTheme="minorHAnsi" w:cstheme="minorBidi"/>
              <w:b w:val="0"/>
              <w:bCs w:val="0"/>
              <w:caps w:val="0"/>
              <w:noProof/>
              <w:sz w:val="22"/>
              <w:szCs w:val="22"/>
              <w:lang w:eastAsia="fr-CA"/>
            </w:rPr>
          </w:pPr>
          <w:r>
            <w:rPr>
              <w:noProof/>
            </w:rPr>
            <w:t>ANNEXE C – Graphique Océan Bleu</w:t>
          </w:r>
          <w:r>
            <w:rPr>
              <w:noProof/>
            </w:rPr>
            <w:tab/>
          </w:r>
          <w:r>
            <w:rPr>
              <w:noProof/>
            </w:rPr>
            <w:fldChar w:fldCharType="begin"/>
          </w:r>
          <w:r>
            <w:rPr>
              <w:noProof/>
            </w:rPr>
            <w:instrText xml:space="preserve"> PAGEREF _Toc417486276 \h </w:instrText>
          </w:r>
          <w:r>
            <w:rPr>
              <w:noProof/>
            </w:rPr>
          </w:r>
          <w:r>
            <w:rPr>
              <w:noProof/>
            </w:rPr>
            <w:fldChar w:fldCharType="separate"/>
          </w:r>
          <w:r>
            <w:rPr>
              <w:noProof/>
            </w:rPr>
            <w:t>97</w:t>
          </w:r>
          <w:r>
            <w:rPr>
              <w:noProof/>
            </w:rPr>
            <w:fldChar w:fldCharType="end"/>
          </w:r>
        </w:p>
        <w:p w:rsidR="004C5B8C" w:rsidRDefault="004C5B8C">
          <w:pPr>
            <w:pStyle w:val="TM1"/>
            <w:tabs>
              <w:tab w:val="right" w:leader="dot" w:pos="8630"/>
            </w:tabs>
            <w:rPr>
              <w:rFonts w:asciiTheme="minorHAnsi" w:eastAsiaTheme="minorEastAsia" w:hAnsiTheme="minorHAnsi" w:cstheme="minorBidi"/>
              <w:b w:val="0"/>
              <w:bCs w:val="0"/>
              <w:caps w:val="0"/>
              <w:noProof/>
              <w:sz w:val="22"/>
              <w:szCs w:val="22"/>
              <w:lang w:eastAsia="fr-CA"/>
            </w:rPr>
          </w:pPr>
          <w:r>
            <w:rPr>
              <w:noProof/>
            </w:rPr>
            <w:t>ANNEXE D - Sondage</w:t>
          </w:r>
          <w:r>
            <w:rPr>
              <w:noProof/>
            </w:rPr>
            <w:tab/>
          </w:r>
          <w:r>
            <w:rPr>
              <w:noProof/>
            </w:rPr>
            <w:fldChar w:fldCharType="begin"/>
          </w:r>
          <w:r>
            <w:rPr>
              <w:noProof/>
            </w:rPr>
            <w:instrText xml:space="preserve"> PAGEREF _Toc417486277 \h </w:instrText>
          </w:r>
          <w:r>
            <w:rPr>
              <w:noProof/>
            </w:rPr>
          </w:r>
          <w:r>
            <w:rPr>
              <w:noProof/>
            </w:rPr>
            <w:fldChar w:fldCharType="separate"/>
          </w:r>
          <w:r>
            <w:rPr>
              <w:noProof/>
            </w:rPr>
            <w:t>98</w:t>
          </w:r>
          <w:r>
            <w:rPr>
              <w:noProof/>
            </w:rPr>
            <w:fldChar w:fldCharType="end"/>
          </w:r>
        </w:p>
        <w:p w:rsidR="004C5B8C" w:rsidRDefault="004C5B8C">
          <w:pPr>
            <w:pStyle w:val="TM1"/>
            <w:tabs>
              <w:tab w:val="right" w:leader="dot" w:pos="8630"/>
            </w:tabs>
            <w:rPr>
              <w:rFonts w:asciiTheme="minorHAnsi" w:eastAsiaTheme="minorEastAsia" w:hAnsiTheme="minorHAnsi" w:cstheme="minorBidi"/>
              <w:b w:val="0"/>
              <w:bCs w:val="0"/>
              <w:caps w:val="0"/>
              <w:noProof/>
              <w:sz w:val="22"/>
              <w:szCs w:val="22"/>
              <w:lang w:eastAsia="fr-CA"/>
            </w:rPr>
          </w:pPr>
          <w:r>
            <w:rPr>
              <w:noProof/>
            </w:rPr>
            <w:t>ANNEXE E - Organigramme</w:t>
          </w:r>
          <w:r>
            <w:rPr>
              <w:noProof/>
            </w:rPr>
            <w:tab/>
          </w:r>
          <w:r>
            <w:rPr>
              <w:noProof/>
            </w:rPr>
            <w:fldChar w:fldCharType="begin"/>
          </w:r>
          <w:r>
            <w:rPr>
              <w:noProof/>
            </w:rPr>
            <w:instrText xml:space="preserve"> PAGEREF _Toc417486278 \h </w:instrText>
          </w:r>
          <w:r>
            <w:rPr>
              <w:noProof/>
            </w:rPr>
          </w:r>
          <w:r>
            <w:rPr>
              <w:noProof/>
            </w:rPr>
            <w:fldChar w:fldCharType="separate"/>
          </w:r>
          <w:r>
            <w:rPr>
              <w:noProof/>
            </w:rPr>
            <w:t>115</w:t>
          </w:r>
          <w:r>
            <w:rPr>
              <w:noProof/>
            </w:rPr>
            <w:fldChar w:fldCharType="end"/>
          </w:r>
        </w:p>
        <w:p w:rsidR="004C5B8C" w:rsidRDefault="004C5B8C">
          <w:pPr>
            <w:pStyle w:val="TM1"/>
            <w:tabs>
              <w:tab w:val="right" w:leader="dot" w:pos="8630"/>
            </w:tabs>
            <w:rPr>
              <w:rFonts w:asciiTheme="minorHAnsi" w:eastAsiaTheme="minorEastAsia" w:hAnsiTheme="minorHAnsi" w:cstheme="minorBidi"/>
              <w:b w:val="0"/>
              <w:bCs w:val="0"/>
              <w:caps w:val="0"/>
              <w:noProof/>
              <w:sz w:val="22"/>
              <w:szCs w:val="22"/>
              <w:lang w:eastAsia="fr-CA"/>
            </w:rPr>
          </w:pPr>
          <w:r>
            <w:rPr>
              <w:noProof/>
            </w:rPr>
            <w:t>ANNEXE F</w:t>
          </w:r>
          <w:r>
            <w:rPr>
              <w:noProof/>
              <w:lang w:eastAsia="fr-CA"/>
            </w:rPr>
            <w:t xml:space="preserve"> – Prévision de l’effectif étudiant universitaire</w:t>
          </w:r>
          <w:r>
            <w:rPr>
              <w:noProof/>
            </w:rPr>
            <w:tab/>
          </w:r>
          <w:r>
            <w:rPr>
              <w:noProof/>
            </w:rPr>
            <w:fldChar w:fldCharType="begin"/>
          </w:r>
          <w:r>
            <w:rPr>
              <w:noProof/>
            </w:rPr>
            <w:instrText xml:space="preserve"> PAGEREF _Toc417486279 \h </w:instrText>
          </w:r>
          <w:r>
            <w:rPr>
              <w:noProof/>
            </w:rPr>
          </w:r>
          <w:r>
            <w:rPr>
              <w:noProof/>
            </w:rPr>
            <w:fldChar w:fldCharType="separate"/>
          </w:r>
          <w:r>
            <w:rPr>
              <w:noProof/>
            </w:rPr>
            <w:t>116</w:t>
          </w:r>
          <w:r>
            <w:rPr>
              <w:noProof/>
            </w:rPr>
            <w:fldChar w:fldCharType="end"/>
          </w:r>
        </w:p>
        <w:p w:rsidR="004C5B8C" w:rsidRDefault="004C5B8C">
          <w:pPr>
            <w:pStyle w:val="TM1"/>
            <w:tabs>
              <w:tab w:val="right" w:leader="dot" w:pos="8630"/>
            </w:tabs>
            <w:rPr>
              <w:rFonts w:asciiTheme="minorHAnsi" w:eastAsiaTheme="minorEastAsia" w:hAnsiTheme="minorHAnsi" w:cstheme="minorBidi"/>
              <w:b w:val="0"/>
              <w:bCs w:val="0"/>
              <w:caps w:val="0"/>
              <w:noProof/>
              <w:sz w:val="22"/>
              <w:szCs w:val="22"/>
              <w:lang w:eastAsia="fr-CA"/>
            </w:rPr>
          </w:pPr>
          <w:r>
            <w:rPr>
              <w:noProof/>
            </w:rPr>
            <w:t>ANNEXE G – Liste des partenariats (SDI)</w:t>
          </w:r>
          <w:r>
            <w:rPr>
              <w:noProof/>
            </w:rPr>
            <w:tab/>
          </w:r>
          <w:r>
            <w:rPr>
              <w:noProof/>
            </w:rPr>
            <w:fldChar w:fldCharType="begin"/>
          </w:r>
          <w:r>
            <w:rPr>
              <w:noProof/>
            </w:rPr>
            <w:instrText xml:space="preserve"> PAGEREF _Toc417486280 \h </w:instrText>
          </w:r>
          <w:r>
            <w:rPr>
              <w:noProof/>
            </w:rPr>
          </w:r>
          <w:r>
            <w:rPr>
              <w:noProof/>
            </w:rPr>
            <w:fldChar w:fldCharType="separate"/>
          </w:r>
          <w:r>
            <w:rPr>
              <w:noProof/>
            </w:rPr>
            <w:t>117</w:t>
          </w:r>
          <w:r>
            <w:rPr>
              <w:noProof/>
            </w:rPr>
            <w:fldChar w:fldCharType="end"/>
          </w:r>
        </w:p>
        <w:p w:rsidR="000D0609" w:rsidRPr="00441F0A" w:rsidRDefault="00B05C0A" w:rsidP="000D0609">
          <w:pPr>
            <w:rPr>
              <w:rFonts w:ascii="Times New Roman" w:hAnsi="Times New Roman" w:cs="Times New Roman"/>
              <w:sz w:val="24"/>
              <w:szCs w:val="24"/>
              <w:lang w:val="fr-FR"/>
            </w:rPr>
          </w:pPr>
          <w:r>
            <w:rPr>
              <w:rFonts w:ascii="Times New Roman" w:hAnsi="Times New Roman" w:cs="Times New Roman"/>
              <w:b/>
              <w:bCs/>
              <w:caps/>
              <w:sz w:val="24"/>
              <w:szCs w:val="24"/>
              <w:lang w:val="fr-FR"/>
            </w:rPr>
            <w:fldChar w:fldCharType="end"/>
          </w:r>
        </w:p>
      </w:sdtContent>
    </w:sdt>
    <w:p w:rsidR="00D93DEA" w:rsidRDefault="00D93DEA">
      <w:pPr>
        <w:rPr>
          <w:rFonts w:ascii="Times New Roman" w:hAnsi="Times New Roman" w:cs="Times New Roman"/>
          <w:sz w:val="24"/>
          <w:szCs w:val="24"/>
        </w:rPr>
        <w:sectPr w:rsidR="00D93DEA" w:rsidSect="004D1F0D">
          <w:pgSz w:w="12240" w:h="15840"/>
          <w:pgMar w:top="1440" w:right="1800" w:bottom="1440" w:left="1800" w:header="708" w:footer="708" w:gutter="0"/>
          <w:pgNumType w:fmt="lowerRoman"/>
          <w:cols w:space="708"/>
          <w:titlePg/>
          <w:docGrid w:linePitch="360"/>
        </w:sectPr>
      </w:pPr>
    </w:p>
    <w:p w:rsidR="000D0609" w:rsidRPr="00A802FC" w:rsidRDefault="00A9103C" w:rsidP="007A7A51">
      <w:pPr>
        <w:pStyle w:val="Titre1"/>
      </w:pPr>
      <w:bookmarkStart w:id="0" w:name="_Toc417486214"/>
      <w:r w:rsidRPr="00A802FC">
        <w:lastRenderedPageBreak/>
        <w:t>INTRODUCTION</w:t>
      </w:r>
      <w:bookmarkEnd w:id="0"/>
    </w:p>
    <w:p w:rsidR="00CC6767" w:rsidRPr="00441F0A" w:rsidRDefault="00CC6767" w:rsidP="00CC6767">
      <w:pPr>
        <w:rPr>
          <w:rFonts w:ascii="Times New Roman" w:hAnsi="Times New Roman" w:cs="Times New Roman"/>
          <w:sz w:val="24"/>
          <w:szCs w:val="24"/>
        </w:rPr>
      </w:pPr>
    </w:p>
    <w:p w:rsidR="00BB6046" w:rsidRDefault="00DA6813" w:rsidP="00BB604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L’importance d’une bonne gestion stratégique pour une organisation est primordiale. En effet, celle-ci permet de diriger ses orientat</w:t>
      </w:r>
      <w:r w:rsidR="00ED327A">
        <w:rPr>
          <w:rFonts w:ascii="Times New Roman" w:hAnsi="Times New Roman" w:cs="Times New Roman"/>
          <w:sz w:val="24"/>
          <w:szCs w:val="24"/>
        </w:rPr>
        <w:t>ions à long terme à savoir quels</w:t>
      </w:r>
      <w:r>
        <w:rPr>
          <w:rFonts w:ascii="Times New Roman" w:hAnsi="Times New Roman" w:cs="Times New Roman"/>
          <w:sz w:val="24"/>
          <w:szCs w:val="24"/>
        </w:rPr>
        <w:t xml:space="preserve"> </w:t>
      </w:r>
      <w:r w:rsidR="00ED327A">
        <w:rPr>
          <w:rFonts w:ascii="Times New Roman" w:hAnsi="Times New Roman" w:cs="Times New Roman"/>
          <w:sz w:val="24"/>
          <w:szCs w:val="24"/>
        </w:rPr>
        <w:t>devraient</w:t>
      </w:r>
      <w:r>
        <w:rPr>
          <w:rFonts w:ascii="Times New Roman" w:hAnsi="Times New Roman" w:cs="Times New Roman"/>
          <w:sz w:val="24"/>
          <w:szCs w:val="24"/>
        </w:rPr>
        <w:t xml:space="preserve"> être les buts et les objectifs à se fixer ou la voie à emprunter pour obtenir un avantage concurrentiel. La planification stratégique aura pour but d’étendre et de défendre l’activité principale de l’</w:t>
      </w:r>
      <w:r w:rsidR="00ED327A">
        <w:rPr>
          <w:rFonts w:ascii="Times New Roman" w:hAnsi="Times New Roman" w:cs="Times New Roman"/>
          <w:sz w:val="24"/>
          <w:szCs w:val="24"/>
        </w:rPr>
        <w:t>entreprise,</w:t>
      </w:r>
      <w:r>
        <w:rPr>
          <w:rFonts w:ascii="Times New Roman" w:hAnsi="Times New Roman" w:cs="Times New Roman"/>
          <w:sz w:val="24"/>
          <w:szCs w:val="24"/>
        </w:rPr>
        <w:t xml:space="preserve"> de construire des activités émergentes ainsi que de créer des options </w:t>
      </w:r>
      <w:r w:rsidR="00ED327A">
        <w:rPr>
          <w:rFonts w:ascii="Times New Roman" w:hAnsi="Times New Roman" w:cs="Times New Roman"/>
          <w:sz w:val="24"/>
          <w:szCs w:val="24"/>
        </w:rPr>
        <w:t>viables</w:t>
      </w:r>
      <w:r>
        <w:rPr>
          <w:rFonts w:ascii="Times New Roman" w:hAnsi="Times New Roman" w:cs="Times New Roman"/>
          <w:sz w:val="24"/>
          <w:szCs w:val="24"/>
        </w:rPr>
        <w:t xml:space="preserve"> (</w:t>
      </w:r>
      <w:proofErr w:type="spellStart"/>
      <w:r>
        <w:rPr>
          <w:rFonts w:ascii="Times New Roman" w:hAnsi="Times New Roman" w:cs="Times New Roman"/>
          <w:sz w:val="24"/>
          <w:szCs w:val="24"/>
        </w:rPr>
        <w:t>Jonhson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Whittington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Scholes</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Fréry</w:t>
      </w:r>
      <w:proofErr w:type="spellEnd"/>
      <w:r>
        <w:rPr>
          <w:rFonts w:ascii="Times New Roman" w:hAnsi="Times New Roman" w:cs="Times New Roman"/>
          <w:sz w:val="24"/>
          <w:szCs w:val="24"/>
        </w:rPr>
        <w:t xml:space="preserve">, 2011). </w:t>
      </w:r>
      <w:r w:rsidRPr="004D11FD">
        <w:rPr>
          <w:rFonts w:ascii="Times New Roman" w:hAnsi="Times New Roman" w:cs="Times New Roman"/>
          <w:sz w:val="24"/>
          <w:szCs w:val="24"/>
        </w:rPr>
        <w:t xml:space="preserve">Dans ce présent rapport, il sera question d’élaborer un rapport stratégique sur l’Université du Québec à Trois-Rivières. Étant un établissement offrant un service de distribution du savoir par la formation supérieure et la recherche, le plan stratégique </w:t>
      </w:r>
      <w:r w:rsidR="00ED327A">
        <w:rPr>
          <w:rFonts w:ascii="Times New Roman" w:hAnsi="Times New Roman" w:cs="Times New Roman"/>
          <w:sz w:val="24"/>
          <w:szCs w:val="24"/>
        </w:rPr>
        <w:t>fut</w:t>
      </w:r>
      <w:r w:rsidRPr="004D11FD">
        <w:rPr>
          <w:rFonts w:ascii="Times New Roman" w:hAnsi="Times New Roman" w:cs="Times New Roman"/>
          <w:sz w:val="24"/>
          <w:szCs w:val="24"/>
        </w:rPr>
        <w:t xml:space="preserve"> un peu plus complexe à élaborer. Nous avons donc cru bon de pousser davantage notre recherche afin d’apporter une profondeur à celle-ci. Dans la première partie de ce travail, un </w:t>
      </w:r>
      <w:r w:rsidR="00ED327A">
        <w:rPr>
          <w:rFonts w:ascii="Times New Roman" w:hAnsi="Times New Roman" w:cs="Times New Roman"/>
          <w:sz w:val="24"/>
          <w:szCs w:val="24"/>
        </w:rPr>
        <w:t>diagnostic</w:t>
      </w:r>
      <w:r w:rsidRPr="004D11FD">
        <w:rPr>
          <w:rFonts w:ascii="Times New Roman" w:hAnsi="Times New Roman" w:cs="Times New Roman"/>
          <w:sz w:val="24"/>
          <w:szCs w:val="24"/>
        </w:rPr>
        <w:t xml:space="preserve"> stratégique sera présenté afin d’analyser le contexte interne et externe de l’institution</w:t>
      </w:r>
      <w:r>
        <w:rPr>
          <w:rFonts w:ascii="Times New Roman" w:hAnsi="Times New Roman" w:cs="Times New Roman"/>
          <w:sz w:val="24"/>
          <w:szCs w:val="24"/>
        </w:rPr>
        <w:t>. Ceci aura pour</w:t>
      </w:r>
      <w:r w:rsidRPr="004D11FD">
        <w:rPr>
          <w:rFonts w:ascii="Times New Roman" w:hAnsi="Times New Roman" w:cs="Times New Roman"/>
          <w:sz w:val="24"/>
          <w:szCs w:val="24"/>
        </w:rPr>
        <w:t xml:space="preserve"> but de démontrer les forces, les faiblesses, les opportunités ainsi que les menaces de celle-ci. Ensuite, il sera question de mettre de l’avant les choix stratégiques implantés par l’UQTR. Finalement, nous propos</w:t>
      </w:r>
      <w:r>
        <w:rPr>
          <w:rFonts w:ascii="Times New Roman" w:hAnsi="Times New Roman" w:cs="Times New Roman"/>
          <w:sz w:val="24"/>
          <w:szCs w:val="24"/>
        </w:rPr>
        <w:t>er</w:t>
      </w:r>
      <w:r w:rsidRPr="004D11FD">
        <w:rPr>
          <w:rFonts w:ascii="Times New Roman" w:hAnsi="Times New Roman" w:cs="Times New Roman"/>
          <w:sz w:val="24"/>
          <w:szCs w:val="24"/>
        </w:rPr>
        <w:t xml:space="preserve">ons quelques recommandations à l’université afin d’améliorer </w:t>
      </w:r>
      <w:r>
        <w:rPr>
          <w:rFonts w:ascii="Times New Roman" w:hAnsi="Times New Roman" w:cs="Times New Roman"/>
          <w:sz w:val="24"/>
          <w:szCs w:val="24"/>
        </w:rPr>
        <w:t>s</w:t>
      </w:r>
      <w:r w:rsidRPr="004D11FD">
        <w:rPr>
          <w:rFonts w:ascii="Times New Roman" w:hAnsi="Times New Roman" w:cs="Times New Roman"/>
          <w:sz w:val="24"/>
          <w:szCs w:val="24"/>
        </w:rPr>
        <w:t>a gestion stratégique.</w:t>
      </w:r>
    </w:p>
    <w:p w:rsidR="00DA6813" w:rsidRDefault="00DA6813">
      <w:pPr>
        <w:rPr>
          <w:rFonts w:ascii="Times New Roman" w:hAnsi="Times New Roman" w:cs="Times New Roman"/>
          <w:sz w:val="24"/>
          <w:szCs w:val="24"/>
        </w:rPr>
      </w:pPr>
      <w:r>
        <w:rPr>
          <w:rFonts w:ascii="Times New Roman" w:hAnsi="Times New Roman" w:cs="Times New Roman"/>
          <w:sz w:val="24"/>
          <w:szCs w:val="24"/>
        </w:rPr>
        <w:br w:type="page"/>
      </w:r>
    </w:p>
    <w:p w:rsidR="00DA6813" w:rsidRDefault="00EE58D6" w:rsidP="00D053DF">
      <w:pPr>
        <w:pStyle w:val="Titre3"/>
      </w:pPr>
      <w:bookmarkStart w:id="1" w:name="_Toc417486215"/>
      <w:r>
        <w:lastRenderedPageBreak/>
        <w:t xml:space="preserve">1.1 </w:t>
      </w:r>
      <w:r w:rsidR="00DA6813">
        <w:t>Historique</w:t>
      </w:r>
      <w:bookmarkEnd w:id="1"/>
      <w:r w:rsidR="00DA6813">
        <w:t xml:space="preserve">              </w:t>
      </w:r>
    </w:p>
    <w:p w:rsidR="00DA6813" w:rsidRDefault="00DA6813" w:rsidP="00A802FC">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Inaugurée le 19 mars 1969, l’Université du Québec à Trois-Rivières est un membre du réseau universitaire du Québec. Ce réseau d’universités est créé à la fin des années 60 dans le but de faciliter l’accès à l’éducation supérieure au Québec à travers diverses universités francophones dispersées un peu partout sur le territoire. Ce n’est qu’en 1973 que le premier pavillon fut construit spécialement pour les besoins de  l’UQTR, puisqu’au tout départ les cours étaient enseignés à l’intérieur de locaux appartenant au Séminaire Saint-Antoine. Suite à la construction de ce premier bâtiment central, nommé le pavillon Ringuet, plusieurs autres pavillons furent érigés sur le campus d’une superficie de 59 hectares. </w:t>
      </w:r>
    </w:p>
    <w:p w:rsidR="00DA6813" w:rsidRDefault="00DA6813" w:rsidP="00DA6813">
      <w:pPr>
        <w:pStyle w:val="Notedebasdepage"/>
        <w:spacing w:line="360" w:lineRule="auto"/>
        <w:jc w:val="both"/>
        <w:rPr>
          <w:rFonts w:cs="Times New Roman"/>
          <w:color w:val="FF0000"/>
          <w:sz w:val="24"/>
        </w:rPr>
      </w:pPr>
      <w:r>
        <w:rPr>
          <w:rFonts w:cs="Times New Roman"/>
          <w:sz w:val="24"/>
        </w:rPr>
        <w:t xml:space="preserve">           Aujourd’hui, l’université compte plus d’une quinzaine de bâtiments et il est </w:t>
      </w:r>
      <w:r w:rsidRPr="003617B0">
        <w:rPr>
          <w:rFonts w:cs="Times New Roman"/>
          <w:sz w:val="24"/>
        </w:rPr>
        <w:t>fréquenté par plus de 13 400 étudiants annuellement. Parmi ce nombre, plusieurs étudiants sont de provenance variée, ce qui apporte une richesse culturelle à l’institution.</w:t>
      </w:r>
      <w:r w:rsidRPr="00805505">
        <w:rPr>
          <w:rFonts w:cs="Times New Roman"/>
          <w:color w:val="FF0000"/>
          <w:sz w:val="24"/>
        </w:rPr>
        <w:t xml:space="preserve">  </w:t>
      </w:r>
    </w:p>
    <w:p w:rsidR="00DA6813" w:rsidRPr="000F235D" w:rsidRDefault="00DA6813" w:rsidP="00DA6813">
      <w:pPr>
        <w:autoSpaceDE w:val="0"/>
        <w:autoSpaceDN w:val="0"/>
        <w:adjustRightInd w:val="0"/>
        <w:spacing w:after="0" w:line="360" w:lineRule="auto"/>
        <w:jc w:val="both"/>
        <w:rPr>
          <w:rFonts w:ascii="Times New Roman" w:hAnsi="Times New Roman" w:cs="Times New Roman"/>
          <w:i/>
          <w:sz w:val="24"/>
        </w:rPr>
      </w:pPr>
      <w:r w:rsidRPr="00786146">
        <w:rPr>
          <w:rFonts w:ascii="Times New Roman" w:hAnsi="Times New Roman" w:cs="Times New Roman"/>
          <w:sz w:val="24"/>
        </w:rPr>
        <w:t xml:space="preserve">En effet, chaque année plus de 1500 étudiants internationaux (dont 760 résidents permanents et 743 ayant </w:t>
      </w:r>
      <w:r w:rsidRPr="000F235D">
        <w:rPr>
          <w:rFonts w:ascii="Times New Roman" w:hAnsi="Times New Roman" w:cs="Times New Roman"/>
          <w:sz w:val="24"/>
        </w:rPr>
        <w:t>un visa) provenant d’</w:t>
      </w:r>
      <w:r w:rsidR="00ED327A">
        <w:rPr>
          <w:rFonts w:ascii="Times New Roman" w:hAnsi="Times New Roman" w:cs="Times New Roman"/>
          <w:sz w:val="24"/>
        </w:rPr>
        <w:t>environ</w:t>
      </w:r>
      <w:r w:rsidRPr="000F235D">
        <w:rPr>
          <w:rFonts w:ascii="Times New Roman" w:hAnsi="Times New Roman" w:cs="Times New Roman"/>
          <w:sz w:val="24"/>
        </w:rPr>
        <w:t xml:space="preserve"> cinquante pays choisissent l’UQTR comme lieu d’apprentissage.</w:t>
      </w:r>
      <w:r w:rsidRPr="000F235D">
        <w:rPr>
          <w:rStyle w:val="Appelnotedebasdep"/>
          <w:rFonts w:ascii="Times New Roman" w:hAnsi="Times New Roman" w:cs="Times New Roman"/>
          <w:sz w:val="24"/>
        </w:rPr>
        <w:t xml:space="preserve"> </w:t>
      </w:r>
      <w:r w:rsidRPr="000F235D">
        <w:rPr>
          <w:rStyle w:val="Appelnotedebasdep"/>
          <w:rFonts w:ascii="Times New Roman" w:hAnsi="Times New Roman" w:cs="Times New Roman"/>
          <w:sz w:val="24"/>
        </w:rPr>
        <w:footnoteReference w:id="1"/>
      </w:r>
      <w:r w:rsidRPr="000F235D">
        <w:rPr>
          <w:rFonts w:ascii="Times New Roman" w:hAnsi="Times New Roman" w:cs="Times New Roman"/>
          <w:sz w:val="24"/>
        </w:rPr>
        <w:t xml:space="preserve">  </w:t>
      </w:r>
      <w:r w:rsidRPr="000F235D">
        <w:rPr>
          <w:rFonts w:ascii="Times New Roman" w:hAnsi="Times New Roman" w:cs="Times New Roman"/>
          <w:sz w:val="24"/>
          <w:szCs w:val="24"/>
        </w:rPr>
        <w:t>L’institution offre notamment un programme d’immersion francophone (EIF)</w:t>
      </w:r>
      <w:r w:rsidRPr="000F235D">
        <w:rPr>
          <w:rStyle w:val="lev"/>
          <w:rFonts w:ascii="Times New Roman" w:hAnsi="Times New Roman" w:cs="Times New Roman"/>
          <w:sz w:val="24"/>
          <w:szCs w:val="24"/>
        </w:rPr>
        <w:t xml:space="preserve"> </w:t>
      </w:r>
      <w:r w:rsidRPr="000F235D">
        <w:rPr>
          <w:rStyle w:val="lev"/>
          <w:rFonts w:ascii="Times New Roman" w:hAnsi="Times New Roman" w:cs="Times New Roman"/>
          <w:b w:val="0"/>
          <w:sz w:val="24"/>
          <w:szCs w:val="24"/>
        </w:rPr>
        <w:t>depuis 1974</w:t>
      </w:r>
      <w:r w:rsidRPr="000F235D">
        <w:rPr>
          <w:rStyle w:val="lev"/>
          <w:rFonts w:ascii="Times New Roman" w:hAnsi="Times New Roman" w:cs="Times New Roman"/>
          <w:sz w:val="24"/>
          <w:szCs w:val="24"/>
        </w:rPr>
        <w:t xml:space="preserve"> </w:t>
      </w:r>
      <w:r w:rsidRPr="000F235D">
        <w:rPr>
          <w:rFonts w:ascii="Times New Roman" w:hAnsi="Times New Roman" w:cs="Times New Roman"/>
          <w:sz w:val="24"/>
          <w:szCs w:val="24"/>
        </w:rPr>
        <w:t xml:space="preserve">dont près de </w:t>
      </w:r>
      <w:r w:rsidRPr="000F235D">
        <w:rPr>
          <w:rStyle w:val="lev"/>
          <w:rFonts w:ascii="Times New Roman" w:hAnsi="Times New Roman" w:cs="Times New Roman"/>
          <w:b w:val="0"/>
          <w:sz w:val="24"/>
          <w:szCs w:val="24"/>
        </w:rPr>
        <w:t xml:space="preserve">790 étudiants étrangers participent </w:t>
      </w:r>
      <w:r w:rsidR="00ED327A">
        <w:rPr>
          <w:rStyle w:val="lev"/>
          <w:rFonts w:ascii="Times New Roman" w:hAnsi="Times New Roman" w:cs="Times New Roman"/>
          <w:b w:val="0"/>
          <w:sz w:val="24"/>
          <w:szCs w:val="24"/>
        </w:rPr>
        <w:t>chaque</w:t>
      </w:r>
      <w:r w:rsidRPr="000F235D">
        <w:rPr>
          <w:rStyle w:val="lev"/>
          <w:rFonts w:ascii="Times New Roman" w:hAnsi="Times New Roman" w:cs="Times New Roman"/>
          <w:b w:val="0"/>
          <w:sz w:val="24"/>
          <w:szCs w:val="24"/>
        </w:rPr>
        <w:t xml:space="preserve"> année. </w:t>
      </w:r>
      <w:r w:rsidRPr="000F235D">
        <w:rPr>
          <w:rStyle w:val="Appelnotedebasdep"/>
          <w:rFonts w:ascii="Times New Roman" w:hAnsi="Times New Roman" w:cs="Times New Roman"/>
          <w:bCs/>
          <w:sz w:val="24"/>
          <w:szCs w:val="24"/>
        </w:rPr>
        <w:footnoteReference w:id="2"/>
      </w:r>
      <w:r w:rsidRPr="000F235D">
        <w:rPr>
          <w:rFonts w:ascii="Times New Roman" w:hAnsi="Times New Roman" w:cs="Times New Roman"/>
          <w:sz w:val="24"/>
          <w:szCs w:val="20"/>
          <w:highlight w:val="yellow"/>
        </w:rPr>
        <w:t xml:space="preserve"> </w:t>
      </w:r>
    </w:p>
    <w:p w:rsidR="00DA6813" w:rsidRPr="007C17EF" w:rsidRDefault="00DA6813" w:rsidP="00DA6813">
      <w:pPr>
        <w:pStyle w:val="Notedebasdepage"/>
        <w:spacing w:line="360" w:lineRule="auto"/>
        <w:jc w:val="both"/>
        <w:rPr>
          <w:rFonts w:cs="Times New Roman"/>
          <w:sz w:val="24"/>
        </w:rPr>
      </w:pPr>
      <w:r w:rsidRPr="000F235D">
        <w:rPr>
          <w:rFonts w:cs="Times New Roman"/>
          <w:sz w:val="24"/>
        </w:rPr>
        <w:t xml:space="preserve">         D’une autre part, avec son projet de colisée permettant d’accueillir entre autres son équipe de hockey les patriotes, l’université voit grand pour son avenir. De plus, le 7 octobre 2014 fût donné le </w:t>
      </w:r>
      <w:r w:rsidR="00ED327A">
        <w:rPr>
          <w:rFonts w:cs="Times New Roman"/>
          <w:sz w:val="24"/>
        </w:rPr>
        <w:t>coup</w:t>
      </w:r>
      <w:r w:rsidRPr="000F235D">
        <w:rPr>
          <w:rFonts w:cs="Times New Roman"/>
          <w:sz w:val="24"/>
        </w:rPr>
        <w:t xml:space="preserve"> d’envoi</w:t>
      </w:r>
      <w:r>
        <w:rPr>
          <w:rFonts w:cs="Times New Roman"/>
          <w:sz w:val="24"/>
        </w:rPr>
        <w:t xml:space="preserve"> des travaux de construction d’un tout nouveau pavillon situé à Drummondville mis à part ses huit autres centres universitaires hors campus.</w:t>
      </w:r>
      <w:r>
        <w:rPr>
          <w:rStyle w:val="Appelnotedebasdep"/>
          <w:rFonts w:cs="Times New Roman"/>
          <w:sz w:val="24"/>
        </w:rPr>
        <w:footnoteReference w:id="3"/>
      </w:r>
      <w:r>
        <w:rPr>
          <w:rFonts w:cs="Times New Roman"/>
          <w:sz w:val="24"/>
        </w:rPr>
        <w:t xml:space="preserve"> Ce pavillon de trois étages pourra donc accueillir des étudiants de cinq programmes différents dans cette région du Centre-du-Québec qui connaît une grande </w:t>
      </w:r>
      <w:r>
        <w:rPr>
          <w:rFonts w:cs="Times New Roman"/>
          <w:sz w:val="24"/>
        </w:rPr>
        <w:lastRenderedPageBreak/>
        <w:t>croissance démographique.</w:t>
      </w:r>
      <w:r w:rsidRPr="00133105">
        <w:rPr>
          <w:rStyle w:val="Appelnotedebasdep"/>
          <w:rFonts w:cs="Times New Roman"/>
          <w:sz w:val="24"/>
        </w:rPr>
        <w:t xml:space="preserve"> </w:t>
      </w:r>
      <w:r>
        <w:rPr>
          <w:rStyle w:val="Appelnotedebasdep"/>
          <w:rFonts w:cs="Times New Roman"/>
          <w:sz w:val="24"/>
        </w:rPr>
        <w:footnoteReference w:id="4"/>
      </w:r>
      <w:r>
        <w:rPr>
          <w:rFonts w:cs="Times New Roman"/>
          <w:sz w:val="24"/>
        </w:rPr>
        <w:t xml:space="preserve"> De manière plus malheureuse, l’UQTR a aussi récemment fait les manchettes pour une enquête de l’Unité permanente anticorruption (UPAC), sans toutefois que des accusations  soient portées</w:t>
      </w:r>
      <w:r>
        <w:rPr>
          <w:rStyle w:val="Appelnotedebasdep"/>
          <w:rFonts w:cs="Times New Roman"/>
          <w:sz w:val="24"/>
        </w:rPr>
        <w:footnoteReference w:id="5"/>
      </w:r>
      <w:r>
        <w:rPr>
          <w:rFonts w:cs="Times New Roman"/>
          <w:sz w:val="24"/>
        </w:rPr>
        <w:t>. Malgré tout, l’Université du Québec à Trois-Rivières reste un lieu de première nécessité où jusqu’à ce jour plus de 64 000 diplômés ont pu profiter d’un enseignement de qualité à travers ses 204 programmes de formation.</w:t>
      </w:r>
      <w:r>
        <w:rPr>
          <w:rStyle w:val="Appelnotedebasdep"/>
          <w:rFonts w:cs="Times New Roman"/>
          <w:sz w:val="24"/>
        </w:rPr>
        <w:footnoteReference w:id="6"/>
      </w:r>
    </w:p>
    <w:p w:rsidR="00DA6813" w:rsidRDefault="00DA6813" w:rsidP="00DA6813">
      <w:pPr>
        <w:pStyle w:val="Notedebasdepage"/>
        <w:spacing w:line="360" w:lineRule="auto"/>
        <w:jc w:val="both"/>
        <w:rPr>
          <w:rFonts w:cs="Times New Roman"/>
          <w:i/>
          <w:sz w:val="24"/>
        </w:rPr>
      </w:pPr>
    </w:p>
    <w:p w:rsidR="00DA6813" w:rsidRDefault="00EE58D6" w:rsidP="00D053DF">
      <w:pPr>
        <w:pStyle w:val="Titre3"/>
      </w:pPr>
      <w:bookmarkStart w:id="2" w:name="_Toc417486216"/>
      <w:r>
        <w:t xml:space="preserve">1.2 </w:t>
      </w:r>
      <w:r w:rsidR="00DA6813">
        <w:t>Mission</w:t>
      </w:r>
      <w:bookmarkEnd w:id="2"/>
      <w:r w:rsidR="00DA6813">
        <w:t> </w:t>
      </w:r>
    </w:p>
    <w:p w:rsidR="00DA6813" w:rsidRPr="00333C82" w:rsidRDefault="00DA6813" w:rsidP="00A802FC">
      <w:pPr>
        <w:spacing w:line="360" w:lineRule="auto"/>
        <w:ind w:firstLine="708"/>
        <w:jc w:val="both"/>
        <w:rPr>
          <w:rFonts w:ascii="Times New Roman" w:hAnsi="Times New Roman" w:cs="Times New Roman"/>
          <w:sz w:val="24"/>
          <w:szCs w:val="24"/>
        </w:rPr>
      </w:pPr>
      <w:r w:rsidRPr="00CB4F6C">
        <w:rPr>
          <w:rFonts w:ascii="Times New Roman" w:hAnsi="Times New Roman" w:cs="Times New Roman"/>
          <w:sz w:val="24"/>
          <w:szCs w:val="24"/>
        </w:rPr>
        <w:t>La mission de l’UQTR</w:t>
      </w:r>
      <w:r>
        <w:rPr>
          <w:rFonts w:ascii="Times New Roman" w:hAnsi="Times New Roman" w:cs="Times New Roman"/>
          <w:sz w:val="24"/>
          <w:szCs w:val="24"/>
        </w:rPr>
        <w:t xml:space="preserve"> est « [d’</w:t>
      </w:r>
      <w:proofErr w:type="gramStart"/>
      <w:r>
        <w:rPr>
          <w:rFonts w:ascii="Times New Roman" w:hAnsi="Times New Roman" w:cs="Times New Roman"/>
          <w:sz w:val="24"/>
          <w:szCs w:val="24"/>
        </w:rPr>
        <w:t>]e</w:t>
      </w:r>
      <w:r w:rsidRPr="00333C82">
        <w:rPr>
          <w:rFonts w:ascii="Times New Roman" w:hAnsi="Times New Roman" w:cs="Times New Roman"/>
          <w:sz w:val="24"/>
          <w:szCs w:val="24"/>
        </w:rPr>
        <w:t>xceller</w:t>
      </w:r>
      <w:proofErr w:type="gramEnd"/>
      <w:r w:rsidRPr="00333C82">
        <w:rPr>
          <w:rFonts w:ascii="Times New Roman" w:hAnsi="Times New Roman" w:cs="Times New Roman"/>
          <w:sz w:val="24"/>
          <w:szCs w:val="24"/>
        </w:rPr>
        <w:t xml:space="preserve"> dans la production, le parta</w:t>
      </w:r>
      <w:r>
        <w:rPr>
          <w:rFonts w:ascii="Times New Roman" w:hAnsi="Times New Roman" w:cs="Times New Roman"/>
          <w:sz w:val="24"/>
          <w:szCs w:val="24"/>
        </w:rPr>
        <w:t>ge et la diffusion du savoir. »</w:t>
      </w:r>
      <w:r>
        <w:rPr>
          <w:rStyle w:val="Appelnotedebasdep"/>
          <w:rFonts w:ascii="Times New Roman" w:hAnsi="Times New Roman" w:cs="Times New Roman"/>
          <w:sz w:val="24"/>
          <w:szCs w:val="24"/>
        </w:rPr>
        <w:footnoteReference w:id="7"/>
      </w:r>
      <w:r>
        <w:rPr>
          <w:rFonts w:ascii="Times New Roman" w:hAnsi="Times New Roman" w:cs="Times New Roman"/>
          <w:sz w:val="24"/>
          <w:szCs w:val="24"/>
        </w:rPr>
        <w:t xml:space="preserve"> C</w:t>
      </w:r>
      <w:r w:rsidRPr="00333C82">
        <w:rPr>
          <w:rFonts w:ascii="Times New Roman" w:hAnsi="Times New Roman" w:cs="Times New Roman"/>
          <w:sz w:val="24"/>
          <w:szCs w:val="24"/>
        </w:rPr>
        <w:t>ette mission, bien que trop courte selon nous, définit néanmoins ce que pense l’UQTR face à sa place dans la communauté. Elle pense qu’elle doit simplement faire en sorte de produire du savoi</w:t>
      </w:r>
      <w:r>
        <w:rPr>
          <w:rFonts w:ascii="Times New Roman" w:hAnsi="Times New Roman" w:cs="Times New Roman"/>
          <w:sz w:val="24"/>
          <w:szCs w:val="24"/>
        </w:rPr>
        <w:t>r afin que ce dernier se transmette</w:t>
      </w:r>
      <w:r w:rsidRPr="00333C82">
        <w:rPr>
          <w:rFonts w:ascii="Times New Roman" w:hAnsi="Times New Roman" w:cs="Times New Roman"/>
          <w:sz w:val="24"/>
          <w:szCs w:val="24"/>
        </w:rPr>
        <w:t xml:space="preserve"> à travers la population. Nous pensons que la mission est en réalité beaucoup plus large. L’UQTR devrait adopter une mission qui rejoint </w:t>
      </w:r>
      <w:r>
        <w:rPr>
          <w:rFonts w:ascii="Times New Roman" w:hAnsi="Times New Roman" w:cs="Times New Roman"/>
          <w:sz w:val="24"/>
          <w:szCs w:val="24"/>
        </w:rPr>
        <w:t>davantage</w:t>
      </w:r>
      <w:r w:rsidRPr="00333C82">
        <w:rPr>
          <w:rFonts w:ascii="Times New Roman" w:hAnsi="Times New Roman" w:cs="Times New Roman"/>
          <w:sz w:val="24"/>
          <w:szCs w:val="24"/>
        </w:rPr>
        <w:t xml:space="preserve"> la communauté et non seulement l’élite de la société. En effet, elle se doit </w:t>
      </w:r>
      <w:r>
        <w:rPr>
          <w:rFonts w:ascii="Times New Roman" w:hAnsi="Times New Roman" w:cs="Times New Roman"/>
          <w:sz w:val="24"/>
          <w:szCs w:val="24"/>
        </w:rPr>
        <w:t>d’</w:t>
      </w:r>
      <w:r w:rsidRPr="00333C82">
        <w:rPr>
          <w:rFonts w:ascii="Times New Roman" w:hAnsi="Times New Roman" w:cs="Times New Roman"/>
          <w:sz w:val="24"/>
          <w:szCs w:val="24"/>
        </w:rPr>
        <w:t xml:space="preserve">être un acteur clé dans l’économie, d’encourager cette dernière à croître et participer activement à la vie  </w:t>
      </w:r>
      <w:r>
        <w:rPr>
          <w:rFonts w:ascii="Times New Roman" w:hAnsi="Times New Roman" w:cs="Times New Roman"/>
          <w:sz w:val="24"/>
          <w:szCs w:val="24"/>
        </w:rPr>
        <w:t>régionale. Par contre, elle répond bien à la question : « Quel est notre métier ? » (</w:t>
      </w:r>
      <w:proofErr w:type="spellStart"/>
      <w:r>
        <w:rPr>
          <w:rFonts w:ascii="Times New Roman" w:hAnsi="Times New Roman" w:cs="Times New Roman"/>
          <w:sz w:val="24"/>
          <w:szCs w:val="24"/>
        </w:rPr>
        <w:t>Jonhson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Whittington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Scholes</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Fréry</w:t>
      </w:r>
      <w:proofErr w:type="spellEnd"/>
      <w:r>
        <w:rPr>
          <w:rFonts w:ascii="Times New Roman" w:hAnsi="Times New Roman" w:cs="Times New Roman"/>
          <w:sz w:val="24"/>
          <w:szCs w:val="24"/>
        </w:rPr>
        <w:t>, 2011).</w:t>
      </w:r>
    </w:p>
    <w:p w:rsidR="00DA6813" w:rsidRPr="00333C82" w:rsidRDefault="00EE58D6" w:rsidP="00D053DF">
      <w:pPr>
        <w:pStyle w:val="Titre3"/>
      </w:pPr>
      <w:bookmarkStart w:id="3" w:name="_Toc417486217"/>
      <w:r>
        <w:t xml:space="preserve">1.3 </w:t>
      </w:r>
      <w:r w:rsidR="00DA6813" w:rsidRPr="00333C82">
        <w:t>Vision</w:t>
      </w:r>
      <w:bookmarkEnd w:id="3"/>
      <w:r w:rsidR="00DA6813" w:rsidRPr="00333C82">
        <w:t> </w:t>
      </w:r>
    </w:p>
    <w:p w:rsidR="00DA6813" w:rsidRDefault="00DA6813" w:rsidP="00A802FC">
      <w:pPr>
        <w:spacing w:line="360" w:lineRule="auto"/>
        <w:ind w:firstLine="708"/>
        <w:jc w:val="both"/>
        <w:rPr>
          <w:rFonts w:ascii="Times New Roman" w:hAnsi="Times New Roman" w:cs="Times New Roman"/>
          <w:sz w:val="24"/>
          <w:szCs w:val="24"/>
        </w:rPr>
      </w:pPr>
      <w:r w:rsidRPr="00333C82">
        <w:rPr>
          <w:rFonts w:ascii="Times New Roman" w:hAnsi="Times New Roman" w:cs="Times New Roman"/>
          <w:sz w:val="24"/>
          <w:szCs w:val="24"/>
        </w:rPr>
        <w:t>Il est important que la vision d’une organisation soit honnête et probable. Elle doit décrire ce qu’elle aspire à devenir, ce qu’elle souhaite réussir dans le futur. Celle-ci doit être une projection réaliste</w:t>
      </w:r>
      <w:r>
        <w:rPr>
          <w:rFonts w:ascii="Times New Roman" w:hAnsi="Times New Roman" w:cs="Times New Roman"/>
          <w:sz w:val="24"/>
          <w:szCs w:val="24"/>
        </w:rPr>
        <w:t xml:space="preserve"> qui peut motiver et mobiliser. Elle doit répondre à la question </w:t>
      </w:r>
      <w:r>
        <w:rPr>
          <w:rFonts w:ascii="Times New Roman" w:hAnsi="Times New Roman" w:cs="Times New Roman"/>
          <w:sz w:val="24"/>
          <w:szCs w:val="24"/>
        </w:rPr>
        <w:lastRenderedPageBreak/>
        <w:t>suivante : « Que voulons-nous réussir ? » (</w:t>
      </w:r>
      <w:proofErr w:type="spellStart"/>
      <w:r>
        <w:rPr>
          <w:rFonts w:ascii="Times New Roman" w:hAnsi="Times New Roman" w:cs="Times New Roman"/>
          <w:sz w:val="24"/>
          <w:szCs w:val="24"/>
        </w:rPr>
        <w:t>Jonhson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Whittington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Scholes</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Fréry</w:t>
      </w:r>
      <w:proofErr w:type="spellEnd"/>
      <w:r>
        <w:rPr>
          <w:rFonts w:ascii="Times New Roman" w:hAnsi="Times New Roman" w:cs="Times New Roman"/>
          <w:sz w:val="24"/>
          <w:szCs w:val="24"/>
        </w:rPr>
        <w:t>, 2011).</w:t>
      </w:r>
      <w:r w:rsidRPr="00333C82">
        <w:rPr>
          <w:rFonts w:ascii="Times New Roman" w:hAnsi="Times New Roman" w:cs="Times New Roman"/>
          <w:sz w:val="24"/>
          <w:szCs w:val="24"/>
        </w:rPr>
        <w:t xml:space="preserve"> Pour l’UQTR, la différenciation, l’innovation, la réussite et la qualification, l’appartenance ainsi que l’interaction sont les aspects</w:t>
      </w:r>
      <w:r w:rsidR="00ED327A">
        <w:rPr>
          <w:rFonts w:ascii="Times New Roman" w:hAnsi="Times New Roman" w:cs="Times New Roman"/>
          <w:sz w:val="24"/>
          <w:szCs w:val="24"/>
        </w:rPr>
        <w:t xml:space="preserve"> qui</w:t>
      </w:r>
      <w:r w:rsidRPr="00333C82">
        <w:rPr>
          <w:rFonts w:ascii="Times New Roman" w:hAnsi="Times New Roman" w:cs="Times New Roman"/>
          <w:sz w:val="24"/>
          <w:szCs w:val="24"/>
        </w:rPr>
        <w:t xml:space="preserve"> forment sa vision. En effet, elle désire mettre de l’avant son caractère distinctif dû à son excellence en enseignement et en rechercher. L’université affirme avoir un potentiel d’invention et de création, car elle contribue à l’augmentation du savoir tout en le mettant à profit de la société. De plus, elle donne  accès à une formation de qualité aux étudiants leur offrant une ouverture sur le marché du travail. L’UQTR souhaite créer un sentiment de fierté au sein de la communauté universitaire. Enfin, l’institution éprouve le désir de créer des liens étroits avec la collectivité </w:t>
      </w:r>
      <w:r w:rsidR="00ED327A">
        <w:rPr>
          <w:rFonts w:ascii="Times New Roman" w:hAnsi="Times New Roman" w:cs="Times New Roman"/>
          <w:sz w:val="24"/>
          <w:szCs w:val="24"/>
        </w:rPr>
        <w:t>régionale</w:t>
      </w:r>
      <w:r w:rsidRPr="00333C82">
        <w:rPr>
          <w:rFonts w:ascii="Times New Roman" w:hAnsi="Times New Roman" w:cs="Times New Roman"/>
          <w:sz w:val="24"/>
          <w:szCs w:val="24"/>
        </w:rPr>
        <w:t xml:space="preserve"> en s’entraidant mutuellement lors de la mise en place d’activités.</w:t>
      </w:r>
    </w:p>
    <w:p w:rsidR="00FE1559" w:rsidRPr="00333C82" w:rsidRDefault="00FE1559" w:rsidP="00A802FC">
      <w:pPr>
        <w:spacing w:line="360" w:lineRule="auto"/>
        <w:ind w:firstLine="708"/>
        <w:jc w:val="both"/>
        <w:rPr>
          <w:rFonts w:ascii="Times New Roman" w:hAnsi="Times New Roman" w:cs="Times New Roman"/>
          <w:sz w:val="24"/>
          <w:szCs w:val="24"/>
        </w:rPr>
      </w:pPr>
    </w:p>
    <w:p w:rsidR="00DA6813" w:rsidRPr="00333C82" w:rsidRDefault="00EE58D6" w:rsidP="00D053DF">
      <w:pPr>
        <w:pStyle w:val="Titre3"/>
      </w:pPr>
      <w:bookmarkStart w:id="4" w:name="_Toc417486218"/>
      <w:r>
        <w:t xml:space="preserve">1.4 </w:t>
      </w:r>
      <w:r w:rsidR="00DA6813" w:rsidRPr="00333C82">
        <w:t>Valeurs</w:t>
      </w:r>
      <w:bookmarkEnd w:id="4"/>
      <w:r w:rsidR="00DA6813" w:rsidRPr="00333C82">
        <w:t> </w:t>
      </w:r>
    </w:p>
    <w:p w:rsidR="00DA6813" w:rsidRDefault="00DA6813" w:rsidP="00A802FC">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Les valeurs fondamentales de l’UQTR sont présentées dans le Plan stratégique 2010-2013 de cette façon-ci : « </w:t>
      </w:r>
      <w:r w:rsidRPr="00333C82">
        <w:rPr>
          <w:rFonts w:ascii="Times New Roman" w:hAnsi="Times New Roman" w:cs="Times New Roman"/>
          <w:sz w:val="24"/>
          <w:szCs w:val="24"/>
        </w:rPr>
        <w:t>Dans la poursuite de son développement</w:t>
      </w:r>
      <w:r>
        <w:rPr>
          <w:rFonts w:ascii="Times New Roman" w:hAnsi="Times New Roman" w:cs="Times New Roman"/>
          <w:sz w:val="24"/>
          <w:szCs w:val="24"/>
        </w:rPr>
        <w:t xml:space="preserve"> </w:t>
      </w:r>
      <w:r w:rsidRPr="00333C82">
        <w:rPr>
          <w:rFonts w:ascii="Times New Roman" w:hAnsi="Times New Roman" w:cs="Times New Roman"/>
          <w:sz w:val="24"/>
          <w:szCs w:val="24"/>
        </w:rPr>
        <w:t>institutionnel, l’UQTR s’engage à promouvoir et</w:t>
      </w:r>
      <w:r>
        <w:rPr>
          <w:rFonts w:ascii="Times New Roman" w:hAnsi="Times New Roman" w:cs="Times New Roman"/>
          <w:sz w:val="24"/>
          <w:szCs w:val="24"/>
        </w:rPr>
        <w:t xml:space="preserve"> </w:t>
      </w:r>
      <w:r w:rsidRPr="00333C82">
        <w:rPr>
          <w:rFonts w:ascii="Times New Roman" w:hAnsi="Times New Roman" w:cs="Times New Roman"/>
          <w:sz w:val="24"/>
          <w:szCs w:val="24"/>
        </w:rPr>
        <w:t>à respecter des valeurs qui sont au fondement</w:t>
      </w:r>
      <w:r>
        <w:rPr>
          <w:rFonts w:ascii="Times New Roman" w:hAnsi="Times New Roman" w:cs="Times New Roman"/>
          <w:sz w:val="24"/>
          <w:szCs w:val="24"/>
        </w:rPr>
        <w:t xml:space="preserve"> </w:t>
      </w:r>
      <w:r w:rsidRPr="00333C82">
        <w:rPr>
          <w:rFonts w:ascii="Times New Roman" w:hAnsi="Times New Roman" w:cs="Times New Roman"/>
          <w:sz w:val="24"/>
          <w:szCs w:val="24"/>
        </w:rPr>
        <w:t>de son implication académique et sociale.</w:t>
      </w:r>
      <w:r>
        <w:rPr>
          <w:rFonts w:ascii="Times New Roman" w:hAnsi="Times New Roman" w:cs="Times New Roman"/>
          <w:sz w:val="24"/>
          <w:szCs w:val="24"/>
        </w:rPr>
        <w:t>»</w:t>
      </w:r>
    </w:p>
    <w:p w:rsidR="00FE1559" w:rsidRPr="00333C82" w:rsidRDefault="00FE1559" w:rsidP="00A802FC">
      <w:pPr>
        <w:autoSpaceDE w:val="0"/>
        <w:autoSpaceDN w:val="0"/>
        <w:adjustRightInd w:val="0"/>
        <w:spacing w:after="0" w:line="360" w:lineRule="auto"/>
        <w:ind w:firstLine="708"/>
        <w:jc w:val="both"/>
        <w:rPr>
          <w:rFonts w:ascii="Times New Roman" w:hAnsi="Times New Roman" w:cs="Times New Roman"/>
          <w:b/>
          <w:sz w:val="24"/>
          <w:szCs w:val="24"/>
        </w:rPr>
      </w:pPr>
    </w:p>
    <w:p w:rsidR="00DA6813" w:rsidRPr="00333C82" w:rsidRDefault="00EE58D6" w:rsidP="00D053DF">
      <w:pPr>
        <w:pStyle w:val="Titre3"/>
      </w:pPr>
      <w:bookmarkStart w:id="5" w:name="_Toc417486219"/>
      <w:r>
        <w:t xml:space="preserve">1.5 </w:t>
      </w:r>
      <w:r w:rsidR="00DA6813" w:rsidRPr="00333C82">
        <w:t>Objectifs</w:t>
      </w:r>
      <w:bookmarkEnd w:id="5"/>
      <w:r w:rsidR="00DA6813" w:rsidRPr="00333C82">
        <w:t> </w:t>
      </w:r>
    </w:p>
    <w:p w:rsidR="00DA6813" w:rsidRDefault="00DA6813" w:rsidP="00A802FC">
      <w:pPr>
        <w:autoSpaceDE w:val="0"/>
        <w:autoSpaceDN w:val="0"/>
        <w:adjustRightInd w:val="0"/>
        <w:spacing w:after="0" w:line="360" w:lineRule="auto"/>
        <w:ind w:firstLine="708"/>
        <w:jc w:val="both"/>
        <w:rPr>
          <w:rFonts w:ascii="Times New Roman" w:hAnsi="Times New Roman" w:cs="Times New Roman"/>
          <w:sz w:val="24"/>
          <w:szCs w:val="24"/>
        </w:rPr>
      </w:pPr>
      <w:r w:rsidRPr="00333C82">
        <w:rPr>
          <w:rFonts w:ascii="Times New Roman" w:hAnsi="Times New Roman" w:cs="Times New Roman"/>
          <w:sz w:val="24"/>
          <w:szCs w:val="24"/>
        </w:rPr>
        <w:t xml:space="preserve">Les objectifs émis par une organisation servent à se fixer des résultats spécifiques et réalistes que celle-ci voudrait atteindre. Ceux-ci doivent être </w:t>
      </w:r>
      <w:r w:rsidR="00ED327A">
        <w:rPr>
          <w:rFonts w:ascii="Times New Roman" w:hAnsi="Times New Roman" w:cs="Times New Roman"/>
          <w:sz w:val="24"/>
          <w:szCs w:val="24"/>
        </w:rPr>
        <w:t>mesurables</w:t>
      </w:r>
      <w:r w:rsidRPr="00333C82">
        <w:rPr>
          <w:rFonts w:ascii="Times New Roman" w:hAnsi="Times New Roman" w:cs="Times New Roman"/>
          <w:sz w:val="24"/>
          <w:szCs w:val="24"/>
        </w:rPr>
        <w:t xml:space="preserve">, ne pas reposer sur l’investissement et la satisfaction des actionnaires et </w:t>
      </w:r>
      <w:r w:rsidR="00ED327A">
        <w:rPr>
          <w:rFonts w:ascii="Times New Roman" w:hAnsi="Times New Roman" w:cs="Times New Roman"/>
          <w:sz w:val="24"/>
          <w:szCs w:val="24"/>
        </w:rPr>
        <w:t>doivent</w:t>
      </w:r>
      <w:r w:rsidRPr="00333C82">
        <w:rPr>
          <w:rFonts w:ascii="Times New Roman" w:hAnsi="Times New Roman" w:cs="Times New Roman"/>
          <w:sz w:val="24"/>
          <w:szCs w:val="24"/>
        </w:rPr>
        <w:t xml:space="preserve"> être </w:t>
      </w:r>
      <w:r w:rsidR="00ED327A">
        <w:rPr>
          <w:rFonts w:ascii="Times New Roman" w:hAnsi="Times New Roman" w:cs="Times New Roman"/>
          <w:sz w:val="24"/>
          <w:szCs w:val="24"/>
        </w:rPr>
        <w:t>contrôlables</w:t>
      </w:r>
      <w:r w:rsidRPr="00333C82">
        <w:rPr>
          <w:rFonts w:ascii="Times New Roman" w:hAnsi="Times New Roman" w:cs="Times New Roman"/>
          <w:sz w:val="24"/>
          <w:szCs w:val="24"/>
        </w:rPr>
        <w:t>. L’UQTR présen</w:t>
      </w:r>
      <w:r>
        <w:rPr>
          <w:rFonts w:ascii="Times New Roman" w:hAnsi="Times New Roman" w:cs="Times New Roman"/>
          <w:sz w:val="24"/>
          <w:szCs w:val="24"/>
        </w:rPr>
        <w:t>te ses objectifs selon quatre volets : apprendre, découvrir, s’épanouir et partager</w:t>
      </w:r>
      <w:r w:rsidRPr="00333C82">
        <w:rPr>
          <w:rFonts w:ascii="Times New Roman" w:hAnsi="Times New Roman" w:cs="Times New Roman"/>
          <w:sz w:val="24"/>
          <w:szCs w:val="24"/>
        </w:rPr>
        <w:t xml:space="preserve">. Elle </w:t>
      </w:r>
      <w:r w:rsidR="00ED327A">
        <w:rPr>
          <w:rFonts w:ascii="Times New Roman" w:hAnsi="Times New Roman" w:cs="Times New Roman"/>
          <w:sz w:val="24"/>
          <w:szCs w:val="24"/>
        </w:rPr>
        <w:t>établit</w:t>
      </w:r>
      <w:r w:rsidRPr="00333C82">
        <w:rPr>
          <w:rFonts w:ascii="Times New Roman" w:hAnsi="Times New Roman" w:cs="Times New Roman"/>
          <w:sz w:val="24"/>
          <w:szCs w:val="24"/>
        </w:rPr>
        <w:t xml:space="preserve"> des indicateurs pour tous les volets de sorte à les exprimer en terme </w:t>
      </w:r>
      <w:r w:rsidR="00ED327A">
        <w:rPr>
          <w:rFonts w:ascii="Times New Roman" w:hAnsi="Times New Roman" w:cs="Times New Roman"/>
          <w:sz w:val="24"/>
          <w:szCs w:val="24"/>
        </w:rPr>
        <w:t>financier</w:t>
      </w:r>
      <w:r w:rsidRPr="00333C82">
        <w:rPr>
          <w:rFonts w:ascii="Times New Roman" w:hAnsi="Times New Roman" w:cs="Times New Roman"/>
          <w:sz w:val="24"/>
          <w:szCs w:val="24"/>
        </w:rPr>
        <w:t>.</w:t>
      </w:r>
      <w:r>
        <w:rPr>
          <w:rFonts w:ascii="Times New Roman" w:hAnsi="Times New Roman" w:cs="Times New Roman"/>
          <w:sz w:val="24"/>
          <w:szCs w:val="24"/>
        </w:rPr>
        <w:t xml:space="preserve"> Selon le Plan stratégique 2010-2013, les objectifs de</w:t>
      </w:r>
      <w:r w:rsidR="00A55D21">
        <w:rPr>
          <w:rFonts w:ascii="Times New Roman" w:hAnsi="Times New Roman" w:cs="Times New Roman"/>
          <w:sz w:val="24"/>
          <w:szCs w:val="24"/>
        </w:rPr>
        <w:t xml:space="preserve"> l’institution se présentent de </w:t>
      </w:r>
      <w:r>
        <w:rPr>
          <w:rFonts w:ascii="Times New Roman" w:hAnsi="Times New Roman" w:cs="Times New Roman"/>
          <w:sz w:val="24"/>
          <w:szCs w:val="24"/>
        </w:rPr>
        <w:t>cette manière-ci :</w:t>
      </w:r>
    </w:p>
    <w:p w:rsidR="00A55D21" w:rsidRDefault="00A55D21" w:rsidP="00A802FC">
      <w:pPr>
        <w:autoSpaceDE w:val="0"/>
        <w:autoSpaceDN w:val="0"/>
        <w:adjustRightInd w:val="0"/>
        <w:spacing w:after="0" w:line="360" w:lineRule="auto"/>
        <w:ind w:firstLine="708"/>
        <w:jc w:val="both"/>
        <w:rPr>
          <w:rFonts w:ascii="Times New Roman" w:hAnsi="Times New Roman" w:cs="Times New Roman"/>
          <w:sz w:val="24"/>
          <w:szCs w:val="24"/>
        </w:rPr>
        <w:sectPr w:rsidR="00A55D21" w:rsidSect="00D93DEA">
          <w:pgSz w:w="12240" w:h="15840"/>
          <w:pgMar w:top="1440" w:right="1800" w:bottom="1440" w:left="1800" w:header="708" w:footer="708" w:gutter="0"/>
          <w:pgNumType w:start="1"/>
          <w:cols w:space="708"/>
          <w:docGrid w:linePitch="360"/>
        </w:sectPr>
      </w:pPr>
    </w:p>
    <w:p w:rsidR="00DA6813" w:rsidRDefault="00DA6813" w:rsidP="00DA6813">
      <w:pPr>
        <w:autoSpaceDE w:val="0"/>
        <w:autoSpaceDN w:val="0"/>
        <w:adjustRightInd w:val="0"/>
        <w:spacing w:after="0" w:line="360" w:lineRule="auto"/>
        <w:jc w:val="both"/>
        <w:rPr>
          <w:rFonts w:ascii="Times New Roman" w:hAnsi="Times New Roman" w:cs="Times New Roman"/>
          <w:sz w:val="24"/>
          <w:szCs w:val="24"/>
        </w:rPr>
      </w:pPr>
    </w:p>
    <w:p w:rsidR="00DA6813" w:rsidRPr="00BD3BDE" w:rsidRDefault="00DA6813" w:rsidP="00DA6813">
      <w:pPr>
        <w:autoSpaceDE w:val="0"/>
        <w:autoSpaceDN w:val="0"/>
        <w:adjustRightInd w:val="0"/>
        <w:spacing w:after="0" w:line="360" w:lineRule="auto"/>
        <w:jc w:val="both"/>
        <w:rPr>
          <w:rFonts w:ascii="Times New Roman" w:hAnsi="Times New Roman" w:cs="Times New Roman"/>
          <w:color w:val="FFFFFF" w:themeColor="background1"/>
          <w:sz w:val="24"/>
          <w:szCs w:val="24"/>
        </w:rPr>
      </w:pPr>
    </w:p>
    <w:tbl>
      <w:tblPr>
        <w:tblStyle w:val="Grilleclaire-Accent3"/>
        <w:tblW w:w="8897" w:type="dxa"/>
        <w:tblLook w:val="04A0"/>
      </w:tblPr>
      <w:tblGrid>
        <w:gridCol w:w="2802"/>
        <w:gridCol w:w="6095"/>
      </w:tblGrid>
      <w:tr w:rsidR="00DA6813" w:rsidRPr="00BD3BDE" w:rsidTr="00BD3BDE">
        <w:trPr>
          <w:cnfStyle w:val="100000000000"/>
        </w:trPr>
        <w:tc>
          <w:tcPr>
            <w:cnfStyle w:val="001000000000"/>
            <w:tcW w:w="8897" w:type="dxa"/>
            <w:gridSpan w:val="2"/>
            <w:shd w:val="clear" w:color="auto" w:fill="00703C"/>
            <w:vAlign w:val="center"/>
          </w:tcPr>
          <w:p w:rsidR="00DA6813" w:rsidRPr="00BD3BDE" w:rsidRDefault="00DA6813" w:rsidP="00A83EA8">
            <w:pPr>
              <w:autoSpaceDE w:val="0"/>
              <w:autoSpaceDN w:val="0"/>
              <w:adjustRightInd w:val="0"/>
              <w:spacing w:line="360" w:lineRule="auto"/>
              <w:jc w:val="center"/>
              <w:rPr>
                <w:rFonts w:ascii="Times New Roman" w:hAnsi="Times New Roman" w:cs="Times New Roman"/>
                <w:color w:val="FFFFFF" w:themeColor="background1"/>
                <w:sz w:val="24"/>
                <w:szCs w:val="24"/>
              </w:rPr>
            </w:pPr>
            <w:r w:rsidRPr="00BD3BDE">
              <w:rPr>
                <w:rFonts w:ascii="Times New Roman" w:hAnsi="Times New Roman" w:cs="Times New Roman"/>
                <w:color w:val="FFFFFF" w:themeColor="background1"/>
                <w:sz w:val="24"/>
                <w:szCs w:val="24"/>
              </w:rPr>
              <w:t>APPRENDRE</w:t>
            </w:r>
          </w:p>
        </w:tc>
      </w:tr>
      <w:tr w:rsidR="00DA6813" w:rsidTr="00A83EA8">
        <w:trPr>
          <w:cnfStyle w:val="000000100000"/>
        </w:trPr>
        <w:tc>
          <w:tcPr>
            <w:cnfStyle w:val="001000000000"/>
            <w:tcW w:w="2802" w:type="dxa"/>
          </w:tcPr>
          <w:p w:rsidR="00DA6813" w:rsidRPr="00570CEE" w:rsidRDefault="00DA6813" w:rsidP="00A83EA8">
            <w:pPr>
              <w:autoSpaceDE w:val="0"/>
              <w:autoSpaceDN w:val="0"/>
              <w:adjustRightInd w:val="0"/>
              <w:spacing w:line="360" w:lineRule="auto"/>
              <w:jc w:val="both"/>
              <w:rPr>
                <w:rFonts w:ascii="Times New Roman" w:hAnsi="Times New Roman" w:cs="Times New Roman"/>
                <w:sz w:val="24"/>
                <w:szCs w:val="24"/>
              </w:rPr>
            </w:pPr>
            <w:r w:rsidRPr="00570CEE">
              <w:rPr>
                <w:rFonts w:ascii="Times New Roman" w:hAnsi="Times New Roman" w:cs="Times New Roman"/>
                <w:sz w:val="24"/>
                <w:szCs w:val="24"/>
              </w:rPr>
              <w:t>Objectifs</w:t>
            </w:r>
          </w:p>
        </w:tc>
        <w:tc>
          <w:tcPr>
            <w:tcW w:w="6095" w:type="dxa"/>
          </w:tcPr>
          <w:p w:rsidR="00DA6813" w:rsidRPr="00570CEE" w:rsidRDefault="00DA6813" w:rsidP="00A83EA8">
            <w:pPr>
              <w:autoSpaceDE w:val="0"/>
              <w:autoSpaceDN w:val="0"/>
              <w:adjustRightInd w:val="0"/>
              <w:spacing w:line="360" w:lineRule="auto"/>
              <w:jc w:val="both"/>
              <w:cnfStyle w:val="000000100000"/>
              <w:rPr>
                <w:rFonts w:ascii="Times New Roman" w:hAnsi="Times New Roman" w:cs="Times New Roman"/>
                <w:b/>
                <w:sz w:val="24"/>
                <w:szCs w:val="24"/>
              </w:rPr>
            </w:pPr>
            <w:r w:rsidRPr="00570CEE">
              <w:rPr>
                <w:rFonts w:ascii="Times New Roman" w:hAnsi="Times New Roman" w:cs="Times New Roman"/>
                <w:b/>
                <w:sz w:val="24"/>
                <w:szCs w:val="24"/>
              </w:rPr>
              <w:t>Indicateurs</w:t>
            </w:r>
          </w:p>
        </w:tc>
      </w:tr>
      <w:tr w:rsidR="00DA6813" w:rsidTr="00A83EA8">
        <w:trPr>
          <w:cnfStyle w:val="000000010000"/>
        </w:trPr>
        <w:tc>
          <w:tcPr>
            <w:cnfStyle w:val="001000000000"/>
            <w:tcW w:w="2802" w:type="dxa"/>
            <w:vAlign w:val="center"/>
          </w:tcPr>
          <w:p w:rsidR="00DA6813" w:rsidRPr="00B362A9" w:rsidRDefault="00DA6813" w:rsidP="00540A65">
            <w:pPr>
              <w:pStyle w:val="Paragraphedeliste"/>
              <w:numPr>
                <w:ilvl w:val="0"/>
                <w:numId w:val="21"/>
              </w:numPr>
              <w:autoSpaceDE w:val="0"/>
              <w:autoSpaceDN w:val="0"/>
              <w:adjustRightInd w:val="0"/>
              <w:spacing w:line="360" w:lineRule="auto"/>
              <w:rPr>
                <w:rFonts w:ascii="Times New Roman" w:hAnsi="Times New Roman" w:cs="Times New Roman"/>
              </w:rPr>
            </w:pPr>
            <w:r w:rsidRPr="00B362A9">
              <w:rPr>
                <w:rFonts w:ascii="Times New Roman" w:hAnsi="Times New Roman" w:cs="Times New Roman"/>
              </w:rPr>
              <w:t xml:space="preserve">Favoriser l’excellence de </w:t>
            </w:r>
            <w:r>
              <w:rPr>
                <w:rFonts w:ascii="Times New Roman" w:hAnsi="Times New Roman" w:cs="Times New Roman"/>
              </w:rPr>
              <w:t>la pédagogie universitaire</w:t>
            </w:r>
          </w:p>
          <w:p w:rsidR="00DA6813" w:rsidRPr="00570CEE" w:rsidRDefault="00DA6813" w:rsidP="00A83EA8">
            <w:pPr>
              <w:pStyle w:val="Paragraphedeliste"/>
              <w:autoSpaceDE w:val="0"/>
              <w:autoSpaceDN w:val="0"/>
              <w:adjustRightInd w:val="0"/>
              <w:spacing w:line="360" w:lineRule="auto"/>
              <w:ind w:left="360"/>
              <w:rPr>
                <w:rFonts w:ascii="Times New Roman" w:hAnsi="Times New Roman" w:cs="Times New Roman"/>
              </w:rPr>
            </w:pPr>
          </w:p>
        </w:tc>
        <w:tc>
          <w:tcPr>
            <w:tcW w:w="6095" w:type="dxa"/>
          </w:tcPr>
          <w:p w:rsidR="00DA6813" w:rsidRPr="00570CEE" w:rsidRDefault="00DA6813" w:rsidP="00540A65">
            <w:pPr>
              <w:pStyle w:val="Paragraphedeliste"/>
              <w:numPr>
                <w:ilvl w:val="0"/>
                <w:numId w:val="14"/>
              </w:numPr>
              <w:autoSpaceDE w:val="0"/>
              <w:autoSpaceDN w:val="0"/>
              <w:adjustRightInd w:val="0"/>
              <w:spacing w:line="276" w:lineRule="auto"/>
              <w:cnfStyle w:val="000000010000"/>
              <w:rPr>
                <w:rFonts w:ascii="Times New Roman" w:hAnsi="Times New Roman" w:cs="Times New Roman"/>
                <w:sz w:val="20"/>
                <w:szCs w:val="20"/>
              </w:rPr>
            </w:pPr>
            <w:r w:rsidRPr="00570CEE">
              <w:rPr>
                <w:rFonts w:ascii="Times New Roman" w:hAnsi="Times New Roman" w:cs="Times New Roman"/>
                <w:sz w:val="20"/>
                <w:szCs w:val="20"/>
              </w:rPr>
              <w:t>Nombre de projets pédagogiques développés par les professeurs et les chargés de cours</w:t>
            </w:r>
          </w:p>
          <w:p w:rsidR="00DA6813" w:rsidRPr="009D6AC1" w:rsidRDefault="00DA6813" w:rsidP="00540A65">
            <w:pPr>
              <w:pStyle w:val="Paragraphedeliste"/>
              <w:numPr>
                <w:ilvl w:val="0"/>
                <w:numId w:val="14"/>
              </w:numPr>
              <w:autoSpaceDE w:val="0"/>
              <w:autoSpaceDN w:val="0"/>
              <w:adjustRightInd w:val="0"/>
              <w:spacing w:line="276" w:lineRule="auto"/>
              <w:cnfStyle w:val="000000010000"/>
              <w:rPr>
                <w:rFonts w:ascii="Times New Roman" w:hAnsi="Times New Roman" w:cs="Times New Roman"/>
                <w:sz w:val="20"/>
                <w:szCs w:val="20"/>
              </w:rPr>
            </w:pPr>
            <w:r w:rsidRPr="009D6AC1">
              <w:rPr>
                <w:rFonts w:ascii="Times New Roman" w:hAnsi="Times New Roman" w:cs="Times New Roman"/>
                <w:sz w:val="20"/>
                <w:szCs w:val="20"/>
              </w:rPr>
              <w:t>Nombre de professeurs et de chargés de cours</w:t>
            </w:r>
          </w:p>
          <w:p w:rsidR="00DA6813" w:rsidRPr="009D6AC1" w:rsidRDefault="00DA6813" w:rsidP="00A83EA8">
            <w:pPr>
              <w:autoSpaceDE w:val="0"/>
              <w:autoSpaceDN w:val="0"/>
              <w:adjustRightInd w:val="0"/>
              <w:spacing w:line="276" w:lineRule="auto"/>
              <w:ind w:left="360"/>
              <w:cnfStyle w:val="000000010000"/>
              <w:rPr>
                <w:rFonts w:ascii="Times New Roman" w:hAnsi="Times New Roman" w:cs="Times New Roman"/>
                <w:sz w:val="20"/>
                <w:szCs w:val="20"/>
              </w:rPr>
            </w:pPr>
            <w:r w:rsidRPr="009D6AC1">
              <w:rPr>
                <w:rFonts w:ascii="Times New Roman" w:hAnsi="Times New Roman" w:cs="Times New Roman"/>
                <w:sz w:val="20"/>
                <w:szCs w:val="20"/>
              </w:rPr>
              <w:t>participant à des activités de formation et de</w:t>
            </w:r>
            <w:r>
              <w:rPr>
                <w:rFonts w:ascii="Times New Roman" w:hAnsi="Times New Roman" w:cs="Times New Roman"/>
                <w:sz w:val="20"/>
                <w:szCs w:val="20"/>
              </w:rPr>
              <w:t xml:space="preserve"> </w:t>
            </w:r>
            <w:r w:rsidRPr="009D6AC1">
              <w:rPr>
                <w:rFonts w:ascii="Times New Roman" w:hAnsi="Times New Roman" w:cs="Times New Roman"/>
                <w:sz w:val="20"/>
                <w:szCs w:val="20"/>
              </w:rPr>
              <w:t>perfectionnement</w:t>
            </w:r>
          </w:p>
          <w:p w:rsidR="00DA6813" w:rsidRPr="009D6AC1" w:rsidRDefault="00DA6813" w:rsidP="00540A65">
            <w:pPr>
              <w:pStyle w:val="Paragraphedeliste"/>
              <w:numPr>
                <w:ilvl w:val="0"/>
                <w:numId w:val="14"/>
              </w:numPr>
              <w:autoSpaceDE w:val="0"/>
              <w:autoSpaceDN w:val="0"/>
              <w:adjustRightInd w:val="0"/>
              <w:spacing w:line="276" w:lineRule="auto"/>
              <w:cnfStyle w:val="000000010000"/>
              <w:rPr>
                <w:rFonts w:ascii="Times New Roman" w:hAnsi="Times New Roman" w:cs="Times New Roman"/>
                <w:sz w:val="20"/>
                <w:szCs w:val="20"/>
              </w:rPr>
            </w:pPr>
            <w:r w:rsidRPr="00570CEE">
              <w:rPr>
                <w:rFonts w:ascii="Times New Roman" w:hAnsi="Times New Roman" w:cs="Times New Roman"/>
                <w:sz w:val="20"/>
                <w:szCs w:val="20"/>
              </w:rPr>
              <w:t xml:space="preserve">Degré d’appréciation des étudiants à l’égard des habiletés </w:t>
            </w:r>
            <w:r>
              <w:rPr>
                <w:rFonts w:ascii="Times New Roman" w:hAnsi="Times New Roman" w:cs="Times New Roman"/>
                <w:sz w:val="20"/>
                <w:szCs w:val="20"/>
              </w:rPr>
              <w:t>p</w:t>
            </w:r>
            <w:r w:rsidRPr="00570CEE">
              <w:rPr>
                <w:rFonts w:ascii="Times New Roman" w:hAnsi="Times New Roman" w:cs="Times New Roman"/>
                <w:sz w:val="20"/>
                <w:szCs w:val="20"/>
              </w:rPr>
              <w:t>édagogiques des professeurs et chargés</w:t>
            </w:r>
            <w:r>
              <w:rPr>
                <w:rFonts w:ascii="Times New Roman" w:hAnsi="Times New Roman" w:cs="Times New Roman"/>
                <w:sz w:val="20"/>
                <w:szCs w:val="20"/>
              </w:rPr>
              <w:t xml:space="preserve"> </w:t>
            </w:r>
            <w:r w:rsidRPr="009D6AC1">
              <w:rPr>
                <w:rFonts w:ascii="Times New Roman" w:hAnsi="Times New Roman" w:cs="Times New Roman"/>
                <w:sz w:val="20"/>
                <w:szCs w:val="20"/>
              </w:rPr>
              <w:t>de cours</w:t>
            </w:r>
          </w:p>
        </w:tc>
      </w:tr>
      <w:tr w:rsidR="00DA6813" w:rsidTr="00A83EA8">
        <w:trPr>
          <w:cnfStyle w:val="000000100000"/>
        </w:trPr>
        <w:tc>
          <w:tcPr>
            <w:cnfStyle w:val="001000000000"/>
            <w:tcW w:w="2802" w:type="dxa"/>
            <w:vAlign w:val="center"/>
          </w:tcPr>
          <w:p w:rsidR="00DA6813" w:rsidRPr="00B362A9" w:rsidRDefault="00DA6813" w:rsidP="00540A65">
            <w:pPr>
              <w:pStyle w:val="Paragraphedeliste"/>
              <w:numPr>
                <w:ilvl w:val="0"/>
                <w:numId w:val="21"/>
              </w:numPr>
              <w:autoSpaceDE w:val="0"/>
              <w:autoSpaceDN w:val="0"/>
              <w:adjustRightInd w:val="0"/>
              <w:spacing w:line="360" w:lineRule="auto"/>
              <w:rPr>
                <w:rFonts w:ascii="Times New Roman" w:hAnsi="Times New Roman" w:cs="Times New Roman"/>
              </w:rPr>
            </w:pPr>
            <w:r w:rsidRPr="00B362A9">
              <w:rPr>
                <w:rFonts w:ascii="Times New Roman" w:hAnsi="Times New Roman" w:cs="Times New Roman"/>
              </w:rPr>
              <w:t>Enrichir le contexte d’apprentissage</w:t>
            </w:r>
          </w:p>
          <w:p w:rsidR="00DA6813" w:rsidRPr="00570CEE" w:rsidRDefault="00DA6813" w:rsidP="00A83EA8">
            <w:pPr>
              <w:autoSpaceDE w:val="0"/>
              <w:autoSpaceDN w:val="0"/>
              <w:adjustRightInd w:val="0"/>
              <w:spacing w:line="360" w:lineRule="auto"/>
              <w:rPr>
                <w:rFonts w:ascii="Times New Roman" w:hAnsi="Times New Roman" w:cs="Times New Roman"/>
              </w:rPr>
            </w:pPr>
          </w:p>
        </w:tc>
        <w:tc>
          <w:tcPr>
            <w:tcW w:w="6095" w:type="dxa"/>
          </w:tcPr>
          <w:p w:rsidR="00DA6813" w:rsidRPr="00570CEE" w:rsidRDefault="00DA6813" w:rsidP="00540A65">
            <w:pPr>
              <w:pStyle w:val="Paragraphedeliste"/>
              <w:numPr>
                <w:ilvl w:val="0"/>
                <w:numId w:val="14"/>
              </w:numPr>
              <w:tabs>
                <w:tab w:val="left" w:pos="1205"/>
              </w:tabs>
              <w:autoSpaceDE w:val="0"/>
              <w:autoSpaceDN w:val="0"/>
              <w:adjustRightInd w:val="0"/>
              <w:spacing w:line="276" w:lineRule="auto"/>
              <w:cnfStyle w:val="000000100000"/>
              <w:rPr>
                <w:rFonts w:ascii="Times New Roman" w:hAnsi="Times New Roman" w:cs="Times New Roman"/>
                <w:sz w:val="20"/>
                <w:szCs w:val="20"/>
              </w:rPr>
            </w:pPr>
            <w:r w:rsidRPr="00570CEE">
              <w:rPr>
                <w:rFonts w:ascii="Times New Roman" w:hAnsi="Times New Roman" w:cs="Times New Roman"/>
                <w:sz w:val="20"/>
                <w:szCs w:val="20"/>
              </w:rPr>
              <w:t>Degré d’utilisation et de satisfaction à l’égard des services aux étudiants</w:t>
            </w:r>
          </w:p>
          <w:p w:rsidR="00DA6813" w:rsidRPr="00570CEE" w:rsidRDefault="00DA6813" w:rsidP="00540A65">
            <w:pPr>
              <w:pStyle w:val="Paragraphedeliste"/>
              <w:numPr>
                <w:ilvl w:val="0"/>
                <w:numId w:val="14"/>
              </w:numPr>
              <w:tabs>
                <w:tab w:val="left" w:pos="430"/>
              </w:tabs>
              <w:autoSpaceDE w:val="0"/>
              <w:autoSpaceDN w:val="0"/>
              <w:adjustRightInd w:val="0"/>
              <w:spacing w:line="276" w:lineRule="auto"/>
              <w:cnfStyle w:val="000000100000"/>
              <w:rPr>
                <w:rFonts w:ascii="Times New Roman" w:hAnsi="Times New Roman" w:cs="Times New Roman"/>
                <w:sz w:val="20"/>
                <w:szCs w:val="20"/>
              </w:rPr>
            </w:pPr>
            <w:r w:rsidRPr="00570CEE">
              <w:rPr>
                <w:rFonts w:ascii="Times New Roman" w:hAnsi="Times New Roman" w:cs="Times New Roman"/>
                <w:sz w:val="20"/>
                <w:szCs w:val="20"/>
              </w:rPr>
              <w:t xml:space="preserve">Degré d’utilisation et de satisfaction à l’égard de </w:t>
            </w:r>
            <w:r w:rsidRPr="00570CEE">
              <w:rPr>
                <w:rFonts w:ascii="Times New Roman" w:hAnsi="Times New Roman" w:cs="Times New Roman"/>
                <w:sz w:val="20"/>
                <w:szCs w:val="20"/>
              </w:rPr>
              <w:tab/>
              <w:t>d’apprentissage</w:t>
            </w:r>
          </w:p>
          <w:p w:rsidR="00DA6813" w:rsidRPr="009D6AC1" w:rsidRDefault="00DA6813" w:rsidP="00540A65">
            <w:pPr>
              <w:pStyle w:val="Paragraphedeliste"/>
              <w:numPr>
                <w:ilvl w:val="0"/>
                <w:numId w:val="14"/>
              </w:numPr>
              <w:autoSpaceDE w:val="0"/>
              <w:autoSpaceDN w:val="0"/>
              <w:adjustRightInd w:val="0"/>
              <w:spacing w:line="276" w:lineRule="auto"/>
              <w:cnfStyle w:val="000000100000"/>
              <w:rPr>
                <w:rFonts w:ascii="Times New Roman" w:hAnsi="Times New Roman" w:cs="Times New Roman"/>
                <w:sz w:val="20"/>
                <w:szCs w:val="20"/>
              </w:rPr>
            </w:pPr>
            <w:r w:rsidRPr="009D6AC1">
              <w:rPr>
                <w:rFonts w:ascii="Times New Roman" w:hAnsi="Times New Roman" w:cs="Times New Roman"/>
                <w:sz w:val="20"/>
                <w:szCs w:val="20"/>
              </w:rPr>
              <w:t>Degré d’utilisation et de satisfaction des étudiants</w:t>
            </w:r>
            <w:r>
              <w:rPr>
                <w:rFonts w:ascii="Times New Roman" w:hAnsi="Times New Roman" w:cs="Times New Roman"/>
                <w:sz w:val="20"/>
                <w:szCs w:val="20"/>
              </w:rPr>
              <w:t xml:space="preserve"> </w:t>
            </w:r>
            <w:r w:rsidRPr="009D6AC1">
              <w:rPr>
                <w:rFonts w:ascii="Times New Roman" w:hAnsi="Times New Roman" w:cs="Times New Roman"/>
                <w:sz w:val="20"/>
                <w:szCs w:val="20"/>
              </w:rPr>
              <w:t>à l’égard de la formation pratique</w:t>
            </w:r>
          </w:p>
        </w:tc>
      </w:tr>
      <w:tr w:rsidR="00DA6813" w:rsidTr="00A83EA8">
        <w:trPr>
          <w:cnfStyle w:val="000000010000"/>
        </w:trPr>
        <w:tc>
          <w:tcPr>
            <w:cnfStyle w:val="001000000000"/>
            <w:tcW w:w="2802" w:type="dxa"/>
            <w:vAlign w:val="center"/>
          </w:tcPr>
          <w:p w:rsidR="00DA6813" w:rsidRPr="00570CEE" w:rsidRDefault="00DA6813" w:rsidP="00540A65">
            <w:pPr>
              <w:pStyle w:val="Paragraphedeliste"/>
              <w:numPr>
                <w:ilvl w:val="0"/>
                <w:numId w:val="21"/>
              </w:numPr>
              <w:autoSpaceDE w:val="0"/>
              <w:autoSpaceDN w:val="0"/>
              <w:adjustRightInd w:val="0"/>
              <w:spacing w:line="360" w:lineRule="auto"/>
              <w:rPr>
                <w:rFonts w:ascii="Times New Roman" w:hAnsi="Times New Roman" w:cs="Times New Roman"/>
              </w:rPr>
            </w:pPr>
            <w:r w:rsidRPr="00570CEE">
              <w:rPr>
                <w:rFonts w:ascii="Times New Roman" w:hAnsi="Times New Roman" w:cs="Times New Roman"/>
              </w:rPr>
              <w:t>Soutenir la persévérance jusqu’au diplôme</w:t>
            </w:r>
          </w:p>
          <w:p w:rsidR="00DA6813" w:rsidRPr="00570CEE" w:rsidRDefault="00DA6813" w:rsidP="00A83EA8">
            <w:pPr>
              <w:autoSpaceDE w:val="0"/>
              <w:autoSpaceDN w:val="0"/>
              <w:adjustRightInd w:val="0"/>
              <w:spacing w:line="360" w:lineRule="auto"/>
              <w:rPr>
                <w:rFonts w:ascii="Times New Roman" w:hAnsi="Times New Roman" w:cs="Times New Roman"/>
              </w:rPr>
            </w:pPr>
          </w:p>
        </w:tc>
        <w:tc>
          <w:tcPr>
            <w:tcW w:w="6095" w:type="dxa"/>
          </w:tcPr>
          <w:p w:rsidR="00DA6813" w:rsidRDefault="00DA6813" w:rsidP="00540A65">
            <w:pPr>
              <w:pStyle w:val="Paragraphedeliste"/>
              <w:numPr>
                <w:ilvl w:val="0"/>
                <w:numId w:val="14"/>
              </w:numPr>
              <w:autoSpaceDE w:val="0"/>
              <w:autoSpaceDN w:val="0"/>
              <w:adjustRightInd w:val="0"/>
              <w:spacing w:line="276" w:lineRule="auto"/>
              <w:jc w:val="both"/>
              <w:cnfStyle w:val="000000010000"/>
              <w:rPr>
                <w:rFonts w:ascii="Times New Roman" w:hAnsi="Times New Roman" w:cs="Times New Roman"/>
                <w:sz w:val="20"/>
                <w:szCs w:val="20"/>
              </w:rPr>
            </w:pPr>
            <w:r>
              <w:rPr>
                <w:rFonts w:ascii="Times New Roman" w:hAnsi="Times New Roman" w:cs="Times New Roman"/>
                <w:sz w:val="20"/>
                <w:szCs w:val="20"/>
              </w:rPr>
              <w:t>Taux d’étudiants bénéficiant de services adaptés à la réussite</w:t>
            </w:r>
          </w:p>
          <w:p w:rsidR="00DA6813" w:rsidRDefault="00DA6813" w:rsidP="00540A65">
            <w:pPr>
              <w:pStyle w:val="Paragraphedeliste"/>
              <w:numPr>
                <w:ilvl w:val="0"/>
                <w:numId w:val="14"/>
              </w:numPr>
              <w:autoSpaceDE w:val="0"/>
              <w:autoSpaceDN w:val="0"/>
              <w:adjustRightInd w:val="0"/>
              <w:spacing w:line="276" w:lineRule="auto"/>
              <w:jc w:val="both"/>
              <w:cnfStyle w:val="000000010000"/>
              <w:rPr>
                <w:rFonts w:ascii="Times New Roman" w:hAnsi="Times New Roman" w:cs="Times New Roman"/>
                <w:sz w:val="20"/>
                <w:szCs w:val="20"/>
              </w:rPr>
            </w:pPr>
            <w:r>
              <w:rPr>
                <w:rFonts w:ascii="Times New Roman" w:hAnsi="Times New Roman" w:cs="Times New Roman"/>
                <w:sz w:val="20"/>
                <w:szCs w:val="20"/>
              </w:rPr>
              <w:t>Taux de persévérance des étudiants à la première année du programme</w:t>
            </w:r>
          </w:p>
          <w:p w:rsidR="00DA6813" w:rsidRDefault="00DA6813" w:rsidP="00540A65">
            <w:pPr>
              <w:pStyle w:val="Paragraphedeliste"/>
              <w:numPr>
                <w:ilvl w:val="0"/>
                <w:numId w:val="14"/>
              </w:numPr>
              <w:autoSpaceDE w:val="0"/>
              <w:autoSpaceDN w:val="0"/>
              <w:adjustRightInd w:val="0"/>
              <w:spacing w:line="276" w:lineRule="auto"/>
              <w:jc w:val="both"/>
              <w:cnfStyle w:val="000000010000"/>
              <w:rPr>
                <w:rFonts w:ascii="Times New Roman" w:hAnsi="Times New Roman" w:cs="Times New Roman"/>
                <w:sz w:val="20"/>
                <w:szCs w:val="20"/>
              </w:rPr>
            </w:pPr>
            <w:r>
              <w:rPr>
                <w:rFonts w:ascii="Times New Roman" w:hAnsi="Times New Roman" w:cs="Times New Roman"/>
                <w:sz w:val="20"/>
                <w:szCs w:val="20"/>
              </w:rPr>
              <w:t xml:space="preserve">Taux de </w:t>
            </w:r>
            <w:proofErr w:type="spellStart"/>
            <w:r>
              <w:rPr>
                <w:rFonts w:ascii="Times New Roman" w:hAnsi="Times New Roman" w:cs="Times New Roman"/>
                <w:sz w:val="20"/>
                <w:szCs w:val="20"/>
              </w:rPr>
              <w:t>diplomation</w:t>
            </w:r>
            <w:proofErr w:type="spellEnd"/>
            <w:r>
              <w:rPr>
                <w:rFonts w:ascii="Times New Roman" w:hAnsi="Times New Roman" w:cs="Times New Roman"/>
                <w:sz w:val="20"/>
                <w:szCs w:val="20"/>
              </w:rPr>
              <w:t xml:space="preserve"> des étudiants</w:t>
            </w:r>
          </w:p>
          <w:p w:rsidR="00DA6813" w:rsidRPr="00330CA6" w:rsidRDefault="00DA6813" w:rsidP="00540A65">
            <w:pPr>
              <w:pStyle w:val="Paragraphedeliste"/>
              <w:numPr>
                <w:ilvl w:val="0"/>
                <w:numId w:val="14"/>
              </w:numPr>
              <w:autoSpaceDE w:val="0"/>
              <w:autoSpaceDN w:val="0"/>
              <w:adjustRightInd w:val="0"/>
              <w:spacing w:line="276" w:lineRule="auto"/>
              <w:jc w:val="both"/>
              <w:cnfStyle w:val="000000010000"/>
              <w:rPr>
                <w:rFonts w:ascii="Times New Roman" w:hAnsi="Times New Roman" w:cs="Times New Roman"/>
                <w:sz w:val="20"/>
                <w:szCs w:val="20"/>
              </w:rPr>
            </w:pPr>
            <w:r>
              <w:rPr>
                <w:rFonts w:ascii="Times New Roman" w:hAnsi="Times New Roman" w:cs="Times New Roman"/>
                <w:sz w:val="20"/>
                <w:szCs w:val="20"/>
              </w:rPr>
              <w:t>Taux d’étudiants terminant leur programme selon une durée déterminée</w:t>
            </w:r>
          </w:p>
        </w:tc>
      </w:tr>
      <w:tr w:rsidR="00DA6813" w:rsidTr="00A83EA8">
        <w:trPr>
          <w:cnfStyle w:val="000000100000"/>
        </w:trPr>
        <w:tc>
          <w:tcPr>
            <w:cnfStyle w:val="001000000000"/>
            <w:tcW w:w="2802" w:type="dxa"/>
            <w:vAlign w:val="center"/>
          </w:tcPr>
          <w:p w:rsidR="00DA6813" w:rsidRPr="00570CEE" w:rsidRDefault="00DA6813" w:rsidP="00540A65">
            <w:pPr>
              <w:pStyle w:val="Paragraphedeliste"/>
              <w:numPr>
                <w:ilvl w:val="0"/>
                <w:numId w:val="21"/>
              </w:numPr>
              <w:autoSpaceDE w:val="0"/>
              <w:autoSpaceDN w:val="0"/>
              <w:adjustRightInd w:val="0"/>
              <w:spacing w:line="360" w:lineRule="auto"/>
              <w:rPr>
                <w:rFonts w:ascii="Times New Roman" w:hAnsi="Times New Roman" w:cs="Times New Roman"/>
              </w:rPr>
            </w:pPr>
            <w:r w:rsidRPr="00570CEE">
              <w:rPr>
                <w:rFonts w:ascii="Times New Roman" w:hAnsi="Times New Roman" w:cs="Times New Roman"/>
              </w:rPr>
              <w:t>Assurer la qualification des diplômés</w:t>
            </w:r>
          </w:p>
          <w:p w:rsidR="00DA6813" w:rsidRPr="00570CEE" w:rsidRDefault="00DA6813" w:rsidP="00A83EA8">
            <w:pPr>
              <w:autoSpaceDE w:val="0"/>
              <w:autoSpaceDN w:val="0"/>
              <w:adjustRightInd w:val="0"/>
              <w:spacing w:line="360" w:lineRule="auto"/>
              <w:rPr>
                <w:rFonts w:ascii="Times New Roman" w:hAnsi="Times New Roman" w:cs="Times New Roman"/>
              </w:rPr>
            </w:pPr>
          </w:p>
        </w:tc>
        <w:tc>
          <w:tcPr>
            <w:tcW w:w="6095" w:type="dxa"/>
          </w:tcPr>
          <w:p w:rsidR="00DA6813" w:rsidRDefault="00DA6813" w:rsidP="00540A65">
            <w:pPr>
              <w:pStyle w:val="Paragraphedeliste"/>
              <w:numPr>
                <w:ilvl w:val="0"/>
                <w:numId w:val="15"/>
              </w:numPr>
              <w:autoSpaceDE w:val="0"/>
              <w:autoSpaceDN w:val="0"/>
              <w:adjustRightInd w:val="0"/>
              <w:spacing w:line="276" w:lineRule="auto"/>
              <w:jc w:val="both"/>
              <w:cnfStyle w:val="000000100000"/>
              <w:rPr>
                <w:rFonts w:ascii="Times New Roman" w:hAnsi="Times New Roman" w:cs="Times New Roman"/>
                <w:sz w:val="20"/>
                <w:szCs w:val="20"/>
              </w:rPr>
            </w:pPr>
            <w:r>
              <w:rPr>
                <w:rFonts w:ascii="Times New Roman" w:hAnsi="Times New Roman" w:cs="Times New Roman"/>
                <w:sz w:val="20"/>
                <w:szCs w:val="20"/>
              </w:rPr>
              <w:t>Taux des diplômés considérant que leur formation et leur programme d’études les ont qualifiés</w:t>
            </w:r>
          </w:p>
          <w:p w:rsidR="00DA6813" w:rsidRDefault="00DA6813" w:rsidP="00540A65">
            <w:pPr>
              <w:pStyle w:val="Paragraphedeliste"/>
              <w:numPr>
                <w:ilvl w:val="0"/>
                <w:numId w:val="15"/>
              </w:numPr>
              <w:autoSpaceDE w:val="0"/>
              <w:autoSpaceDN w:val="0"/>
              <w:adjustRightInd w:val="0"/>
              <w:spacing w:line="276" w:lineRule="auto"/>
              <w:jc w:val="both"/>
              <w:cnfStyle w:val="000000100000"/>
              <w:rPr>
                <w:rFonts w:ascii="Times New Roman" w:hAnsi="Times New Roman" w:cs="Times New Roman"/>
                <w:sz w:val="20"/>
                <w:szCs w:val="20"/>
              </w:rPr>
            </w:pPr>
            <w:r>
              <w:rPr>
                <w:rFonts w:ascii="Times New Roman" w:hAnsi="Times New Roman" w:cs="Times New Roman"/>
                <w:sz w:val="20"/>
                <w:szCs w:val="20"/>
              </w:rPr>
              <w:t>Taux de diplômés dont le premier emploi à temps plein est lié aux stages réalisés en milieu de travail</w:t>
            </w:r>
          </w:p>
          <w:p w:rsidR="00DA6813" w:rsidRPr="000D751B" w:rsidRDefault="00DA6813" w:rsidP="00540A65">
            <w:pPr>
              <w:pStyle w:val="Paragraphedeliste"/>
              <w:numPr>
                <w:ilvl w:val="0"/>
                <w:numId w:val="15"/>
              </w:numPr>
              <w:autoSpaceDE w:val="0"/>
              <w:autoSpaceDN w:val="0"/>
              <w:adjustRightInd w:val="0"/>
              <w:spacing w:line="276" w:lineRule="auto"/>
              <w:jc w:val="both"/>
              <w:cnfStyle w:val="000000100000"/>
              <w:rPr>
                <w:rFonts w:ascii="Times New Roman" w:hAnsi="Times New Roman" w:cs="Times New Roman"/>
                <w:sz w:val="20"/>
                <w:szCs w:val="20"/>
              </w:rPr>
            </w:pPr>
            <w:r>
              <w:rPr>
                <w:rFonts w:ascii="Times New Roman" w:hAnsi="Times New Roman" w:cs="Times New Roman"/>
                <w:sz w:val="20"/>
                <w:szCs w:val="20"/>
              </w:rPr>
              <w:t>Taux de succès des étudiants aux examens des ordres professionnels</w:t>
            </w:r>
          </w:p>
        </w:tc>
      </w:tr>
      <w:tr w:rsidR="00DA6813" w:rsidTr="00A83EA8">
        <w:trPr>
          <w:cnfStyle w:val="000000010000"/>
        </w:trPr>
        <w:tc>
          <w:tcPr>
            <w:cnfStyle w:val="001000000000"/>
            <w:tcW w:w="2802" w:type="dxa"/>
            <w:vAlign w:val="center"/>
          </w:tcPr>
          <w:p w:rsidR="00DA6813" w:rsidRPr="00570CEE" w:rsidRDefault="00DA6813" w:rsidP="00540A65">
            <w:pPr>
              <w:pStyle w:val="Paragraphedeliste"/>
              <w:numPr>
                <w:ilvl w:val="0"/>
                <w:numId w:val="21"/>
              </w:numPr>
              <w:autoSpaceDE w:val="0"/>
              <w:autoSpaceDN w:val="0"/>
              <w:adjustRightInd w:val="0"/>
              <w:spacing w:line="360" w:lineRule="auto"/>
              <w:rPr>
                <w:rFonts w:ascii="Times New Roman" w:hAnsi="Times New Roman" w:cs="Times New Roman"/>
              </w:rPr>
            </w:pPr>
            <w:r w:rsidRPr="00570CEE">
              <w:rPr>
                <w:rFonts w:ascii="Times New Roman" w:hAnsi="Times New Roman" w:cs="Times New Roman"/>
              </w:rPr>
              <w:t>Développer des programmes distinctifs</w:t>
            </w:r>
          </w:p>
        </w:tc>
        <w:tc>
          <w:tcPr>
            <w:tcW w:w="6095" w:type="dxa"/>
          </w:tcPr>
          <w:p w:rsidR="00DA6813" w:rsidRDefault="00DA6813" w:rsidP="00540A65">
            <w:pPr>
              <w:pStyle w:val="Paragraphedeliste"/>
              <w:numPr>
                <w:ilvl w:val="0"/>
                <w:numId w:val="16"/>
              </w:numPr>
              <w:autoSpaceDE w:val="0"/>
              <w:autoSpaceDN w:val="0"/>
              <w:adjustRightInd w:val="0"/>
              <w:spacing w:line="276" w:lineRule="auto"/>
              <w:jc w:val="both"/>
              <w:cnfStyle w:val="000000010000"/>
              <w:rPr>
                <w:rFonts w:ascii="Times New Roman" w:hAnsi="Times New Roman" w:cs="Times New Roman"/>
                <w:sz w:val="20"/>
                <w:szCs w:val="20"/>
              </w:rPr>
            </w:pPr>
            <w:r>
              <w:rPr>
                <w:rFonts w:ascii="Times New Roman" w:hAnsi="Times New Roman" w:cs="Times New Roman"/>
                <w:sz w:val="20"/>
                <w:szCs w:val="20"/>
              </w:rPr>
              <w:t>Nombre de programmes distinctifs</w:t>
            </w:r>
          </w:p>
          <w:p w:rsidR="00DA6813" w:rsidRPr="000D751B" w:rsidRDefault="00DA6813" w:rsidP="00540A65">
            <w:pPr>
              <w:pStyle w:val="Paragraphedeliste"/>
              <w:numPr>
                <w:ilvl w:val="0"/>
                <w:numId w:val="16"/>
              </w:numPr>
              <w:autoSpaceDE w:val="0"/>
              <w:autoSpaceDN w:val="0"/>
              <w:adjustRightInd w:val="0"/>
              <w:spacing w:line="276" w:lineRule="auto"/>
              <w:jc w:val="both"/>
              <w:cnfStyle w:val="000000010000"/>
              <w:rPr>
                <w:rFonts w:ascii="Times New Roman" w:hAnsi="Times New Roman" w:cs="Times New Roman"/>
                <w:sz w:val="20"/>
                <w:szCs w:val="20"/>
              </w:rPr>
            </w:pPr>
            <w:r>
              <w:rPr>
                <w:rFonts w:ascii="Times New Roman" w:hAnsi="Times New Roman" w:cs="Times New Roman"/>
                <w:sz w:val="20"/>
                <w:szCs w:val="20"/>
              </w:rPr>
              <w:t>Nombre d’étudiants inscrits à des programmes distinctifs</w:t>
            </w:r>
          </w:p>
        </w:tc>
      </w:tr>
      <w:tr w:rsidR="00DA6813" w:rsidTr="00A83EA8">
        <w:trPr>
          <w:cnfStyle w:val="000000100000"/>
        </w:trPr>
        <w:tc>
          <w:tcPr>
            <w:cnfStyle w:val="001000000000"/>
            <w:tcW w:w="2802" w:type="dxa"/>
            <w:vAlign w:val="center"/>
          </w:tcPr>
          <w:p w:rsidR="00DA6813" w:rsidRPr="00570CEE" w:rsidRDefault="00DA6813" w:rsidP="00540A65">
            <w:pPr>
              <w:pStyle w:val="Paragraphedeliste"/>
              <w:numPr>
                <w:ilvl w:val="0"/>
                <w:numId w:val="21"/>
              </w:numPr>
              <w:autoSpaceDE w:val="0"/>
              <w:autoSpaceDN w:val="0"/>
              <w:adjustRightInd w:val="0"/>
              <w:spacing w:line="360" w:lineRule="auto"/>
              <w:rPr>
                <w:rFonts w:ascii="Times New Roman" w:hAnsi="Times New Roman" w:cs="Times New Roman"/>
              </w:rPr>
            </w:pPr>
            <w:r w:rsidRPr="00570CEE">
              <w:rPr>
                <w:rFonts w:ascii="Times New Roman" w:hAnsi="Times New Roman" w:cs="Times New Roman"/>
              </w:rPr>
              <w:t>Déployer nos activités internationales</w:t>
            </w:r>
          </w:p>
          <w:p w:rsidR="00DA6813" w:rsidRPr="00570CEE" w:rsidRDefault="00DA6813" w:rsidP="00A83EA8">
            <w:pPr>
              <w:autoSpaceDE w:val="0"/>
              <w:autoSpaceDN w:val="0"/>
              <w:adjustRightInd w:val="0"/>
              <w:spacing w:line="360" w:lineRule="auto"/>
              <w:rPr>
                <w:rFonts w:ascii="Times New Roman" w:hAnsi="Times New Roman" w:cs="Times New Roman"/>
              </w:rPr>
            </w:pPr>
          </w:p>
        </w:tc>
        <w:tc>
          <w:tcPr>
            <w:tcW w:w="6095" w:type="dxa"/>
          </w:tcPr>
          <w:p w:rsidR="00DA6813" w:rsidRDefault="00DA6813" w:rsidP="00540A65">
            <w:pPr>
              <w:pStyle w:val="Paragraphedeliste"/>
              <w:numPr>
                <w:ilvl w:val="0"/>
                <w:numId w:val="17"/>
              </w:numPr>
              <w:autoSpaceDE w:val="0"/>
              <w:autoSpaceDN w:val="0"/>
              <w:adjustRightInd w:val="0"/>
              <w:spacing w:line="276" w:lineRule="auto"/>
              <w:jc w:val="both"/>
              <w:cnfStyle w:val="000000100000"/>
              <w:rPr>
                <w:rFonts w:ascii="Times New Roman" w:hAnsi="Times New Roman" w:cs="Times New Roman"/>
                <w:sz w:val="20"/>
                <w:szCs w:val="20"/>
              </w:rPr>
            </w:pPr>
            <w:r>
              <w:rPr>
                <w:rFonts w:ascii="Times New Roman" w:hAnsi="Times New Roman" w:cs="Times New Roman"/>
                <w:sz w:val="20"/>
                <w:szCs w:val="20"/>
              </w:rPr>
              <w:t>Nombre d’étudiants étrangers inscrits</w:t>
            </w:r>
          </w:p>
          <w:p w:rsidR="00DA6813" w:rsidRDefault="00DA6813" w:rsidP="00540A65">
            <w:pPr>
              <w:pStyle w:val="Paragraphedeliste"/>
              <w:numPr>
                <w:ilvl w:val="0"/>
                <w:numId w:val="17"/>
              </w:numPr>
              <w:autoSpaceDE w:val="0"/>
              <w:autoSpaceDN w:val="0"/>
              <w:adjustRightInd w:val="0"/>
              <w:spacing w:line="276" w:lineRule="auto"/>
              <w:jc w:val="both"/>
              <w:cnfStyle w:val="000000100000"/>
              <w:rPr>
                <w:rFonts w:ascii="Times New Roman" w:hAnsi="Times New Roman" w:cs="Times New Roman"/>
                <w:sz w:val="20"/>
                <w:szCs w:val="20"/>
              </w:rPr>
            </w:pPr>
            <w:r>
              <w:rPr>
                <w:rFonts w:ascii="Times New Roman" w:hAnsi="Times New Roman" w:cs="Times New Roman"/>
                <w:sz w:val="20"/>
                <w:szCs w:val="20"/>
              </w:rPr>
              <w:t>Nombre d’étudiants et de professeurs en mobilité</w:t>
            </w:r>
          </w:p>
          <w:p w:rsidR="00DA6813" w:rsidRPr="000D751B" w:rsidRDefault="00DA6813" w:rsidP="00540A65">
            <w:pPr>
              <w:pStyle w:val="Paragraphedeliste"/>
              <w:numPr>
                <w:ilvl w:val="0"/>
                <w:numId w:val="17"/>
              </w:numPr>
              <w:autoSpaceDE w:val="0"/>
              <w:autoSpaceDN w:val="0"/>
              <w:adjustRightInd w:val="0"/>
              <w:spacing w:line="276" w:lineRule="auto"/>
              <w:jc w:val="both"/>
              <w:cnfStyle w:val="000000100000"/>
              <w:rPr>
                <w:rFonts w:ascii="Times New Roman" w:hAnsi="Times New Roman" w:cs="Times New Roman"/>
                <w:sz w:val="20"/>
                <w:szCs w:val="20"/>
              </w:rPr>
            </w:pPr>
            <w:r>
              <w:rPr>
                <w:rFonts w:ascii="Times New Roman" w:hAnsi="Times New Roman" w:cs="Times New Roman"/>
                <w:sz w:val="20"/>
                <w:szCs w:val="20"/>
              </w:rPr>
              <w:t>Nombre d’accords pour des projets de coopération internationale et des partenariats internationaux</w:t>
            </w:r>
          </w:p>
        </w:tc>
      </w:tr>
    </w:tbl>
    <w:p w:rsidR="00DA6813" w:rsidRDefault="00DA6813" w:rsidP="00DA6813">
      <w:pPr>
        <w:autoSpaceDE w:val="0"/>
        <w:autoSpaceDN w:val="0"/>
        <w:adjustRightInd w:val="0"/>
        <w:spacing w:after="0" w:line="360" w:lineRule="auto"/>
        <w:jc w:val="both"/>
        <w:rPr>
          <w:rFonts w:ascii="Times New Roman" w:hAnsi="Times New Roman" w:cs="Times New Roman"/>
          <w:sz w:val="24"/>
          <w:szCs w:val="24"/>
        </w:rPr>
        <w:sectPr w:rsidR="00DA6813" w:rsidSect="00A83EA8">
          <w:pgSz w:w="12240" w:h="15840"/>
          <w:pgMar w:top="1440" w:right="1800" w:bottom="1440" w:left="1800" w:header="708" w:footer="708" w:gutter="0"/>
          <w:cols w:space="708"/>
          <w:docGrid w:linePitch="360"/>
        </w:sectPr>
      </w:pPr>
    </w:p>
    <w:p w:rsidR="00DA6813" w:rsidRPr="00333C82" w:rsidRDefault="00DA6813" w:rsidP="00DA6813">
      <w:pPr>
        <w:autoSpaceDE w:val="0"/>
        <w:autoSpaceDN w:val="0"/>
        <w:adjustRightInd w:val="0"/>
        <w:spacing w:after="0" w:line="360" w:lineRule="auto"/>
        <w:jc w:val="both"/>
        <w:rPr>
          <w:rFonts w:ascii="Times New Roman" w:hAnsi="Times New Roman" w:cs="Times New Roman"/>
          <w:sz w:val="24"/>
          <w:szCs w:val="24"/>
        </w:rPr>
      </w:pPr>
    </w:p>
    <w:tbl>
      <w:tblPr>
        <w:tblStyle w:val="Grilleclaire-Accent3"/>
        <w:tblW w:w="8897" w:type="dxa"/>
        <w:tblLook w:val="04A0"/>
      </w:tblPr>
      <w:tblGrid>
        <w:gridCol w:w="2802"/>
        <w:gridCol w:w="6095"/>
      </w:tblGrid>
      <w:tr w:rsidR="00DA6813" w:rsidTr="00BD3BDE">
        <w:trPr>
          <w:cnfStyle w:val="100000000000"/>
        </w:trPr>
        <w:tc>
          <w:tcPr>
            <w:cnfStyle w:val="001000000000"/>
            <w:tcW w:w="8897" w:type="dxa"/>
            <w:gridSpan w:val="2"/>
            <w:shd w:val="clear" w:color="auto" w:fill="00703C"/>
            <w:vAlign w:val="center"/>
          </w:tcPr>
          <w:p w:rsidR="00DA6813" w:rsidRPr="00BD3BDE" w:rsidRDefault="00DA6813" w:rsidP="00A83EA8">
            <w:pPr>
              <w:autoSpaceDE w:val="0"/>
              <w:autoSpaceDN w:val="0"/>
              <w:adjustRightInd w:val="0"/>
              <w:spacing w:line="360" w:lineRule="auto"/>
              <w:jc w:val="center"/>
              <w:rPr>
                <w:rFonts w:ascii="Times New Roman" w:hAnsi="Times New Roman" w:cs="Times New Roman"/>
                <w:color w:val="FFFFFF" w:themeColor="background1"/>
                <w:sz w:val="24"/>
                <w:szCs w:val="24"/>
              </w:rPr>
            </w:pPr>
            <w:r w:rsidRPr="00BD3BDE">
              <w:rPr>
                <w:rFonts w:ascii="Times New Roman" w:hAnsi="Times New Roman" w:cs="Times New Roman"/>
                <w:color w:val="FFFFFF" w:themeColor="background1"/>
                <w:sz w:val="24"/>
                <w:szCs w:val="24"/>
              </w:rPr>
              <w:t>DÉCOUVRIR</w:t>
            </w:r>
          </w:p>
        </w:tc>
      </w:tr>
      <w:tr w:rsidR="00DA6813" w:rsidTr="00A83EA8">
        <w:trPr>
          <w:cnfStyle w:val="000000100000"/>
        </w:trPr>
        <w:tc>
          <w:tcPr>
            <w:cnfStyle w:val="001000000000"/>
            <w:tcW w:w="2802" w:type="dxa"/>
          </w:tcPr>
          <w:p w:rsidR="00DA6813" w:rsidRPr="00570CEE" w:rsidRDefault="00DA6813" w:rsidP="00A83EA8">
            <w:pPr>
              <w:autoSpaceDE w:val="0"/>
              <w:autoSpaceDN w:val="0"/>
              <w:adjustRightInd w:val="0"/>
              <w:spacing w:line="360" w:lineRule="auto"/>
              <w:jc w:val="both"/>
              <w:rPr>
                <w:rFonts w:ascii="Times New Roman" w:hAnsi="Times New Roman" w:cs="Times New Roman"/>
                <w:sz w:val="24"/>
                <w:szCs w:val="24"/>
              </w:rPr>
            </w:pPr>
            <w:r w:rsidRPr="00570CEE">
              <w:rPr>
                <w:rFonts w:ascii="Times New Roman" w:hAnsi="Times New Roman" w:cs="Times New Roman"/>
                <w:sz w:val="24"/>
                <w:szCs w:val="24"/>
              </w:rPr>
              <w:t>Objectifs</w:t>
            </w:r>
          </w:p>
        </w:tc>
        <w:tc>
          <w:tcPr>
            <w:tcW w:w="6095" w:type="dxa"/>
          </w:tcPr>
          <w:p w:rsidR="00DA6813" w:rsidRPr="00570CEE" w:rsidRDefault="00DA6813" w:rsidP="00A83EA8">
            <w:pPr>
              <w:autoSpaceDE w:val="0"/>
              <w:autoSpaceDN w:val="0"/>
              <w:adjustRightInd w:val="0"/>
              <w:spacing w:line="360" w:lineRule="auto"/>
              <w:jc w:val="both"/>
              <w:cnfStyle w:val="000000100000"/>
              <w:rPr>
                <w:rFonts w:ascii="Times New Roman" w:hAnsi="Times New Roman" w:cs="Times New Roman"/>
                <w:b/>
                <w:sz w:val="24"/>
                <w:szCs w:val="24"/>
              </w:rPr>
            </w:pPr>
            <w:r w:rsidRPr="00570CEE">
              <w:rPr>
                <w:rFonts w:ascii="Times New Roman" w:hAnsi="Times New Roman" w:cs="Times New Roman"/>
                <w:b/>
                <w:sz w:val="24"/>
                <w:szCs w:val="24"/>
              </w:rPr>
              <w:t>Indicateurs</w:t>
            </w:r>
          </w:p>
        </w:tc>
      </w:tr>
      <w:tr w:rsidR="00DA6813" w:rsidTr="00A83EA8">
        <w:trPr>
          <w:cnfStyle w:val="000000010000"/>
        </w:trPr>
        <w:tc>
          <w:tcPr>
            <w:cnfStyle w:val="001000000000"/>
            <w:tcW w:w="2802" w:type="dxa"/>
            <w:vAlign w:val="center"/>
          </w:tcPr>
          <w:p w:rsidR="00DA6813" w:rsidRPr="00570CEE" w:rsidRDefault="00DA6813" w:rsidP="00540A65">
            <w:pPr>
              <w:pStyle w:val="Paragraphedeliste"/>
              <w:numPr>
                <w:ilvl w:val="0"/>
                <w:numId w:val="18"/>
              </w:numPr>
              <w:autoSpaceDE w:val="0"/>
              <w:autoSpaceDN w:val="0"/>
              <w:adjustRightInd w:val="0"/>
              <w:spacing w:line="360" w:lineRule="auto"/>
              <w:rPr>
                <w:rFonts w:ascii="Times New Roman" w:hAnsi="Times New Roman" w:cs="Times New Roman"/>
              </w:rPr>
            </w:pPr>
            <w:r>
              <w:rPr>
                <w:rFonts w:ascii="Times New Roman" w:hAnsi="Times New Roman" w:cs="Times New Roman"/>
              </w:rPr>
              <w:t>Structurer et dynamiser l’effort de recherche</w:t>
            </w:r>
          </w:p>
          <w:p w:rsidR="00DA6813" w:rsidRPr="00570CEE" w:rsidRDefault="00DA6813" w:rsidP="00A83EA8">
            <w:pPr>
              <w:pStyle w:val="Paragraphedeliste"/>
              <w:autoSpaceDE w:val="0"/>
              <w:autoSpaceDN w:val="0"/>
              <w:adjustRightInd w:val="0"/>
              <w:spacing w:line="360" w:lineRule="auto"/>
              <w:ind w:left="360"/>
              <w:rPr>
                <w:rFonts w:ascii="Times New Roman" w:hAnsi="Times New Roman" w:cs="Times New Roman"/>
              </w:rPr>
            </w:pPr>
          </w:p>
        </w:tc>
        <w:tc>
          <w:tcPr>
            <w:tcW w:w="6095" w:type="dxa"/>
          </w:tcPr>
          <w:p w:rsidR="00DA6813" w:rsidRPr="00570CEE" w:rsidRDefault="00DA6813" w:rsidP="00540A65">
            <w:pPr>
              <w:pStyle w:val="Paragraphedeliste"/>
              <w:numPr>
                <w:ilvl w:val="0"/>
                <w:numId w:val="14"/>
              </w:numPr>
              <w:autoSpaceDE w:val="0"/>
              <w:autoSpaceDN w:val="0"/>
              <w:adjustRightInd w:val="0"/>
              <w:spacing w:line="276" w:lineRule="auto"/>
              <w:cnfStyle w:val="000000010000"/>
              <w:rPr>
                <w:rFonts w:ascii="Times New Roman" w:hAnsi="Times New Roman" w:cs="Times New Roman"/>
                <w:sz w:val="20"/>
                <w:szCs w:val="20"/>
              </w:rPr>
            </w:pPr>
            <w:r>
              <w:rPr>
                <w:rFonts w:ascii="Times New Roman" w:hAnsi="Times New Roman" w:cs="Times New Roman"/>
                <w:sz w:val="20"/>
                <w:szCs w:val="20"/>
              </w:rPr>
              <w:t>Nombre d’unités de recherche accréditées à l’interne</w:t>
            </w:r>
          </w:p>
          <w:p w:rsidR="00DA6813" w:rsidRDefault="00DA6813" w:rsidP="00540A65">
            <w:pPr>
              <w:pStyle w:val="Paragraphedeliste"/>
              <w:numPr>
                <w:ilvl w:val="0"/>
                <w:numId w:val="14"/>
              </w:numPr>
              <w:autoSpaceDE w:val="0"/>
              <w:autoSpaceDN w:val="0"/>
              <w:adjustRightInd w:val="0"/>
              <w:spacing w:line="276" w:lineRule="auto"/>
              <w:cnfStyle w:val="000000010000"/>
              <w:rPr>
                <w:rFonts w:ascii="Times New Roman" w:hAnsi="Times New Roman" w:cs="Times New Roman"/>
                <w:sz w:val="20"/>
                <w:szCs w:val="20"/>
              </w:rPr>
            </w:pPr>
            <w:r>
              <w:rPr>
                <w:rFonts w:ascii="Times New Roman" w:hAnsi="Times New Roman" w:cs="Times New Roman"/>
                <w:sz w:val="20"/>
                <w:szCs w:val="20"/>
              </w:rPr>
              <w:t>Montant d’argent alloué à l’ensemble des unités de recherche accréditées à l’interne</w:t>
            </w:r>
          </w:p>
          <w:p w:rsidR="00DA6813" w:rsidRPr="009D6AC1" w:rsidRDefault="00DA6813" w:rsidP="00540A65">
            <w:pPr>
              <w:pStyle w:val="Paragraphedeliste"/>
              <w:numPr>
                <w:ilvl w:val="0"/>
                <w:numId w:val="14"/>
              </w:numPr>
              <w:autoSpaceDE w:val="0"/>
              <w:autoSpaceDN w:val="0"/>
              <w:adjustRightInd w:val="0"/>
              <w:spacing w:line="276" w:lineRule="auto"/>
              <w:cnfStyle w:val="000000010000"/>
              <w:rPr>
                <w:rFonts w:ascii="Times New Roman" w:hAnsi="Times New Roman" w:cs="Times New Roman"/>
                <w:sz w:val="20"/>
                <w:szCs w:val="20"/>
              </w:rPr>
            </w:pPr>
            <w:r>
              <w:rPr>
                <w:rFonts w:ascii="Times New Roman" w:hAnsi="Times New Roman" w:cs="Times New Roman"/>
                <w:sz w:val="20"/>
                <w:szCs w:val="20"/>
              </w:rPr>
              <w:t xml:space="preserve">Montant d’octrois de recherche obtenus à l’externe </w:t>
            </w:r>
            <w:proofErr w:type="gramStart"/>
            <w:r>
              <w:rPr>
                <w:rFonts w:ascii="Times New Roman" w:hAnsi="Times New Roman" w:cs="Times New Roman"/>
                <w:sz w:val="20"/>
                <w:szCs w:val="20"/>
              </w:rPr>
              <w:t>comparé</w:t>
            </w:r>
            <w:proofErr w:type="gramEnd"/>
            <w:r>
              <w:rPr>
                <w:rFonts w:ascii="Times New Roman" w:hAnsi="Times New Roman" w:cs="Times New Roman"/>
                <w:sz w:val="20"/>
                <w:szCs w:val="20"/>
              </w:rPr>
              <w:t xml:space="preserve"> au montant de soutien financier interne pour la recherche</w:t>
            </w:r>
          </w:p>
        </w:tc>
      </w:tr>
      <w:tr w:rsidR="00DA6813" w:rsidTr="00A83EA8">
        <w:trPr>
          <w:cnfStyle w:val="000000100000"/>
        </w:trPr>
        <w:tc>
          <w:tcPr>
            <w:cnfStyle w:val="001000000000"/>
            <w:tcW w:w="2802" w:type="dxa"/>
            <w:vAlign w:val="center"/>
          </w:tcPr>
          <w:p w:rsidR="00DA6813" w:rsidRPr="00B362A9" w:rsidRDefault="00DA6813" w:rsidP="00540A65">
            <w:pPr>
              <w:pStyle w:val="Paragraphedeliste"/>
              <w:numPr>
                <w:ilvl w:val="0"/>
                <w:numId w:val="18"/>
              </w:numPr>
              <w:autoSpaceDE w:val="0"/>
              <w:autoSpaceDN w:val="0"/>
              <w:adjustRightInd w:val="0"/>
              <w:spacing w:line="360" w:lineRule="auto"/>
              <w:rPr>
                <w:rFonts w:ascii="Times New Roman" w:hAnsi="Times New Roman" w:cs="Times New Roman"/>
              </w:rPr>
            </w:pPr>
            <w:r w:rsidRPr="00B362A9">
              <w:rPr>
                <w:rFonts w:ascii="Times New Roman" w:hAnsi="Times New Roman" w:cs="Times New Roman"/>
              </w:rPr>
              <w:t>Stimuler l’innovation et l’émergence de la recherche</w:t>
            </w:r>
          </w:p>
          <w:p w:rsidR="00DA6813" w:rsidRPr="00570CEE" w:rsidRDefault="00DA6813" w:rsidP="00A83EA8">
            <w:pPr>
              <w:autoSpaceDE w:val="0"/>
              <w:autoSpaceDN w:val="0"/>
              <w:adjustRightInd w:val="0"/>
              <w:spacing w:line="360" w:lineRule="auto"/>
              <w:rPr>
                <w:rFonts w:ascii="Times New Roman" w:hAnsi="Times New Roman" w:cs="Times New Roman"/>
              </w:rPr>
            </w:pPr>
          </w:p>
        </w:tc>
        <w:tc>
          <w:tcPr>
            <w:tcW w:w="6095" w:type="dxa"/>
          </w:tcPr>
          <w:p w:rsidR="00DA6813" w:rsidRDefault="00DA6813" w:rsidP="00540A65">
            <w:pPr>
              <w:pStyle w:val="Paragraphedeliste"/>
              <w:numPr>
                <w:ilvl w:val="0"/>
                <w:numId w:val="14"/>
              </w:numPr>
              <w:tabs>
                <w:tab w:val="left" w:pos="1205"/>
              </w:tabs>
              <w:autoSpaceDE w:val="0"/>
              <w:autoSpaceDN w:val="0"/>
              <w:adjustRightInd w:val="0"/>
              <w:spacing w:line="276" w:lineRule="auto"/>
              <w:cnfStyle w:val="000000100000"/>
              <w:rPr>
                <w:rFonts w:ascii="Times New Roman" w:hAnsi="Times New Roman" w:cs="Times New Roman"/>
                <w:sz w:val="20"/>
                <w:szCs w:val="20"/>
              </w:rPr>
            </w:pPr>
            <w:r>
              <w:rPr>
                <w:rFonts w:ascii="Times New Roman" w:hAnsi="Times New Roman" w:cs="Times New Roman"/>
                <w:sz w:val="20"/>
                <w:szCs w:val="20"/>
              </w:rPr>
              <w:t>Nombre de nouveaux professeurs recevant un soutien financier interne pour la recherche</w:t>
            </w:r>
          </w:p>
          <w:p w:rsidR="00DA6813" w:rsidRPr="009D6AC1" w:rsidRDefault="00DA6813" w:rsidP="00540A65">
            <w:pPr>
              <w:pStyle w:val="Paragraphedeliste"/>
              <w:numPr>
                <w:ilvl w:val="0"/>
                <w:numId w:val="14"/>
              </w:numPr>
              <w:tabs>
                <w:tab w:val="left" w:pos="1205"/>
              </w:tabs>
              <w:autoSpaceDE w:val="0"/>
              <w:autoSpaceDN w:val="0"/>
              <w:adjustRightInd w:val="0"/>
              <w:spacing w:line="276" w:lineRule="auto"/>
              <w:cnfStyle w:val="000000100000"/>
              <w:rPr>
                <w:rFonts w:ascii="Times New Roman" w:hAnsi="Times New Roman" w:cs="Times New Roman"/>
                <w:sz w:val="20"/>
                <w:szCs w:val="20"/>
              </w:rPr>
            </w:pPr>
            <w:r>
              <w:rPr>
                <w:rFonts w:ascii="Times New Roman" w:hAnsi="Times New Roman" w:cs="Times New Roman"/>
                <w:sz w:val="20"/>
                <w:szCs w:val="20"/>
              </w:rPr>
              <w:t>Nombre de nouveaux professeurs recevant un soutien financier externe pour la recherche et montant des subventions</w:t>
            </w:r>
          </w:p>
        </w:tc>
      </w:tr>
      <w:tr w:rsidR="00DA6813" w:rsidTr="00A83EA8">
        <w:trPr>
          <w:cnfStyle w:val="000000010000"/>
        </w:trPr>
        <w:tc>
          <w:tcPr>
            <w:cnfStyle w:val="001000000000"/>
            <w:tcW w:w="2802" w:type="dxa"/>
            <w:vAlign w:val="center"/>
          </w:tcPr>
          <w:p w:rsidR="00DA6813" w:rsidRPr="00570CEE" w:rsidRDefault="00DA6813" w:rsidP="00540A65">
            <w:pPr>
              <w:pStyle w:val="Paragraphedeliste"/>
              <w:numPr>
                <w:ilvl w:val="0"/>
                <w:numId w:val="18"/>
              </w:numPr>
              <w:autoSpaceDE w:val="0"/>
              <w:autoSpaceDN w:val="0"/>
              <w:adjustRightInd w:val="0"/>
              <w:spacing w:line="360" w:lineRule="auto"/>
              <w:rPr>
                <w:rFonts w:ascii="Times New Roman" w:hAnsi="Times New Roman" w:cs="Times New Roman"/>
              </w:rPr>
            </w:pPr>
            <w:r>
              <w:rPr>
                <w:rFonts w:ascii="Times New Roman" w:hAnsi="Times New Roman" w:cs="Times New Roman"/>
              </w:rPr>
              <w:t>Former les chercheurs de demain</w:t>
            </w:r>
          </w:p>
          <w:p w:rsidR="00DA6813" w:rsidRPr="00570CEE" w:rsidRDefault="00DA6813" w:rsidP="00A83EA8">
            <w:pPr>
              <w:autoSpaceDE w:val="0"/>
              <w:autoSpaceDN w:val="0"/>
              <w:adjustRightInd w:val="0"/>
              <w:spacing w:line="360" w:lineRule="auto"/>
              <w:rPr>
                <w:rFonts w:ascii="Times New Roman" w:hAnsi="Times New Roman" w:cs="Times New Roman"/>
              </w:rPr>
            </w:pPr>
          </w:p>
        </w:tc>
        <w:tc>
          <w:tcPr>
            <w:tcW w:w="6095" w:type="dxa"/>
          </w:tcPr>
          <w:p w:rsidR="00DA6813" w:rsidRDefault="00DA6813" w:rsidP="00540A65">
            <w:pPr>
              <w:pStyle w:val="Paragraphedeliste"/>
              <w:numPr>
                <w:ilvl w:val="0"/>
                <w:numId w:val="14"/>
              </w:numPr>
              <w:autoSpaceDE w:val="0"/>
              <w:autoSpaceDN w:val="0"/>
              <w:adjustRightInd w:val="0"/>
              <w:spacing w:line="276" w:lineRule="auto"/>
              <w:jc w:val="both"/>
              <w:cnfStyle w:val="000000010000"/>
              <w:rPr>
                <w:rFonts w:ascii="Times New Roman" w:hAnsi="Times New Roman" w:cs="Times New Roman"/>
                <w:sz w:val="20"/>
                <w:szCs w:val="20"/>
              </w:rPr>
            </w:pPr>
            <w:r>
              <w:rPr>
                <w:rFonts w:ascii="Times New Roman" w:hAnsi="Times New Roman" w:cs="Times New Roman"/>
                <w:sz w:val="20"/>
                <w:szCs w:val="20"/>
              </w:rPr>
              <w:t>Nombre total des étudiants aux cycles supérieurs par année</w:t>
            </w:r>
          </w:p>
          <w:p w:rsidR="00DA6813" w:rsidRDefault="00DA6813" w:rsidP="00540A65">
            <w:pPr>
              <w:pStyle w:val="Paragraphedeliste"/>
              <w:numPr>
                <w:ilvl w:val="0"/>
                <w:numId w:val="14"/>
              </w:numPr>
              <w:autoSpaceDE w:val="0"/>
              <w:autoSpaceDN w:val="0"/>
              <w:adjustRightInd w:val="0"/>
              <w:spacing w:line="276" w:lineRule="auto"/>
              <w:jc w:val="both"/>
              <w:cnfStyle w:val="000000010000"/>
              <w:rPr>
                <w:rFonts w:ascii="Times New Roman" w:hAnsi="Times New Roman" w:cs="Times New Roman"/>
                <w:sz w:val="20"/>
                <w:szCs w:val="20"/>
              </w:rPr>
            </w:pPr>
            <w:r>
              <w:rPr>
                <w:rFonts w:ascii="Times New Roman" w:hAnsi="Times New Roman" w:cs="Times New Roman"/>
                <w:sz w:val="20"/>
                <w:szCs w:val="20"/>
              </w:rPr>
              <w:t>Taux d’étudiants de premier cycle de l’UQTR passant aux cycles supérieurs à l’UQTR</w:t>
            </w:r>
          </w:p>
          <w:p w:rsidR="00DA6813" w:rsidRDefault="00DA6813" w:rsidP="00540A65">
            <w:pPr>
              <w:pStyle w:val="Paragraphedeliste"/>
              <w:numPr>
                <w:ilvl w:val="0"/>
                <w:numId w:val="14"/>
              </w:numPr>
              <w:autoSpaceDE w:val="0"/>
              <w:autoSpaceDN w:val="0"/>
              <w:adjustRightInd w:val="0"/>
              <w:spacing w:line="276" w:lineRule="auto"/>
              <w:jc w:val="both"/>
              <w:cnfStyle w:val="000000010000"/>
              <w:rPr>
                <w:rFonts w:ascii="Times New Roman" w:hAnsi="Times New Roman" w:cs="Times New Roman"/>
                <w:sz w:val="20"/>
                <w:szCs w:val="20"/>
              </w:rPr>
            </w:pPr>
            <w:r>
              <w:rPr>
                <w:rFonts w:ascii="Times New Roman" w:hAnsi="Times New Roman" w:cs="Times New Roman"/>
                <w:sz w:val="20"/>
                <w:szCs w:val="20"/>
              </w:rPr>
              <w:t>Taux d’étudiants aux cycles supérieurs en provenance des autres universités</w:t>
            </w:r>
          </w:p>
          <w:p w:rsidR="00DA6813" w:rsidRDefault="00DA6813" w:rsidP="00540A65">
            <w:pPr>
              <w:pStyle w:val="Paragraphedeliste"/>
              <w:numPr>
                <w:ilvl w:val="0"/>
                <w:numId w:val="14"/>
              </w:numPr>
              <w:autoSpaceDE w:val="0"/>
              <w:autoSpaceDN w:val="0"/>
              <w:adjustRightInd w:val="0"/>
              <w:spacing w:line="276" w:lineRule="auto"/>
              <w:jc w:val="both"/>
              <w:cnfStyle w:val="000000010000"/>
              <w:rPr>
                <w:rFonts w:ascii="Times New Roman" w:hAnsi="Times New Roman" w:cs="Times New Roman"/>
                <w:sz w:val="20"/>
                <w:szCs w:val="20"/>
              </w:rPr>
            </w:pPr>
            <w:r>
              <w:rPr>
                <w:rFonts w:ascii="Times New Roman" w:hAnsi="Times New Roman" w:cs="Times New Roman"/>
                <w:sz w:val="20"/>
                <w:szCs w:val="20"/>
              </w:rPr>
              <w:t xml:space="preserve">Taux de </w:t>
            </w:r>
            <w:proofErr w:type="spellStart"/>
            <w:r>
              <w:rPr>
                <w:rFonts w:ascii="Times New Roman" w:hAnsi="Times New Roman" w:cs="Times New Roman"/>
                <w:sz w:val="20"/>
                <w:szCs w:val="20"/>
              </w:rPr>
              <w:t>diplomation</w:t>
            </w:r>
            <w:proofErr w:type="spellEnd"/>
            <w:r>
              <w:rPr>
                <w:rFonts w:ascii="Times New Roman" w:hAnsi="Times New Roman" w:cs="Times New Roman"/>
                <w:sz w:val="20"/>
                <w:szCs w:val="20"/>
              </w:rPr>
              <w:t xml:space="preserve"> aux études de cycles supérieurs</w:t>
            </w:r>
          </w:p>
          <w:p w:rsidR="00DA6813" w:rsidRPr="00330CA6" w:rsidRDefault="00DA6813" w:rsidP="00540A65">
            <w:pPr>
              <w:pStyle w:val="Paragraphedeliste"/>
              <w:numPr>
                <w:ilvl w:val="0"/>
                <w:numId w:val="14"/>
              </w:numPr>
              <w:autoSpaceDE w:val="0"/>
              <w:autoSpaceDN w:val="0"/>
              <w:adjustRightInd w:val="0"/>
              <w:spacing w:line="276" w:lineRule="auto"/>
              <w:jc w:val="both"/>
              <w:cnfStyle w:val="000000010000"/>
              <w:rPr>
                <w:rFonts w:ascii="Times New Roman" w:hAnsi="Times New Roman" w:cs="Times New Roman"/>
                <w:sz w:val="20"/>
                <w:szCs w:val="20"/>
              </w:rPr>
            </w:pPr>
            <w:r>
              <w:rPr>
                <w:rFonts w:ascii="Times New Roman" w:hAnsi="Times New Roman" w:cs="Times New Roman"/>
                <w:sz w:val="20"/>
                <w:szCs w:val="20"/>
              </w:rPr>
              <w:t>Montant du soutien financier accordé aux étudiants de cycles supérieurs</w:t>
            </w:r>
          </w:p>
        </w:tc>
      </w:tr>
      <w:tr w:rsidR="00DA6813" w:rsidTr="00A83EA8">
        <w:trPr>
          <w:cnfStyle w:val="000000100000"/>
        </w:trPr>
        <w:tc>
          <w:tcPr>
            <w:cnfStyle w:val="001000000000"/>
            <w:tcW w:w="2802" w:type="dxa"/>
            <w:vAlign w:val="center"/>
          </w:tcPr>
          <w:p w:rsidR="00DA6813" w:rsidRPr="00570CEE" w:rsidRDefault="00DA6813" w:rsidP="00540A65">
            <w:pPr>
              <w:pStyle w:val="Paragraphedeliste"/>
              <w:numPr>
                <w:ilvl w:val="0"/>
                <w:numId w:val="18"/>
              </w:numPr>
              <w:autoSpaceDE w:val="0"/>
              <w:autoSpaceDN w:val="0"/>
              <w:adjustRightInd w:val="0"/>
              <w:spacing w:line="360" w:lineRule="auto"/>
              <w:rPr>
                <w:rFonts w:ascii="Times New Roman" w:hAnsi="Times New Roman" w:cs="Times New Roman"/>
              </w:rPr>
            </w:pPr>
            <w:r>
              <w:rPr>
                <w:rFonts w:ascii="Times New Roman" w:hAnsi="Times New Roman" w:cs="Times New Roman"/>
              </w:rPr>
              <w:t>Accroître le rayonnement de notre activité scientifique</w:t>
            </w:r>
          </w:p>
          <w:p w:rsidR="00DA6813" w:rsidRPr="00570CEE" w:rsidRDefault="00DA6813" w:rsidP="00A83EA8">
            <w:pPr>
              <w:autoSpaceDE w:val="0"/>
              <w:autoSpaceDN w:val="0"/>
              <w:adjustRightInd w:val="0"/>
              <w:spacing w:line="360" w:lineRule="auto"/>
              <w:rPr>
                <w:rFonts w:ascii="Times New Roman" w:hAnsi="Times New Roman" w:cs="Times New Roman"/>
              </w:rPr>
            </w:pPr>
          </w:p>
        </w:tc>
        <w:tc>
          <w:tcPr>
            <w:tcW w:w="6095" w:type="dxa"/>
          </w:tcPr>
          <w:p w:rsidR="00DA6813" w:rsidRDefault="00DA6813" w:rsidP="00540A65">
            <w:pPr>
              <w:pStyle w:val="Paragraphedeliste"/>
              <w:numPr>
                <w:ilvl w:val="0"/>
                <w:numId w:val="15"/>
              </w:numPr>
              <w:autoSpaceDE w:val="0"/>
              <w:autoSpaceDN w:val="0"/>
              <w:adjustRightInd w:val="0"/>
              <w:spacing w:line="276" w:lineRule="auto"/>
              <w:jc w:val="both"/>
              <w:cnfStyle w:val="000000100000"/>
              <w:rPr>
                <w:rFonts w:ascii="Times New Roman" w:hAnsi="Times New Roman" w:cs="Times New Roman"/>
                <w:sz w:val="20"/>
                <w:szCs w:val="20"/>
              </w:rPr>
            </w:pPr>
            <w:r>
              <w:rPr>
                <w:rFonts w:ascii="Times New Roman" w:hAnsi="Times New Roman" w:cs="Times New Roman"/>
                <w:sz w:val="20"/>
                <w:szCs w:val="20"/>
              </w:rPr>
              <w:t>Nombre de publications scientifiques et artistiques par catégories</w:t>
            </w:r>
          </w:p>
          <w:p w:rsidR="00DA6813" w:rsidRDefault="00DA6813" w:rsidP="00540A65">
            <w:pPr>
              <w:pStyle w:val="Paragraphedeliste"/>
              <w:numPr>
                <w:ilvl w:val="0"/>
                <w:numId w:val="15"/>
              </w:numPr>
              <w:autoSpaceDE w:val="0"/>
              <w:autoSpaceDN w:val="0"/>
              <w:adjustRightInd w:val="0"/>
              <w:spacing w:line="276" w:lineRule="auto"/>
              <w:jc w:val="both"/>
              <w:cnfStyle w:val="000000100000"/>
              <w:rPr>
                <w:rFonts w:ascii="Times New Roman" w:hAnsi="Times New Roman" w:cs="Times New Roman"/>
                <w:sz w:val="20"/>
                <w:szCs w:val="20"/>
              </w:rPr>
            </w:pPr>
            <w:r>
              <w:rPr>
                <w:rFonts w:ascii="Times New Roman" w:hAnsi="Times New Roman" w:cs="Times New Roman"/>
                <w:sz w:val="20"/>
                <w:szCs w:val="20"/>
              </w:rPr>
              <w:t>Nombre de diffusions dans les journaux, revues et médias électroniques</w:t>
            </w:r>
          </w:p>
          <w:p w:rsidR="00DA6813" w:rsidRDefault="00DA6813" w:rsidP="00540A65">
            <w:pPr>
              <w:pStyle w:val="Paragraphedeliste"/>
              <w:numPr>
                <w:ilvl w:val="0"/>
                <w:numId w:val="15"/>
              </w:numPr>
              <w:autoSpaceDE w:val="0"/>
              <w:autoSpaceDN w:val="0"/>
              <w:adjustRightInd w:val="0"/>
              <w:spacing w:line="276" w:lineRule="auto"/>
              <w:jc w:val="both"/>
              <w:cnfStyle w:val="000000100000"/>
              <w:rPr>
                <w:rFonts w:ascii="Times New Roman" w:hAnsi="Times New Roman" w:cs="Times New Roman"/>
                <w:sz w:val="20"/>
                <w:szCs w:val="20"/>
              </w:rPr>
            </w:pPr>
            <w:r>
              <w:rPr>
                <w:rFonts w:ascii="Times New Roman" w:hAnsi="Times New Roman" w:cs="Times New Roman"/>
                <w:sz w:val="20"/>
                <w:szCs w:val="20"/>
              </w:rPr>
              <w:t>Nombre de chercheurs ayant obtenu une distinction académique hors de l’Université</w:t>
            </w:r>
          </w:p>
          <w:p w:rsidR="00DA6813" w:rsidRPr="000A4C59" w:rsidRDefault="00DA6813" w:rsidP="00540A65">
            <w:pPr>
              <w:pStyle w:val="Paragraphedeliste"/>
              <w:numPr>
                <w:ilvl w:val="0"/>
                <w:numId w:val="15"/>
              </w:numPr>
              <w:autoSpaceDE w:val="0"/>
              <w:autoSpaceDN w:val="0"/>
              <w:adjustRightInd w:val="0"/>
              <w:spacing w:line="276" w:lineRule="auto"/>
              <w:jc w:val="both"/>
              <w:cnfStyle w:val="000000100000"/>
              <w:rPr>
                <w:rFonts w:ascii="Times New Roman" w:hAnsi="Times New Roman" w:cs="Times New Roman"/>
                <w:sz w:val="20"/>
                <w:szCs w:val="20"/>
              </w:rPr>
            </w:pPr>
            <w:r>
              <w:rPr>
                <w:rFonts w:ascii="Times New Roman" w:hAnsi="Times New Roman" w:cs="Times New Roman"/>
                <w:sz w:val="20"/>
                <w:szCs w:val="20"/>
              </w:rPr>
              <w:t>Nombre de projets de recherche ou d’innovation financés impliquant des partenaires de la région de la Mauricie et du Centre-du-Québec</w:t>
            </w:r>
          </w:p>
        </w:tc>
      </w:tr>
      <w:tr w:rsidR="00DA6813" w:rsidTr="00A83EA8">
        <w:trPr>
          <w:cnfStyle w:val="000000010000"/>
        </w:trPr>
        <w:tc>
          <w:tcPr>
            <w:cnfStyle w:val="001000000000"/>
            <w:tcW w:w="2802" w:type="dxa"/>
            <w:vAlign w:val="center"/>
          </w:tcPr>
          <w:p w:rsidR="00DA6813" w:rsidRPr="00570CEE" w:rsidRDefault="00DA6813" w:rsidP="00540A65">
            <w:pPr>
              <w:pStyle w:val="Paragraphedeliste"/>
              <w:numPr>
                <w:ilvl w:val="0"/>
                <w:numId w:val="18"/>
              </w:numPr>
              <w:autoSpaceDE w:val="0"/>
              <w:autoSpaceDN w:val="0"/>
              <w:adjustRightInd w:val="0"/>
              <w:spacing w:line="360" w:lineRule="auto"/>
              <w:rPr>
                <w:rFonts w:ascii="Times New Roman" w:hAnsi="Times New Roman" w:cs="Times New Roman"/>
              </w:rPr>
            </w:pPr>
            <w:r>
              <w:rPr>
                <w:rFonts w:ascii="Times New Roman" w:hAnsi="Times New Roman" w:cs="Times New Roman"/>
              </w:rPr>
              <w:t>Encourager la recherche en partenariat</w:t>
            </w:r>
          </w:p>
        </w:tc>
        <w:tc>
          <w:tcPr>
            <w:tcW w:w="6095" w:type="dxa"/>
          </w:tcPr>
          <w:p w:rsidR="00DA6813" w:rsidRPr="000D751B" w:rsidRDefault="00DA6813" w:rsidP="00540A65">
            <w:pPr>
              <w:pStyle w:val="Paragraphedeliste"/>
              <w:numPr>
                <w:ilvl w:val="0"/>
                <w:numId w:val="16"/>
              </w:numPr>
              <w:autoSpaceDE w:val="0"/>
              <w:autoSpaceDN w:val="0"/>
              <w:adjustRightInd w:val="0"/>
              <w:spacing w:line="276" w:lineRule="auto"/>
              <w:jc w:val="both"/>
              <w:cnfStyle w:val="000000010000"/>
              <w:rPr>
                <w:rFonts w:ascii="Times New Roman" w:hAnsi="Times New Roman" w:cs="Times New Roman"/>
                <w:sz w:val="20"/>
                <w:szCs w:val="20"/>
              </w:rPr>
            </w:pPr>
            <w:r>
              <w:rPr>
                <w:rFonts w:ascii="Times New Roman" w:hAnsi="Times New Roman" w:cs="Times New Roman"/>
                <w:sz w:val="20"/>
                <w:szCs w:val="20"/>
              </w:rPr>
              <w:t>Nombre d’ententes de partenariat de recherche et montant obtenu</w:t>
            </w:r>
          </w:p>
        </w:tc>
      </w:tr>
      <w:tr w:rsidR="00DA6813" w:rsidTr="00A83EA8">
        <w:trPr>
          <w:cnfStyle w:val="000000100000"/>
          <w:trHeight w:val="1655"/>
        </w:trPr>
        <w:tc>
          <w:tcPr>
            <w:cnfStyle w:val="001000000000"/>
            <w:tcW w:w="2802" w:type="dxa"/>
            <w:vAlign w:val="center"/>
          </w:tcPr>
          <w:p w:rsidR="00DA6813" w:rsidRPr="00526323" w:rsidRDefault="00DA6813" w:rsidP="00540A65">
            <w:pPr>
              <w:pStyle w:val="Paragraphedeliste"/>
              <w:numPr>
                <w:ilvl w:val="0"/>
                <w:numId w:val="18"/>
              </w:numPr>
              <w:autoSpaceDE w:val="0"/>
              <w:autoSpaceDN w:val="0"/>
              <w:adjustRightInd w:val="0"/>
              <w:spacing w:line="360" w:lineRule="auto"/>
              <w:rPr>
                <w:rFonts w:ascii="Times New Roman" w:hAnsi="Times New Roman" w:cs="Times New Roman"/>
              </w:rPr>
            </w:pPr>
            <w:r>
              <w:rPr>
                <w:rFonts w:ascii="Times New Roman" w:hAnsi="Times New Roman" w:cs="Times New Roman"/>
              </w:rPr>
              <w:t xml:space="preserve">Étendre nos réseaux scientifiques à l’échelle </w:t>
            </w:r>
            <w:r w:rsidR="00ED327A">
              <w:rPr>
                <w:rFonts w:ascii="Times New Roman" w:hAnsi="Times New Roman" w:cs="Times New Roman"/>
              </w:rPr>
              <w:t>nationale</w:t>
            </w:r>
            <w:r>
              <w:rPr>
                <w:rFonts w:ascii="Times New Roman" w:hAnsi="Times New Roman" w:cs="Times New Roman"/>
              </w:rPr>
              <w:t xml:space="preserve"> et Internationale</w:t>
            </w:r>
          </w:p>
        </w:tc>
        <w:tc>
          <w:tcPr>
            <w:tcW w:w="6095" w:type="dxa"/>
          </w:tcPr>
          <w:p w:rsidR="00DA6813" w:rsidRPr="000D751B" w:rsidRDefault="00DA6813" w:rsidP="00540A65">
            <w:pPr>
              <w:pStyle w:val="Paragraphedeliste"/>
              <w:numPr>
                <w:ilvl w:val="0"/>
                <w:numId w:val="17"/>
              </w:numPr>
              <w:autoSpaceDE w:val="0"/>
              <w:autoSpaceDN w:val="0"/>
              <w:adjustRightInd w:val="0"/>
              <w:spacing w:line="276" w:lineRule="auto"/>
              <w:jc w:val="both"/>
              <w:cnfStyle w:val="000000100000"/>
              <w:rPr>
                <w:rFonts w:ascii="Times New Roman" w:hAnsi="Times New Roman" w:cs="Times New Roman"/>
                <w:sz w:val="20"/>
                <w:szCs w:val="20"/>
              </w:rPr>
            </w:pPr>
            <w:r>
              <w:rPr>
                <w:rFonts w:ascii="Times New Roman" w:hAnsi="Times New Roman" w:cs="Times New Roman"/>
                <w:sz w:val="20"/>
                <w:szCs w:val="20"/>
              </w:rPr>
              <w:t>Nombre de maillages formels en recherche à l’échelle nationale et internationale.</w:t>
            </w:r>
          </w:p>
        </w:tc>
      </w:tr>
    </w:tbl>
    <w:p w:rsidR="00DA6813" w:rsidRDefault="00DA6813" w:rsidP="00DA6813">
      <w:pPr>
        <w:autoSpaceDE w:val="0"/>
        <w:autoSpaceDN w:val="0"/>
        <w:adjustRightInd w:val="0"/>
        <w:spacing w:after="0" w:line="360" w:lineRule="auto"/>
        <w:jc w:val="both"/>
        <w:rPr>
          <w:rFonts w:ascii="Times New Roman" w:hAnsi="Times New Roman" w:cs="Times New Roman"/>
          <w:sz w:val="24"/>
          <w:szCs w:val="24"/>
        </w:rPr>
      </w:pPr>
    </w:p>
    <w:p w:rsidR="00DA6813" w:rsidRDefault="00DA6813" w:rsidP="00DA6813">
      <w:pPr>
        <w:tabs>
          <w:tab w:val="left" w:pos="2730"/>
        </w:tabs>
        <w:spacing w:line="360" w:lineRule="auto"/>
        <w:jc w:val="both"/>
        <w:rPr>
          <w:rFonts w:ascii="Times New Roman" w:hAnsi="Times New Roman" w:cs="Times New Roman"/>
          <w:b/>
          <w:sz w:val="24"/>
          <w:szCs w:val="24"/>
        </w:rPr>
        <w:sectPr w:rsidR="00DA6813" w:rsidSect="00A83EA8">
          <w:pgSz w:w="12240" w:h="15840"/>
          <w:pgMar w:top="1440" w:right="1800" w:bottom="1440" w:left="1800" w:header="708" w:footer="708" w:gutter="0"/>
          <w:cols w:space="708"/>
          <w:docGrid w:linePitch="360"/>
        </w:sectPr>
      </w:pPr>
    </w:p>
    <w:p w:rsidR="00DA6813" w:rsidRDefault="00DA6813" w:rsidP="00DA6813">
      <w:pPr>
        <w:tabs>
          <w:tab w:val="left" w:pos="2730"/>
        </w:tabs>
        <w:spacing w:line="360" w:lineRule="auto"/>
        <w:jc w:val="both"/>
        <w:rPr>
          <w:rFonts w:ascii="Times New Roman" w:hAnsi="Times New Roman" w:cs="Times New Roman"/>
          <w:b/>
          <w:sz w:val="24"/>
          <w:szCs w:val="24"/>
        </w:rPr>
      </w:pPr>
    </w:p>
    <w:tbl>
      <w:tblPr>
        <w:tblStyle w:val="Grilleclaire-Accent3"/>
        <w:tblW w:w="8897" w:type="dxa"/>
        <w:tblLook w:val="04A0"/>
      </w:tblPr>
      <w:tblGrid>
        <w:gridCol w:w="2802"/>
        <w:gridCol w:w="6095"/>
      </w:tblGrid>
      <w:tr w:rsidR="00DA6813" w:rsidTr="00BD3BDE">
        <w:trPr>
          <w:cnfStyle w:val="100000000000"/>
        </w:trPr>
        <w:tc>
          <w:tcPr>
            <w:cnfStyle w:val="001000000000"/>
            <w:tcW w:w="8897" w:type="dxa"/>
            <w:gridSpan w:val="2"/>
            <w:shd w:val="clear" w:color="auto" w:fill="00703C"/>
            <w:vAlign w:val="center"/>
          </w:tcPr>
          <w:p w:rsidR="00DA6813" w:rsidRPr="00BD3BDE" w:rsidRDefault="00DA6813" w:rsidP="00A83EA8">
            <w:pPr>
              <w:autoSpaceDE w:val="0"/>
              <w:autoSpaceDN w:val="0"/>
              <w:adjustRightInd w:val="0"/>
              <w:spacing w:line="360" w:lineRule="auto"/>
              <w:jc w:val="center"/>
              <w:rPr>
                <w:rFonts w:ascii="Times New Roman" w:hAnsi="Times New Roman" w:cs="Times New Roman"/>
                <w:color w:val="FFFFFF" w:themeColor="background1"/>
                <w:sz w:val="24"/>
                <w:szCs w:val="24"/>
              </w:rPr>
            </w:pPr>
            <w:r w:rsidRPr="00BD3BDE">
              <w:rPr>
                <w:rFonts w:ascii="Times New Roman" w:hAnsi="Times New Roman" w:cs="Times New Roman"/>
                <w:color w:val="FFFFFF" w:themeColor="background1"/>
                <w:sz w:val="24"/>
                <w:szCs w:val="24"/>
              </w:rPr>
              <w:t>S’ÉPANOUIR</w:t>
            </w:r>
          </w:p>
        </w:tc>
      </w:tr>
      <w:tr w:rsidR="00DA6813" w:rsidTr="00A83EA8">
        <w:trPr>
          <w:cnfStyle w:val="000000100000"/>
        </w:trPr>
        <w:tc>
          <w:tcPr>
            <w:cnfStyle w:val="001000000000"/>
            <w:tcW w:w="2802" w:type="dxa"/>
          </w:tcPr>
          <w:p w:rsidR="00DA6813" w:rsidRPr="00570CEE" w:rsidRDefault="00DA6813" w:rsidP="00A83EA8">
            <w:pPr>
              <w:autoSpaceDE w:val="0"/>
              <w:autoSpaceDN w:val="0"/>
              <w:adjustRightInd w:val="0"/>
              <w:spacing w:line="360" w:lineRule="auto"/>
              <w:jc w:val="both"/>
              <w:rPr>
                <w:rFonts w:ascii="Times New Roman" w:hAnsi="Times New Roman" w:cs="Times New Roman"/>
                <w:sz w:val="24"/>
                <w:szCs w:val="24"/>
              </w:rPr>
            </w:pPr>
            <w:r w:rsidRPr="00570CEE">
              <w:rPr>
                <w:rFonts w:ascii="Times New Roman" w:hAnsi="Times New Roman" w:cs="Times New Roman"/>
                <w:sz w:val="24"/>
                <w:szCs w:val="24"/>
              </w:rPr>
              <w:t>Objectifs</w:t>
            </w:r>
          </w:p>
        </w:tc>
        <w:tc>
          <w:tcPr>
            <w:tcW w:w="6095" w:type="dxa"/>
          </w:tcPr>
          <w:p w:rsidR="00DA6813" w:rsidRPr="00570CEE" w:rsidRDefault="00DA6813" w:rsidP="00A83EA8">
            <w:pPr>
              <w:autoSpaceDE w:val="0"/>
              <w:autoSpaceDN w:val="0"/>
              <w:adjustRightInd w:val="0"/>
              <w:spacing w:line="360" w:lineRule="auto"/>
              <w:jc w:val="both"/>
              <w:cnfStyle w:val="000000100000"/>
              <w:rPr>
                <w:rFonts w:ascii="Times New Roman" w:hAnsi="Times New Roman" w:cs="Times New Roman"/>
                <w:b/>
                <w:sz w:val="24"/>
                <w:szCs w:val="24"/>
              </w:rPr>
            </w:pPr>
            <w:r w:rsidRPr="00570CEE">
              <w:rPr>
                <w:rFonts w:ascii="Times New Roman" w:hAnsi="Times New Roman" w:cs="Times New Roman"/>
                <w:b/>
                <w:sz w:val="24"/>
                <w:szCs w:val="24"/>
              </w:rPr>
              <w:t>Indicateurs</w:t>
            </w:r>
          </w:p>
        </w:tc>
      </w:tr>
      <w:tr w:rsidR="00DA6813" w:rsidTr="00A83EA8">
        <w:trPr>
          <w:cnfStyle w:val="000000010000"/>
        </w:trPr>
        <w:tc>
          <w:tcPr>
            <w:cnfStyle w:val="001000000000"/>
            <w:tcW w:w="2802" w:type="dxa"/>
            <w:vAlign w:val="center"/>
          </w:tcPr>
          <w:p w:rsidR="00DA6813" w:rsidRPr="00B362A9" w:rsidRDefault="00DA6813" w:rsidP="00540A65">
            <w:pPr>
              <w:pStyle w:val="Paragraphedeliste"/>
              <w:numPr>
                <w:ilvl w:val="0"/>
                <w:numId w:val="19"/>
              </w:numPr>
              <w:autoSpaceDE w:val="0"/>
              <w:autoSpaceDN w:val="0"/>
              <w:adjustRightInd w:val="0"/>
              <w:spacing w:line="360" w:lineRule="auto"/>
              <w:rPr>
                <w:rFonts w:ascii="Times New Roman" w:hAnsi="Times New Roman" w:cs="Times New Roman"/>
              </w:rPr>
            </w:pPr>
            <w:r w:rsidRPr="00B362A9">
              <w:rPr>
                <w:rFonts w:ascii="Times New Roman" w:hAnsi="Times New Roman" w:cs="Times New Roman"/>
              </w:rPr>
              <w:t>Attirer et retenir les meilleurs candidats</w:t>
            </w:r>
          </w:p>
          <w:p w:rsidR="00DA6813" w:rsidRPr="00570CEE" w:rsidRDefault="00DA6813" w:rsidP="00A83EA8">
            <w:pPr>
              <w:pStyle w:val="Paragraphedeliste"/>
              <w:autoSpaceDE w:val="0"/>
              <w:autoSpaceDN w:val="0"/>
              <w:adjustRightInd w:val="0"/>
              <w:spacing w:line="360" w:lineRule="auto"/>
              <w:ind w:left="360"/>
              <w:rPr>
                <w:rFonts w:ascii="Times New Roman" w:hAnsi="Times New Roman" w:cs="Times New Roman"/>
              </w:rPr>
            </w:pPr>
          </w:p>
        </w:tc>
        <w:tc>
          <w:tcPr>
            <w:tcW w:w="6095" w:type="dxa"/>
          </w:tcPr>
          <w:p w:rsidR="00DA6813" w:rsidRDefault="00DA6813" w:rsidP="00540A65">
            <w:pPr>
              <w:pStyle w:val="Paragraphedeliste"/>
              <w:numPr>
                <w:ilvl w:val="0"/>
                <w:numId w:val="14"/>
              </w:numPr>
              <w:autoSpaceDE w:val="0"/>
              <w:autoSpaceDN w:val="0"/>
              <w:adjustRightInd w:val="0"/>
              <w:spacing w:line="276" w:lineRule="auto"/>
              <w:cnfStyle w:val="000000010000"/>
              <w:rPr>
                <w:rFonts w:ascii="Times New Roman" w:hAnsi="Times New Roman" w:cs="Times New Roman"/>
                <w:sz w:val="20"/>
                <w:szCs w:val="20"/>
              </w:rPr>
            </w:pPr>
            <w:r>
              <w:rPr>
                <w:rFonts w:ascii="Times New Roman" w:hAnsi="Times New Roman" w:cs="Times New Roman"/>
                <w:sz w:val="20"/>
                <w:szCs w:val="20"/>
              </w:rPr>
              <w:t>Niveau d’études par rapport aux compétences exigées à l’affichage</w:t>
            </w:r>
          </w:p>
          <w:p w:rsidR="00DA6813" w:rsidRDefault="00DA6813" w:rsidP="00540A65">
            <w:pPr>
              <w:pStyle w:val="Paragraphedeliste"/>
              <w:numPr>
                <w:ilvl w:val="0"/>
                <w:numId w:val="14"/>
              </w:numPr>
              <w:autoSpaceDE w:val="0"/>
              <w:autoSpaceDN w:val="0"/>
              <w:adjustRightInd w:val="0"/>
              <w:spacing w:line="276" w:lineRule="auto"/>
              <w:cnfStyle w:val="000000010000"/>
              <w:rPr>
                <w:rFonts w:ascii="Times New Roman" w:hAnsi="Times New Roman" w:cs="Times New Roman"/>
                <w:sz w:val="20"/>
                <w:szCs w:val="20"/>
              </w:rPr>
            </w:pPr>
            <w:r>
              <w:rPr>
                <w:rFonts w:ascii="Times New Roman" w:hAnsi="Times New Roman" w:cs="Times New Roman"/>
                <w:sz w:val="20"/>
                <w:szCs w:val="20"/>
              </w:rPr>
              <w:t>Degré de satisfaction des nouveaux membres de la communauté universitaire</w:t>
            </w:r>
          </w:p>
          <w:p w:rsidR="00DA6813" w:rsidRDefault="00DA6813" w:rsidP="00540A65">
            <w:pPr>
              <w:pStyle w:val="Paragraphedeliste"/>
              <w:numPr>
                <w:ilvl w:val="0"/>
                <w:numId w:val="14"/>
              </w:numPr>
              <w:autoSpaceDE w:val="0"/>
              <w:autoSpaceDN w:val="0"/>
              <w:adjustRightInd w:val="0"/>
              <w:spacing w:line="276" w:lineRule="auto"/>
              <w:cnfStyle w:val="000000010000"/>
              <w:rPr>
                <w:rFonts w:ascii="Times New Roman" w:hAnsi="Times New Roman" w:cs="Times New Roman"/>
                <w:sz w:val="20"/>
                <w:szCs w:val="20"/>
              </w:rPr>
            </w:pPr>
            <w:r>
              <w:rPr>
                <w:rFonts w:ascii="Times New Roman" w:hAnsi="Times New Roman" w:cs="Times New Roman"/>
                <w:sz w:val="20"/>
                <w:szCs w:val="20"/>
              </w:rPr>
              <w:t>Taux de fidélisation des membres de la communauté universitaire</w:t>
            </w:r>
          </w:p>
          <w:p w:rsidR="00DA6813" w:rsidRPr="009D6AC1" w:rsidRDefault="00DA6813" w:rsidP="00540A65">
            <w:pPr>
              <w:pStyle w:val="Paragraphedeliste"/>
              <w:numPr>
                <w:ilvl w:val="0"/>
                <w:numId w:val="14"/>
              </w:numPr>
              <w:autoSpaceDE w:val="0"/>
              <w:autoSpaceDN w:val="0"/>
              <w:adjustRightInd w:val="0"/>
              <w:spacing w:line="276" w:lineRule="auto"/>
              <w:cnfStyle w:val="000000010000"/>
              <w:rPr>
                <w:rFonts w:ascii="Times New Roman" w:hAnsi="Times New Roman" w:cs="Times New Roman"/>
                <w:sz w:val="20"/>
                <w:szCs w:val="20"/>
              </w:rPr>
            </w:pPr>
            <w:r>
              <w:rPr>
                <w:rFonts w:ascii="Times New Roman" w:hAnsi="Times New Roman" w:cs="Times New Roman"/>
                <w:sz w:val="20"/>
                <w:szCs w:val="20"/>
              </w:rPr>
              <w:t>Capacité à obtenir une reconnaissance comme employeur de choix</w:t>
            </w:r>
          </w:p>
        </w:tc>
      </w:tr>
      <w:tr w:rsidR="00DA6813" w:rsidTr="00A83EA8">
        <w:trPr>
          <w:cnfStyle w:val="000000100000"/>
          <w:trHeight w:val="1515"/>
        </w:trPr>
        <w:tc>
          <w:tcPr>
            <w:cnfStyle w:val="001000000000"/>
            <w:tcW w:w="2802" w:type="dxa"/>
            <w:vAlign w:val="center"/>
          </w:tcPr>
          <w:p w:rsidR="00DA6813" w:rsidRPr="00570CEE" w:rsidRDefault="00DA6813" w:rsidP="00540A65">
            <w:pPr>
              <w:pStyle w:val="Paragraphedeliste"/>
              <w:numPr>
                <w:ilvl w:val="0"/>
                <w:numId w:val="19"/>
              </w:numPr>
              <w:autoSpaceDE w:val="0"/>
              <w:autoSpaceDN w:val="0"/>
              <w:adjustRightInd w:val="0"/>
              <w:spacing w:line="360" w:lineRule="auto"/>
              <w:rPr>
                <w:rFonts w:ascii="Times New Roman" w:hAnsi="Times New Roman" w:cs="Times New Roman"/>
              </w:rPr>
            </w:pPr>
            <w:r>
              <w:rPr>
                <w:rFonts w:ascii="Times New Roman" w:hAnsi="Times New Roman" w:cs="Times New Roman"/>
              </w:rPr>
              <w:t>Développer le talent et améliorer les perspectives de carrière</w:t>
            </w:r>
          </w:p>
          <w:p w:rsidR="00DA6813" w:rsidRPr="00570CEE" w:rsidRDefault="00DA6813" w:rsidP="00A83EA8">
            <w:pPr>
              <w:autoSpaceDE w:val="0"/>
              <w:autoSpaceDN w:val="0"/>
              <w:adjustRightInd w:val="0"/>
              <w:spacing w:line="360" w:lineRule="auto"/>
              <w:rPr>
                <w:rFonts w:ascii="Times New Roman" w:hAnsi="Times New Roman" w:cs="Times New Roman"/>
              </w:rPr>
            </w:pPr>
          </w:p>
        </w:tc>
        <w:tc>
          <w:tcPr>
            <w:tcW w:w="6095" w:type="dxa"/>
          </w:tcPr>
          <w:p w:rsidR="00DA6813" w:rsidRDefault="00DA6813" w:rsidP="00540A65">
            <w:pPr>
              <w:pStyle w:val="Paragraphedeliste"/>
              <w:numPr>
                <w:ilvl w:val="0"/>
                <w:numId w:val="14"/>
              </w:numPr>
              <w:tabs>
                <w:tab w:val="left" w:pos="1205"/>
              </w:tabs>
              <w:autoSpaceDE w:val="0"/>
              <w:autoSpaceDN w:val="0"/>
              <w:adjustRightInd w:val="0"/>
              <w:spacing w:line="276" w:lineRule="auto"/>
              <w:cnfStyle w:val="000000100000"/>
              <w:rPr>
                <w:rFonts w:ascii="Times New Roman" w:hAnsi="Times New Roman" w:cs="Times New Roman"/>
                <w:sz w:val="20"/>
                <w:szCs w:val="20"/>
              </w:rPr>
            </w:pPr>
            <w:r>
              <w:rPr>
                <w:rFonts w:ascii="Times New Roman" w:hAnsi="Times New Roman" w:cs="Times New Roman"/>
                <w:sz w:val="20"/>
                <w:szCs w:val="20"/>
              </w:rPr>
              <w:t>Nombre d’activités de formation et de perfectionnement offertes et taux de participation</w:t>
            </w:r>
          </w:p>
          <w:p w:rsidR="00DA6813" w:rsidRPr="009D6AC1" w:rsidRDefault="00DA6813" w:rsidP="00540A65">
            <w:pPr>
              <w:pStyle w:val="Paragraphedeliste"/>
              <w:numPr>
                <w:ilvl w:val="0"/>
                <w:numId w:val="14"/>
              </w:numPr>
              <w:tabs>
                <w:tab w:val="left" w:pos="1205"/>
              </w:tabs>
              <w:autoSpaceDE w:val="0"/>
              <w:autoSpaceDN w:val="0"/>
              <w:adjustRightInd w:val="0"/>
              <w:spacing w:line="276" w:lineRule="auto"/>
              <w:cnfStyle w:val="000000100000"/>
              <w:rPr>
                <w:rFonts w:ascii="Times New Roman" w:hAnsi="Times New Roman" w:cs="Times New Roman"/>
                <w:sz w:val="20"/>
                <w:szCs w:val="20"/>
              </w:rPr>
            </w:pPr>
            <w:r>
              <w:rPr>
                <w:rFonts w:ascii="Times New Roman" w:hAnsi="Times New Roman" w:cs="Times New Roman"/>
                <w:sz w:val="20"/>
                <w:szCs w:val="20"/>
              </w:rPr>
              <w:t>Nombre des membres de la communauté universitaire ayant obtenu de l’avancement professionnel</w:t>
            </w:r>
          </w:p>
        </w:tc>
      </w:tr>
      <w:tr w:rsidR="00DA6813" w:rsidTr="00A83EA8">
        <w:trPr>
          <w:cnfStyle w:val="000000010000"/>
        </w:trPr>
        <w:tc>
          <w:tcPr>
            <w:cnfStyle w:val="001000000000"/>
            <w:tcW w:w="2802" w:type="dxa"/>
            <w:vAlign w:val="center"/>
          </w:tcPr>
          <w:p w:rsidR="00DA6813" w:rsidRPr="00570CEE" w:rsidRDefault="00DA6813" w:rsidP="00540A65">
            <w:pPr>
              <w:pStyle w:val="Paragraphedeliste"/>
              <w:numPr>
                <w:ilvl w:val="0"/>
                <w:numId w:val="19"/>
              </w:numPr>
              <w:autoSpaceDE w:val="0"/>
              <w:autoSpaceDN w:val="0"/>
              <w:adjustRightInd w:val="0"/>
              <w:spacing w:line="360" w:lineRule="auto"/>
              <w:rPr>
                <w:rFonts w:ascii="Times New Roman" w:hAnsi="Times New Roman" w:cs="Times New Roman"/>
              </w:rPr>
            </w:pPr>
            <w:r>
              <w:rPr>
                <w:rFonts w:ascii="Times New Roman" w:hAnsi="Times New Roman" w:cs="Times New Roman"/>
              </w:rPr>
              <w:t>Renforcer le sentiment d’appartenance</w:t>
            </w:r>
          </w:p>
          <w:p w:rsidR="00DA6813" w:rsidRPr="00570CEE" w:rsidRDefault="00DA6813" w:rsidP="00A83EA8">
            <w:pPr>
              <w:autoSpaceDE w:val="0"/>
              <w:autoSpaceDN w:val="0"/>
              <w:adjustRightInd w:val="0"/>
              <w:spacing w:line="360" w:lineRule="auto"/>
              <w:rPr>
                <w:rFonts w:ascii="Times New Roman" w:hAnsi="Times New Roman" w:cs="Times New Roman"/>
              </w:rPr>
            </w:pPr>
          </w:p>
        </w:tc>
        <w:tc>
          <w:tcPr>
            <w:tcW w:w="6095" w:type="dxa"/>
          </w:tcPr>
          <w:p w:rsidR="00DA6813" w:rsidRDefault="00DA6813" w:rsidP="00540A65">
            <w:pPr>
              <w:pStyle w:val="Paragraphedeliste"/>
              <w:numPr>
                <w:ilvl w:val="0"/>
                <w:numId w:val="14"/>
              </w:numPr>
              <w:autoSpaceDE w:val="0"/>
              <w:autoSpaceDN w:val="0"/>
              <w:adjustRightInd w:val="0"/>
              <w:spacing w:line="276" w:lineRule="auto"/>
              <w:jc w:val="both"/>
              <w:cnfStyle w:val="000000010000"/>
              <w:rPr>
                <w:rFonts w:ascii="Times New Roman" w:hAnsi="Times New Roman" w:cs="Times New Roman"/>
                <w:sz w:val="20"/>
                <w:szCs w:val="20"/>
              </w:rPr>
            </w:pPr>
            <w:r>
              <w:rPr>
                <w:rFonts w:ascii="Times New Roman" w:hAnsi="Times New Roman" w:cs="Times New Roman"/>
                <w:sz w:val="20"/>
                <w:szCs w:val="20"/>
              </w:rPr>
              <w:t>Mesure de l’efficacité et de la qualité de la communication interne</w:t>
            </w:r>
          </w:p>
          <w:p w:rsidR="00DA6813" w:rsidRDefault="00DA6813" w:rsidP="00540A65">
            <w:pPr>
              <w:pStyle w:val="Paragraphedeliste"/>
              <w:numPr>
                <w:ilvl w:val="0"/>
                <w:numId w:val="14"/>
              </w:numPr>
              <w:autoSpaceDE w:val="0"/>
              <w:autoSpaceDN w:val="0"/>
              <w:adjustRightInd w:val="0"/>
              <w:spacing w:line="276" w:lineRule="auto"/>
              <w:jc w:val="both"/>
              <w:cnfStyle w:val="000000010000"/>
              <w:rPr>
                <w:rFonts w:ascii="Times New Roman" w:hAnsi="Times New Roman" w:cs="Times New Roman"/>
                <w:sz w:val="20"/>
                <w:szCs w:val="20"/>
              </w:rPr>
            </w:pPr>
            <w:r>
              <w:rPr>
                <w:rFonts w:ascii="Times New Roman" w:hAnsi="Times New Roman" w:cs="Times New Roman"/>
                <w:sz w:val="20"/>
                <w:szCs w:val="20"/>
              </w:rPr>
              <w:t>Nombre d’actions visant à exprimer la reconnaissance institutionnelle</w:t>
            </w:r>
          </w:p>
          <w:p w:rsidR="00DA6813" w:rsidRPr="00330CA6" w:rsidRDefault="00DA6813" w:rsidP="00540A65">
            <w:pPr>
              <w:pStyle w:val="Paragraphedeliste"/>
              <w:numPr>
                <w:ilvl w:val="0"/>
                <w:numId w:val="14"/>
              </w:numPr>
              <w:autoSpaceDE w:val="0"/>
              <w:autoSpaceDN w:val="0"/>
              <w:adjustRightInd w:val="0"/>
              <w:spacing w:line="276" w:lineRule="auto"/>
              <w:jc w:val="both"/>
              <w:cnfStyle w:val="000000010000"/>
              <w:rPr>
                <w:rFonts w:ascii="Times New Roman" w:hAnsi="Times New Roman" w:cs="Times New Roman"/>
                <w:sz w:val="20"/>
                <w:szCs w:val="20"/>
              </w:rPr>
            </w:pPr>
            <w:r>
              <w:rPr>
                <w:rFonts w:ascii="Times New Roman" w:hAnsi="Times New Roman" w:cs="Times New Roman"/>
                <w:sz w:val="20"/>
                <w:szCs w:val="20"/>
              </w:rPr>
              <w:t>Nombre d’activités à caractère institutionnel et taux de participation</w:t>
            </w:r>
          </w:p>
        </w:tc>
      </w:tr>
      <w:tr w:rsidR="00DA6813" w:rsidTr="00A83EA8">
        <w:trPr>
          <w:cnfStyle w:val="000000100000"/>
        </w:trPr>
        <w:tc>
          <w:tcPr>
            <w:cnfStyle w:val="001000000000"/>
            <w:tcW w:w="2802" w:type="dxa"/>
            <w:vAlign w:val="center"/>
          </w:tcPr>
          <w:p w:rsidR="00DA6813" w:rsidRPr="00570CEE" w:rsidRDefault="00DA6813" w:rsidP="00540A65">
            <w:pPr>
              <w:pStyle w:val="Paragraphedeliste"/>
              <w:numPr>
                <w:ilvl w:val="0"/>
                <w:numId w:val="19"/>
              </w:numPr>
              <w:autoSpaceDE w:val="0"/>
              <w:autoSpaceDN w:val="0"/>
              <w:adjustRightInd w:val="0"/>
              <w:spacing w:line="360" w:lineRule="auto"/>
              <w:rPr>
                <w:rFonts w:ascii="Times New Roman" w:hAnsi="Times New Roman" w:cs="Times New Roman"/>
              </w:rPr>
            </w:pPr>
            <w:r>
              <w:rPr>
                <w:rFonts w:ascii="Times New Roman" w:hAnsi="Times New Roman" w:cs="Times New Roman"/>
              </w:rPr>
              <w:t>Encourager l’implication étudiante</w:t>
            </w:r>
          </w:p>
          <w:p w:rsidR="00DA6813" w:rsidRPr="00570CEE" w:rsidRDefault="00DA6813" w:rsidP="00A83EA8">
            <w:pPr>
              <w:autoSpaceDE w:val="0"/>
              <w:autoSpaceDN w:val="0"/>
              <w:adjustRightInd w:val="0"/>
              <w:spacing w:line="360" w:lineRule="auto"/>
              <w:rPr>
                <w:rFonts w:ascii="Times New Roman" w:hAnsi="Times New Roman" w:cs="Times New Roman"/>
              </w:rPr>
            </w:pPr>
          </w:p>
        </w:tc>
        <w:tc>
          <w:tcPr>
            <w:tcW w:w="6095" w:type="dxa"/>
          </w:tcPr>
          <w:p w:rsidR="00DA6813" w:rsidRPr="000A4C59" w:rsidRDefault="00DA6813" w:rsidP="00540A65">
            <w:pPr>
              <w:pStyle w:val="Paragraphedeliste"/>
              <w:numPr>
                <w:ilvl w:val="0"/>
                <w:numId w:val="15"/>
              </w:numPr>
              <w:autoSpaceDE w:val="0"/>
              <w:autoSpaceDN w:val="0"/>
              <w:adjustRightInd w:val="0"/>
              <w:spacing w:line="276" w:lineRule="auto"/>
              <w:jc w:val="both"/>
              <w:cnfStyle w:val="000000100000"/>
              <w:rPr>
                <w:rFonts w:ascii="Times New Roman" w:hAnsi="Times New Roman" w:cs="Times New Roman"/>
                <w:sz w:val="20"/>
                <w:szCs w:val="20"/>
              </w:rPr>
            </w:pPr>
            <w:r>
              <w:rPr>
                <w:rFonts w:ascii="Times New Roman" w:hAnsi="Times New Roman" w:cs="Times New Roman"/>
                <w:sz w:val="20"/>
                <w:szCs w:val="20"/>
              </w:rPr>
              <w:t>Degré d’engagement des étudiants dans la vie de la communauté universitaire</w:t>
            </w:r>
          </w:p>
        </w:tc>
      </w:tr>
      <w:tr w:rsidR="00DA6813" w:rsidTr="00A83EA8">
        <w:trPr>
          <w:cnfStyle w:val="000000010000"/>
        </w:trPr>
        <w:tc>
          <w:tcPr>
            <w:cnfStyle w:val="001000000000"/>
            <w:tcW w:w="2802" w:type="dxa"/>
            <w:vAlign w:val="center"/>
          </w:tcPr>
          <w:p w:rsidR="00DA6813" w:rsidRPr="00570CEE" w:rsidRDefault="00DA6813" w:rsidP="00540A65">
            <w:pPr>
              <w:pStyle w:val="Paragraphedeliste"/>
              <w:numPr>
                <w:ilvl w:val="0"/>
                <w:numId w:val="19"/>
              </w:numPr>
              <w:autoSpaceDE w:val="0"/>
              <w:autoSpaceDN w:val="0"/>
              <w:adjustRightInd w:val="0"/>
              <w:spacing w:line="360" w:lineRule="auto"/>
              <w:rPr>
                <w:rFonts w:ascii="Times New Roman" w:hAnsi="Times New Roman" w:cs="Times New Roman"/>
              </w:rPr>
            </w:pPr>
            <w:r>
              <w:rPr>
                <w:rFonts w:ascii="Times New Roman" w:hAnsi="Times New Roman" w:cs="Times New Roman"/>
              </w:rPr>
              <w:t>Porter un soin particulier aux relations de travail</w:t>
            </w:r>
          </w:p>
        </w:tc>
        <w:tc>
          <w:tcPr>
            <w:tcW w:w="6095" w:type="dxa"/>
          </w:tcPr>
          <w:p w:rsidR="00DA6813" w:rsidRDefault="00DA6813" w:rsidP="00540A65">
            <w:pPr>
              <w:pStyle w:val="Paragraphedeliste"/>
              <w:numPr>
                <w:ilvl w:val="0"/>
                <w:numId w:val="16"/>
              </w:numPr>
              <w:autoSpaceDE w:val="0"/>
              <w:autoSpaceDN w:val="0"/>
              <w:adjustRightInd w:val="0"/>
              <w:spacing w:line="276" w:lineRule="auto"/>
              <w:jc w:val="both"/>
              <w:cnfStyle w:val="000000010000"/>
              <w:rPr>
                <w:rFonts w:ascii="Times New Roman" w:hAnsi="Times New Roman" w:cs="Times New Roman"/>
                <w:sz w:val="20"/>
                <w:szCs w:val="20"/>
              </w:rPr>
            </w:pPr>
            <w:r>
              <w:rPr>
                <w:rFonts w:ascii="Times New Roman" w:hAnsi="Times New Roman" w:cs="Times New Roman"/>
                <w:sz w:val="20"/>
                <w:szCs w:val="20"/>
              </w:rPr>
              <w:t>Nombre de griefs et taux de règlements</w:t>
            </w:r>
          </w:p>
          <w:p w:rsidR="00DA6813" w:rsidRPr="000D751B" w:rsidRDefault="00DA6813" w:rsidP="00540A65">
            <w:pPr>
              <w:pStyle w:val="Paragraphedeliste"/>
              <w:numPr>
                <w:ilvl w:val="0"/>
                <w:numId w:val="16"/>
              </w:numPr>
              <w:autoSpaceDE w:val="0"/>
              <w:autoSpaceDN w:val="0"/>
              <w:adjustRightInd w:val="0"/>
              <w:spacing w:line="276" w:lineRule="auto"/>
              <w:jc w:val="both"/>
              <w:cnfStyle w:val="000000010000"/>
              <w:rPr>
                <w:rFonts w:ascii="Times New Roman" w:hAnsi="Times New Roman" w:cs="Times New Roman"/>
                <w:sz w:val="20"/>
                <w:szCs w:val="20"/>
              </w:rPr>
            </w:pPr>
            <w:r>
              <w:rPr>
                <w:rFonts w:ascii="Times New Roman" w:hAnsi="Times New Roman" w:cs="Times New Roman"/>
                <w:sz w:val="20"/>
                <w:szCs w:val="20"/>
              </w:rPr>
              <w:t>Nombre d’interventions visant à prévenir et régler des situations potentiellement conflictuelles</w:t>
            </w:r>
          </w:p>
        </w:tc>
      </w:tr>
      <w:tr w:rsidR="00DA6813" w:rsidTr="00A83EA8">
        <w:trPr>
          <w:cnfStyle w:val="000000100000"/>
        </w:trPr>
        <w:tc>
          <w:tcPr>
            <w:cnfStyle w:val="001000000000"/>
            <w:tcW w:w="2802" w:type="dxa"/>
            <w:vAlign w:val="center"/>
          </w:tcPr>
          <w:p w:rsidR="00DA6813" w:rsidRPr="00570CEE" w:rsidRDefault="00DA6813" w:rsidP="00540A65">
            <w:pPr>
              <w:pStyle w:val="Paragraphedeliste"/>
              <w:numPr>
                <w:ilvl w:val="0"/>
                <w:numId w:val="19"/>
              </w:numPr>
              <w:autoSpaceDE w:val="0"/>
              <w:autoSpaceDN w:val="0"/>
              <w:adjustRightInd w:val="0"/>
              <w:spacing w:line="360" w:lineRule="auto"/>
              <w:rPr>
                <w:rFonts w:ascii="Times New Roman" w:hAnsi="Times New Roman" w:cs="Times New Roman"/>
              </w:rPr>
            </w:pPr>
            <w:r>
              <w:rPr>
                <w:rFonts w:ascii="Times New Roman" w:hAnsi="Times New Roman" w:cs="Times New Roman"/>
              </w:rPr>
              <w:t>Assurer un milieu de travail et d’études sain et sécuritaire</w:t>
            </w:r>
          </w:p>
          <w:p w:rsidR="00DA6813" w:rsidRPr="00570CEE" w:rsidRDefault="00DA6813" w:rsidP="00A83EA8">
            <w:pPr>
              <w:autoSpaceDE w:val="0"/>
              <w:autoSpaceDN w:val="0"/>
              <w:adjustRightInd w:val="0"/>
              <w:spacing w:line="360" w:lineRule="auto"/>
              <w:rPr>
                <w:rFonts w:ascii="Times New Roman" w:hAnsi="Times New Roman" w:cs="Times New Roman"/>
              </w:rPr>
            </w:pPr>
          </w:p>
        </w:tc>
        <w:tc>
          <w:tcPr>
            <w:tcW w:w="6095" w:type="dxa"/>
          </w:tcPr>
          <w:p w:rsidR="00DA6813" w:rsidRDefault="00DA6813" w:rsidP="00540A65">
            <w:pPr>
              <w:pStyle w:val="Paragraphedeliste"/>
              <w:numPr>
                <w:ilvl w:val="0"/>
                <w:numId w:val="17"/>
              </w:numPr>
              <w:autoSpaceDE w:val="0"/>
              <w:autoSpaceDN w:val="0"/>
              <w:adjustRightInd w:val="0"/>
              <w:spacing w:line="276" w:lineRule="auto"/>
              <w:jc w:val="both"/>
              <w:cnfStyle w:val="000000100000"/>
              <w:rPr>
                <w:rFonts w:ascii="Times New Roman" w:hAnsi="Times New Roman" w:cs="Times New Roman"/>
                <w:sz w:val="20"/>
                <w:szCs w:val="20"/>
              </w:rPr>
            </w:pPr>
            <w:r>
              <w:rPr>
                <w:rFonts w:ascii="Times New Roman" w:hAnsi="Times New Roman" w:cs="Times New Roman"/>
                <w:sz w:val="20"/>
                <w:szCs w:val="20"/>
              </w:rPr>
              <w:t>Degré de réalisation du plan d’action en SST</w:t>
            </w:r>
          </w:p>
          <w:p w:rsidR="00DA6813" w:rsidRDefault="00DA6813" w:rsidP="00540A65">
            <w:pPr>
              <w:pStyle w:val="Paragraphedeliste"/>
              <w:numPr>
                <w:ilvl w:val="0"/>
                <w:numId w:val="17"/>
              </w:numPr>
              <w:autoSpaceDE w:val="0"/>
              <w:autoSpaceDN w:val="0"/>
              <w:adjustRightInd w:val="0"/>
              <w:spacing w:line="276" w:lineRule="auto"/>
              <w:jc w:val="both"/>
              <w:cnfStyle w:val="000000100000"/>
              <w:rPr>
                <w:rFonts w:ascii="Times New Roman" w:hAnsi="Times New Roman" w:cs="Times New Roman"/>
                <w:sz w:val="20"/>
                <w:szCs w:val="20"/>
              </w:rPr>
            </w:pPr>
            <w:r>
              <w:rPr>
                <w:rFonts w:ascii="Times New Roman" w:hAnsi="Times New Roman" w:cs="Times New Roman"/>
                <w:sz w:val="20"/>
                <w:szCs w:val="20"/>
              </w:rPr>
              <w:t>Fréquence, gravité et coût des accidents de travail et des maladies professionnelles</w:t>
            </w:r>
          </w:p>
          <w:p w:rsidR="00DA6813" w:rsidRPr="000D751B" w:rsidRDefault="00DA6813" w:rsidP="00540A65">
            <w:pPr>
              <w:pStyle w:val="Paragraphedeliste"/>
              <w:numPr>
                <w:ilvl w:val="0"/>
                <w:numId w:val="17"/>
              </w:numPr>
              <w:autoSpaceDE w:val="0"/>
              <w:autoSpaceDN w:val="0"/>
              <w:adjustRightInd w:val="0"/>
              <w:spacing w:line="276" w:lineRule="auto"/>
              <w:jc w:val="both"/>
              <w:cnfStyle w:val="000000100000"/>
              <w:rPr>
                <w:rFonts w:ascii="Times New Roman" w:hAnsi="Times New Roman" w:cs="Times New Roman"/>
                <w:sz w:val="20"/>
                <w:szCs w:val="20"/>
              </w:rPr>
            </w:pPr>
            <w:r>
              <w:rPr>
                <w:rFonts w:ascii="Times New Roman" w:hAnsi="Times New Roman" w:cs="Times New Roman"/>
                <w:sz w:val="20"/>
                <w:szCs w:val="20"/>
              </w:rPr>
              <w:t>Nombre d’activités promouvant une meilleure santé des membres de la communauté universitaire et taux de participation</w:t>
            </w:r>
          </w:p>
        </w:tc>
      </w:tr>
      <w:tr w:rsidR="00DA6813" w:rsidTr="00A83EA8">
        <w:trPr>
          <w:cnfStyle w:val="000000010000"/>
        </w:trPr>
        <w:tc>
          <w:tcPr>
            <w:cnfStyle w:val="001000000000"/>
            <w:tcW w:w="2802" w:type="dxa"/>
            <w:vAlign w:val="center"/>
          </w:tcPr>
          <w:p w:rsidR="00DA6813" w:rsidRDefault="00DA6813" w:rsidP="00540A65">
            <w:pPr>
              <w:pStyle w:val="Paragraphedeliste"/>
              <w:numPr>
                <w:ilvl w:val="0"/>
                <w:numId w:val="19"/>
              </w:numPr>
              <w:autoSpaceDE w:val="0"/>
              <w:autoSpaceDN w:val="0"/>
              <w:adjustRightInd w:val="0"/>
              <w:spacing w:line="360" w:lineRule="auto"/>
              <w:rPr>
                <w:rFonts w:ascii="Times New Roman" w:hAnsi="Times New Roman" w:cs="Times New Roman"/>
              </w:rPr>
            </w:pPr>
            <w:r>
              <w:rPr>
                <w:rFonts w:ascii="Times New Roman" w:hAnsi="Times New Roman" w:cs="Times New Roman"/>
              </w:rPr>
              <w:t>Se développer de façon responsable et durable</w:t>
            </w:r>
          </w:p>
        </w:tc>
        <w:tc>
          <w:tcPr>
            <w:tcW w:w="6095" w:type="dxa"/>
          </w:tcPr>
          <w:p w:rsidR="00DA6813" w:rsidRDefault="00DA6813" w:rsidP="00540A65">
            <w:pPr>
              <w:pStyle w:val="Paragraphedeliste"/>
              <w:numPr>
                <w:ilvl w:val="0"/>
                <w:numId w:val="17"/>
              </w:numPr>
              <w:autoSpaceDE w:val="0"/>
              <w:autoSpaceDN w:val="0"/>
              <w:adjustRightInd w:val="0"/>
              <w:spacing w:line="276" w:lineRule="auto"/>
              <w:jc w:val="both"/>
              <w:cnfStyle w:val="000000010000"/>
              <w:rPr>
                <w:rFonts w:ascii="Times New Roman" w:hAnsi="Times New Roman" w:cs="Times New Roman"/>
                <w:sz w:val="20"/>
                <w:szCs w:val="20"/>
              </w:rPr>
            </w:pPr>
            <w:r>
              <w:rPr>
                <w:rFonts w:ascii="Times New Roman" w:hAnsi="Times New Roman" w:cs="Times New Roman"/>
                <w:sz w:val="20"/>
                <w:szCs w:val="20"/>
              </w:rPr>
              <w:t>% des cours et des thématiques de recherche intégrant les questions de responsabilité sociale et environnementale</w:t>
            </w:r>
          </w:p>
          <w:p w:rsidR="00DA6813" w:rsidRDefault="00DA6813" w:rsidP="00540A65">
            <w:pPr>
              <w:pStyle w:val="Paragraphedeliste"/>
              <w:numPr>
                <w:ilvl w:val="0"/>
                <w:numId w:val="17"/>
              </w:numPr>
              <w:autoSpaceDE w:val="0"/>
              <w:autoSpaceDN w:val="0"/>
              <w:adjustRightInd w:val="0"/>
              <w:spacing w:line="276" w:lineRule="auto"/>
              <w:jc w:val="both"/>
              <w:cnfStyle w:val="000000010000"/>
              <w:rPr>
                <w:rFonts w:ascii="Times New Roman" w:hAnsi="Times New Roman" w:cs="Times New Roman"/>
                <w:sz w:val="20"/>
                <w:szCs w:val="20"/>
              </w:rPr>
            </w:pPr>
            <w:r>
              <w:rPr>
                <w:rFonts w:ascii="Times New Roman" w:hAnsi="Times New Roman" w:cs="Times New Roman"/>
                <w:sz w:val="20"/>
                <w:szCs w:val="20"/>
              </w:rPr>
              <w:t>Nombre d’heures de sensibilisation sur le développement durable</w:t>
            </w:r>
          </w:p>
          <w:p w:rsidR="00DA6813" w:rsidRDefault="00DA6813" w:rsidP="00540A65">
            <w:pPr>
              <w:pStyle w:val="Paragraphedeliste"/>
              <w:numPr>
                <w:ilvl w:val="0"/>
                <w:numId w:val="17"/>
              </w:numPr>
              <w:autoSpaceDE w:val="0"/>
              <w:autoSpaceDN w:val="0"/>
              <w:adjustRightInd w:val="0"/>
              <w:spacing w:line="276" w:lineRule="auto"/>
              <w:jc w:val="both"/>
              <w:cnfStyle w:val="000000010000"/>
              <w:rPr>
                <w:rFonts w:ascii="Times New Roman" w:hAnsi="Times New Roman" w:cs="Times New Roman"/>
                <w:sz w:val="20"/>
                <w:szCs w:val="20"/>
              </w:rPr>
            </w:pPr>
            <w:r>
              <w:rPr>
                <w:rFonts w:ascii="Times New Roman" w:hAnsi="Times New Roman" w:cs="Times New Roman"/>
                <w:sz w:val="20"/>
                <w:szCs w:val="20"/>
              </w:rPr>
              <w:t>Niveau atteint de certification de campus durable</w:t>
            </w:r>
          </w:p>
          <w:p w:rsidR="00DA6813" w:rsidRDefault="00DA6813" w:rsidP="00540A65">
            <w:pPr>
              <w:pStyle w:val="Paragraphedeliste"/>
              <w:numPr>
                <w:ilvl w:val="0"/>
                <w:numId w:val="17"/>
              </w:numPr>
              <w:autoSpaceDE w:val="0"/>
              <w:autoSpaceDN w:val="0"/>
              <w:adjustRightInd w:val="0"/>
              <w:spacing w:line="276" w:lineRule="auto"/>
              <w:jc w:val="both"/>
              <w:cnfStyle w:val="000000010000"/>
              <w:rPr>
                <w:rFonts w:ascii="Times New Roman" w:hAnsi="Times New Roman" w:cs="Times New Roman"/>
                <w:sz w:val="20"/>
                <w:szCs w:val="20"/>
              </w:rPr>
            </w:pPr>
            <w:r>
              <w:rPr>
                <w:rFonts w:ascii="Times New Roman" w:hAnsi="Times New Roman" w:cs="Times New Roman"/>
                <w:sz w:val="20"/>
                <w:szCs w:val="20"/>
              </w:rPr>
              <w:t>Réduction de l’empreinte écologique (déchets, matières recyclées ou valorisées, gaz à effet de serre)</w:t>
            </w:r>
          </w:p>
        </w:tc>
      </w:tr>
    </w:tbl>
    <w:p w:rsidR="00DA6813" w:rsidRDefault="00DA6813" w:rsidP="00DA6813">
      <w:pPr>
        <w:tabs>
          <w:tab w:val="left" w:pos="2730"/>
        </w:tabs>
        <w:spacing w:line="360" w:lineRule="auto"/>
        <w:jc w:val="both"/>
        <w:rPr>
          <w:rFonts w:ascii="Times New Roman" w:hAnsi="Times New Roman" w:cs="Times New Roman"/>
          <w:b/>
          <w:sz w:val="24"/>
          <w:szCs w:val="24"/>
        </w:rPr>
        <w:sectPr w:rsidR="00DA6813" w:rsidSect="00A83EA8">
          <w:pgSz w:w="12240" w:h="15840"/>
          <w:pgMar w:top="1440" w:right="1800" w:bottom="1440" w:left="1800" w:header="708" w:footer="708" w:gutter="0"/>
          <w:cols w:space="708"/>
          <w:docGrid w:linePitch="360"/>
        </w:sectPr>
      </w:pPr>
    </w:p>
    <w:p w:rsidR="00DA6813" w:rsidRDefault="00DA6813" w:rsidP="00DA6813">
      <w:pPr>
        <w:tabs>
          <w:tab w:val="left" w:pos="2730"/>
        </w:tabs>
        <w:spacing w:line="360" w:lineRule="auto"/>
        <w:jc w:val="both"/>
        <w:rPr>
          <w:rFonts w:ascii="Times New Roman" w:hAnsi="Times New Roman" w:cs="Times New Roman"/>
          <w:b/>
          <w:sz w:val="24"/>
          <w:szCs w:val="24"/>
        </w:rPr>
      </w:pPr>
    </w:p>
    <w:tbl>
      <w:tblPr>
        <w:tblStyle w:val="Grilleclaire-Accent3"/>
        <w:tblW w:w="8897" w:type="dxa"/>
        <w:tblLook w:val="04A0"/>
      </w:tblPr>
      <w:tblGrid>
        <w:gridCol w:w="2802"/>
        <w:gridCol w:w="6095"/>
      </w:tblGrid>
      <w:tr w:rsidR="00DA6813" w:rsidTr="00BD3BDE">
        <w:trPr>
          <w:cnfStyle w:val="100000000000"/>
        </w:trPr>
        <w:tc>
          <w:tcPr>
            <w:cnfStyle w:val="001000000000"/>
            <w:tcW w:w="8897" w:type="dxa"/>
            <w:gridSpan w:val="2"/>
            <w:shd w:val="clear" w:color="auto" w:fill="00703C"/>
            <w:vAlign w:val="center"/>
          </w:tcPr>
          <w:p w:rsidR="00DA6813" w:rsidRPr="00BD3BDE" w:rsidRDefault="00DA6813" w:rsidP="00A83EA8">
            <w:pPr>
              <w:autoSpaceDE w:val="0"/>
              <w:autoSpaceDN w:val="0"/>
              <w:adjustRightInd w:val="0"/>
              <w:spacing w:line="360" w:lineRule="auto"/>
              <w:jc w:val="center"/>
              <w:rPr>
                <w:rFonts w:ascii="Times New Roman" w:hAnsi="Times New Roman" w:cs="Times New Roman"/>
                <w:color w:val="FFFFFF" w:themeColor="background1"/>
                <w:sz w:val="24"/>
                <w:szCs w:val="24"/>
              </w:rPr>
            </w:pPr>
            <w:r>
              <w:rPr>
                <w:rFonts w:ascii="Times New Roman" w:hAnsi="Times New Roman" w:cs="Times New Roman"/>
                <w:b w:val="0"/>
                <w:sz w:val="24"/>
                <w:szCs w:val="24"/>
              </w:rPr>
              <w:br w:type="page"/>
            </w:r>
            <w:r w:rsidRPr="00BD3BDE">
              <w:rPr>
                <w:rFonts w:ascii="Times New Roman" w:hAnsi="Times New Roman" w:cs="Times New Roman"/>
                <w:color w:val="FFFFFF" w:themeColor="background1"/>
                <w:sz w:val="24"/>
                <w:szCs w:val="24"/>
                <w:shd w:val="clear" w:color="auto" w:fill="00703C"/>
              </w:rPr>
              <w:t>PARTAGER</w:t>
            </w:r>
          </w:p>
        </w:tc>
      </w:tr>
      <w:tr w:rsidR="00DA6813" w:rsidTr="00A83EA8">
        <w:trPr>
          <w:cnfStyle w:val="000000100000"/>
        </w:trPr>
        <w:tc>
          <w:tcPr>
            <w:cnfStyle w:val="001000000000"/>
            <w:tcW w:w="2802" w:type="dxa"/>
          </w:tcPr>
          <w:p w:rsidR="00DA6813" w:rsidRPr="00570CEE" w:rsidRDefault="00DA6813" w:rsidP="00A83EA8">
            <w:pPr>
              <w:autoSpaceDE w:val="0"/>
              <w:autoSpaceDN w:val="0"/>
              <w:adjustRightInd w:val="0"/>
              <w:spacing w:line="360" w:lineRule="auto"/>
              <w:jc w:val="both"/>
              <w:rPr>
                <w:rFonts w:ascii="Times New Roman" w:hAnsi="Times New Roman" w:cs="Times New Roman"/>
                <w:sz w:val="24"/>
                <w:szCs w:val="24"/>
              </w:rPr>
            </w:pPr>
            <w:r w:rsidRPr="00570CEE">
              <w:rPr>
                <w:rFonts w:ascii="Times New Roman" w:hAnsi="Times New Roman" w:cs="Times New Roman"/>
                <w:sz w:val="24"/>
                <w:szCs w:val="24"/>
              </w:rPr>
              <w:t>Objectifs</w:t>
            </w:r>
          </w:p>
        </w:tc>
        <w:tc>
          <w:tcPr>
            <w:tcW w:w="6095" w:type="dxa"/>
          </w:tcPr>
          <w:p w:rsidR="00DA6813" w:rsidRPr="00570CEE" w:rsidRDefault="00DA6813" w:rsidP="00A83EA8">
            <w:pPr>
              <w:autoSpaceDE w:val="0"/>
              <w:autoSpaceDN w:val="0"/>
              <w:adjustRightInd w:val="0"/>
              <w:spacing w:line="360" w:lineRule="auto"/>
              <w:jc w:val="both"/>
              <w:cnfStyle w:val="000000100000"/>
              <w:rPr>
                <w:rFonts w:ascii="Times New Roman" w:hAnsi="Times New Roman" w:cs="Times New Roman"/>
                <w:b/>
                <w:sz w:val="24"/>
                <w:szCs w:val="24"/>
              </w:rPr>
            </w:pPr>
            <w:r w:rsidRPr="00570CEE">
              <w:rPr>
                <w:rFonts w:ascii="Times New Roman" w:hAnsi="Times New Roman" w:cs="Times New Roman"/>
                <w:b/>
                <w:sz w:val="24"/>
                <w:szCs w:val="24"/>
              </w:rPr>
              <w:t>Indicateurs</w:t>
            </w:r>
          </w:p>
        </w:tc>
      </w:tr>
      <w:tr w:rsidR="00DA6813" w:rsidTr="00A83EA8">
        <w:trPr>
          <w:cnfStyle w:val="000000010000"/>
        </w:trPr>
        <w:tc>
          <w:tcPr>
            <w:cnfStyle w:val="001000000000"/>
            <w:tcW w:w="2802" w:type="dxa"/>
            <w:vAlign w:val="center"/>
          </w:tcPr>
          <w:p w:rsidR="00DA6813" w:rsidRPr="00B362A9" w:rsidRDefault="00DA6813" w:rsidP="00540A65">
            <w:pPr>
              <w:pStyle w:val="Paragraphedeliste"/>
              <w:numPr>
                <w:ilvl w:val="0"/>
                <w:numId w:val="20"/>
              </w:numPr>
              <w:autoSpaceDE w:val="0"/>
              <w:autoSpaceDN w:val="0"/>
              <w:adjustRightInd w:val="0"/>
              <w:spacing w:line="360" w:lineRule="auto"/>
              <w:rPr>
                <w:rFonts w:ascii="Times New Roman" w:hAnsi="Times New Roman" w:cs="Times New Roman"/>
              </w:rPr>
            </w:pPr>
            <w:r w:rsidRPr="00B362A9">
              <w:rPr>
                <w:rFonts w:ascii="Times New Roman" w:hAnsi="Times New Roman" w:cs="Times New Roman"/>
              </w:rPr>
              <w:t>Être une université connectée à son milieu</w:t>
            </w:r>
          </w:p>
          <w:p w:rsidR="00DA6813" w:rsidRPr="00570CEE" w:rsidRDefault="00DA6813" w:rsidP="00A83EA8">
            <w:pPr>
              <w:pStyle w:val="Paragraphedeliste"/>
              <w:autoSpaceDE w:val="0"/>
              <w:autoSpaceDN w:val="0"/>
              <w:adjustRightInd w:val="0"/>
              <w:spacing w:line="360" w:lineRule="auto"/>
              <w:ind w:left="360"/>
              <w:rPr>
                <w:rFonts w:ascii="Times New Roman" w:hAnsi="Times New Roman" w:cs="Times New Roman"/>
              </w:rPr>
            </w:pPr>
          </w:p>
        </w:tc>
        <w:tc>
          <w:tcPr>
            <w:tcW w:w="6095" w:type="dxa"/>
          </w:tcPr>
          <w:p w:rsidR="00DA6813" w:rsidRDefault="00DA6813" w:rsidP="00540A65">
            <w:pPr>
              <w:pStyle w:val="Paragraphedeliste"/>
              <w:numPr>
                <w:ilvl w:val="0"/>
                <w:numId w:val="14"/>
              </w:numPr>
              <w:autoSpaceDE w:val="0"/>
              <w:autoSpaceDN w:val="0"/>
              <w:adjustRightInd w:val="0"/>
              <w:spacing w:line="276" w:lineRule="auto"/>
              <w:cnfStyle w:val="000000010000"/>
              <w:rPr>
                <w:rFonts w:ascii="Times New Roman" w:hAnsi="Times New Roman" w:cs="Times New Roman"/>
                <w:sz w:val="20"/>
                <w:szCs w:val="20"/>
              </w:rPr>
            </w:pPr>
            <w:r>
              <w:rPr>
                <w:rFonts w:ascii="Times New Roman" w:hAnsi="Times New Roman" w:cs="Times New Roman"/>
                <w:sz w:val="20"/>
                <w:szCs w:val="20"/>
              </w:rPr>
              <w:t>Nombre de propositions de partenariat faites par l’UQTR au milieu régional</w:t>
            </w:r>
          </w:p>
          <w:p w:rsidR="00DA6813" w:rsidRDefault="00DA6813" w:rsidP="00540A65">
            <w:pPr>
              <w:pStyle w:val="Paragraphedeliste"/>
              <w:numPr>
                <w:ilvl w:val="0"/>
                <w:numId w:val="14"/>
              </w:numPr>
              <w:autoSpaceDE w:val="0"/>
              <w:autoSpaceDN w:val="0"/>
              <w:adjustRightInd w:val="0"/>
              <w:spacing w:line="276" w:lineRule="auto"/>
              <w:cnfStyle w:val="000000010000"/>
              <w:rPr>
                <w:rFonts w:ascii="Times New Roman" w:hAnsi="Times New Roman" w:cs="Times New Roman"/>
                <w:sz w:val="20"/>
                <w:szCs w:val="20"/>
              </w:rPr>
            </w:pPr>
            <w:r>
              <w:rPr>
                <w:rFonts w:ascii="Times New Roman" w:hAnsi="Times New Roman" w:cs="Times New Roman"/>
                <w:sz w:val="20"/>
                <w:szCs w:val="20"/>
              </w:rPr>
              <w:t>Nombre de demandes de partenariat faites par le milieu</w:t>
            </w:r>
          </w:p>
          <w:p w:rsidR="00DA6813" w:rsidRPr="009D6AC1" w:rsidRDefault="00DA6813" w:rsidP="00540A65">
            <w:pPr>
              <w:pStyle w:val="Paragraphedeliste"/>
              <w:numPr>
                <w:ilvl w:val="0"/>
                <w:numId w:val="14"/>
              </w:numPr>
              <w:autoSpaceDE w:val="0"/>
              <w:autoSpaceDN w:val="0"/>
              <w:adjustRightInd w:val="0"/>
              <w:spacing w:line="276" w:lineRule="auto"/>
              <w:cnfStyle w:val="000000010000"/>
              <w:rPr>
                <w:rFonts w:ascii="Times New Roman" w:hAnsi="Times New Roman" w:cs="Times New Roman"/>
                <w:sz w:val="20"/>
                <w:szCs w:val="20"/>
              </w:rPr>
            </w:pPr>
            <w:r>
              <w:rPr>
                <w:rFonts w:ascii="Times New Roman" w:hAnsi="Times New Roman" w:cs="Times New Roman"/>
                <w:sz w:val="20"/>
                <w:szCs w:val="20"/>
              </w:rPr>
              <w:t>Nombre d’activités de relations de presse</w:t>
            </w:r>
          </w:p>
        </w:tc>
      </w:tr>
      <w:tr w:rsidR="00DA6813" w:rsidTr="00A83EA8">
        <w:trPr>
          <w:cnfStyle w:val="000000100000"/>
          <w:trHeight w:val="1515"/>
        </w:trPr>
        <w:tc>
          <w:tcPr>
            <w:cnfStyle w:val="001000000000"/>
            <w:tcW w:w="2802" w:type="dxa"/>
            <w:vAlign w:val="center"/>
          </w:tcPr>
          <w:p w:rsidR="00DA6813" w:rsidRPr="00425F84" w:rsidRDefault="00DA6813" w:rsidP="00540A65">
            <w:pPr>
              <w:pStyle w:val="Paragraphedeliste"/>
              <w:numPr>
                <w:ilvl w:val="0"/>
                <w:numId w:val="20"/>
              </w:numPr>
              <w:autoSpaceDE w:val="0"/>
              <w:autoSpaceDN w:val="0"/>
              <w:adjustRightInd w:val="0"/>
              <w:spacing w:line="360" w:lineRule="auto"/>
              <w:rPr>
                <w:rFonts w:ascii="Times New Roman" w:hAnsi="Times New Roman" w:cs="Times New Roman"/>
              </w:rPr>
            </w:pPr>
            <w:r>
              <w:rPr>
                <w:rFonts w:ascii="Times New Roman" w:hAnsi="Times New Roman" w:cs="Times New Roman"/>
              </w:rPr>
              <w:t>Encourager le partage des connaissances et des pratiques</w:t>
            </w:r>
          </w:p>
        </w:tc>
        <w:tc>
          <w:tcPr>
            <w:tcW w:w="6095" w:type="dxa"/>
          </w:tcPr>
          <w:p w:rsidR="00DA6813" w:rsidRPr="009D6AC1" w:rsidRDefault="00DA6813" w:rsidP="00540A65">
            <w:pPr>
              <w:pStyle w:val="Paragraphedeliste"/>
              <w:numPr>
                <w:ilvl w:val="0"/>
                <w:numId w:val="14"/>
              </w:numPr>
              <w:tabs>
                <w:tab w:val="left" w:pos="1205"/>
              </w:tabs>
              <w:autoSpaceDE w:val="0"/>
              <w:autoSpaceDN w:val="0"/>
              <w:adjustRightInd w:val="0"/>
              <w:spacing w:line="276" w:lineRule="auto"/>
              <w:cnfStyle w:val="000000100000"/>
              <w:rPr>
                <w:rFonts w:ascii="Times New Roman" w:hAnsi="Times New Roman" w:cs="Times New Roman"/>
                <w:sz w:val="20"/>
                <w:szCs w:val="20"/>
              </w:rPr>
            </w:pPr>
            <w:r>
              <w:rPr>
                <w:rFonts w:ascii="Times New Roman" w:hAnsi="Times New Roman" w:cs="Times New Roman"/>
                <w:sz w:val="20"/>
                <w:szCs w:val="20"/>
              </w:rPr>
              <w:t>Nombre d’activités de partage des connaissances et des pratiques entre le milieu universitaire et régional</w:t>
            </w:r>
          </w:p>
        </w:tc>
      </w:tr>
      <w:tr w:rsidR="00DA6813" w:rsidTr="00A83EA8">
        <w:trPr>
          <w:cnfStyle w:val="000000010000"/>
        </w:trPr>
        <w:tc>
          <w:tcPr>
            <w:cnfStyle w:val="001000000000"/>
            <w:tcW w:w="2802" w:type="dxa"/>
            <w:vAlign w:val="center"/>
          </w:tcPr>
          <w:p w:rsidR="00DA6813" w:rsidRPr="00570CEE" w:rsidRDefault="00DA6813" w:rsidP="00540A65">
            <w:pPr>
              <w:pStyle w:val="Paragraphedeliste"/>
              <w:numPr>
                <w:ilvl w:val="0"/>
                <w:numId w:val="20"/>
              </w:numPr>
              <w:autoSpaceDE w:val="0"/>
              <w:autoSpaceDN w:val="0"/>
              <w:adjustRightInd w:val="0"/>
              <w:spacing w:line="360" w:lineRule="auto"/>
              <w:rPr>
                <w:rFonts w:ascii="Times New Roman" w:hAnsi="Times New Roman" w:cs="Times New Roman"/>
              </w:rPr>
            </w:pPr>
            <w:r>
              <w:rPr>
                <w:rFonts w:ascii="Times New Roman" w:hAnsi="Times New Roman" w:cs="Times New Roman"/>
              </w:rPr>
              <w:t>Évoluer avec la communauté</w:t>
            </w:r>
          </w:p>
          <w:p w:rsidR="00DA6813" w:rsidRPr="00570CEE" w:rsidRDefault="00DA6813" w:rsidP="00A83EA8">
            <w:pPr>
              <w:autoSpaceDE w:val="0"/>
              <w:autoSpaceDN w:val="0"/>
              <w:adjustRightInd w:val="0"/>
              <w:spacing w:line="360" w:lineRule="auto"/>
              <w:rPr>
                <w:rFonts w:ascii="Times New Roman" w:hAnsi="Times New Roman" w:cs="Times New Roman"/>
              </w:rPr>
            </w:pPr>
          </w:p>
        </w:tc>
        <w:tc>
          <w:tcPr>
            <w:tcW w:w="6095" w:type="dxa"/>
          </w:tcPr>
          <w:p w:rsidR="00DA6813" w:rsidRDefault="00DA6813" w:rsidP="00540A65">
            <w:pPr>
              <w:pStyle w:val="Paragraphedeliste"/>
              <w:numPr>
                <w:ilvl w:val="0"/>
                <w:numId w:val="14"/>
              </w:numPr>
              <w:autoSpaceDE w:val="0"/>
              <w:autoSpaceDN w:val="0"/>
              <w:adjustRightInd w:val="0"/>
              <w:spacing w:line="276" w:lineRule="auto"/>
              <w:jc w:val="both"/>
              <w:cnfStyle w:val="000000010000"/>
              <w:rPr>
                <w:rFonts w:ascii="Times New Roman" w:hAnsi="Times New Roman" w:cs="Times New Roman"/>
                <w:sz w:val="20"/>
                <w:szCs w:val="20"/>
              </w:rPr>
            </w:pPr>
            <w:r>
              <w:rPr>
                <w:rFonts w:ascii="Times New Roman" w:hAnsi="Times New Roman" w:cs="Times New Roman"/>
                <w:sz w:val="20"/>
                <w:szCs w:val="20"/>
              </w:rPr>
              <w:t>Nombre d’activités de formation continue et degré de participation</w:t>
            </w:r>
          </w:p>
          <w:p w:rsidR="00DA6813" w:rsidRDefault="00DA6813" w:rsidP="00540A65">
            <w:pPr>
              <w:pStyle w:val="Paragraphedeliste"/>
              <w:numPr>
                <w:ilvl w:val="0"/>
                <w:numId w:val="14"/>
              </w:numPr>
              <w:autoSpaceDE w:val="0"/>
              <w:autoSpaceDN w:val="0"/>
              <w:adjustRightInd w:val="0"/>
              <w:spacing w:line="276" w:lineRule="auto"/>
              <w:jc w:val="both"/>
              <w:cnfStyle w:val="000000010000"/>
              <w:rPr>
                <w:rFonts w:ascii="Times New Roman" w:hAnsi="Times New Roman" w:cs="Times New Roman"/>
                <w:sz w:val="20"/>
                <w:szCs w:val="20"/>
              </w:rPr>
            </w:pPr>
            <w:r>
              <w:rPr>
                <w:rFonts w:ascii="Times New Roman" w:hAnsi="Times New Roman" w:cs="Times New Roman"/>
                <w:sz w:val="20"/>
                <w:szCs w:val="20"/>
              </w:rPr>
              <w:t>Indice de développement des ventes universitaires (nombre d’étudiants, nombre d’activités de formation, nombre de personnels, nombre de diplômés)</w:t>
            </w:r>
          </w:p>
          <w:p w:rsidR="00DA6813" w:rsidRPr="00330CA6" w:rsidRDefault="00DA6813" w:rsidP="00540A65">
            <w:pPr>
              <w:pStyle w:val="Paragraphedeliste"/>
              <w:numPr>
                <w:ilvl w:val="0"/>
                <w:numId w:val="14"/>
              </w:numPr>
              <w:autoSpaceDE w:val="0"/>
              <w:autoSpaceDN w:val="0"/>
              <w:adjustRightInd w:val="0"/>
              <w:spacing w:line="276" w:lineRule="auto"/>
              <w:jc w:val="both"/>
              <w:cnfStyle w:val="000000010000"/>
              <w:rPr>
                <w:rFonts w:ascii="Times New Roman" w:hAnsi="Times New Roman" w:cs="Times New Roman"/>
                <w:sz w:val="20"/>
                <w:szCs w:val="20"/>
              </w:rPr>
            </w:pPr>
            <w:r>
              <w:rPr>
                <w:rFonts w:ascii="Times New Roman" w:hAnsi="Times New Roman" w:cs="Times New Roman"/>
                <w:sz w:val="20"/>
                <w:szCs w:val="20"/>
              </w:rPr>
              <w:t>Offre de formation en réponse aux nouveaux besoins (ex</w:t>
            </w:r>
            <w:r w:rsidRPr="00FF313E">
              <w:rPr>
                <w:rFonts w:ascii="Times New Roman" w:hAnsi="Times New Roman" w:cs="Times New Roman"/>
                <w:sz w:val="20"/>
                <w:szCs w:val="20"/>
              </w:rPr>
              <w:t>. Université du troisième âge</w:t>
            </w:r>
            <w:r>
              <w:rPr>
                <w:rFonts w:ascii="Times New Roman" w:hAnsi="Times New Roman" w:cs="Times New Roman"/>
                <w:sz w:val="20"/>
                <w:szCs w:val="20"/>
              </w:rPr>
              <w:t>)</w:t>
            </w:r>
          </w:p>
        </w:tc>
      </w:tr>
      <w:tr w:rsidR="00DA6813" w:rsidTr="00A83EA8">
        <w:trPr>
          <w:cnfStyle w:val="000000100000"/>
          <w:trHeight w:val="692"/>
        </w:trPr>
        <w:tc>
          <w:tcPr>
            <w:cnfStyle w:val="001000000000"/>
            <w:tcW w:w="2802" w:type="dxa"/>
            <w:vAlign w:val="center"/>
          </w:tcPr>
          <w:p w:rsidR="00DA6813" w:rsidRPr="00425F84" w:rsidRDefault="00DA6813" w:rsidP="00540A65">
            <w:pPr>
              <w:pStyle w:val="Paragraphedeliste"/>
              <w:numPr>
                <w:ilvl w:val="0"/>
                <w:numId w:val="20"/>
              </w:numPr>
              <w:autoSpaceDE w:val="0"/>
              <w:autoSpaceDN w:val="0"/>
              <w:adjustRightInd w:val="0"/>
              <w:spacing w:line="360" w:lineRule="auto"/>
              <w:rPr>
                <w:rFonts w:ascii="Times New Roman" w:hAnsi="Times New Roman" w:cs="Times New Roman"/>
              </w:rPr>
            </w:pPr>
            <w:r>
              <w:rPr>
                <w:rFonts w:ascii="Times New Roman" w:hAnsi="Times New Roman" w:cs="Times New Roman"/>
              </w:rPr>
              <w:t>Favoriser les initiatives conjointes</w:t>
            </w:r>
          </w:p>
        </w:tc>
        <w:tc>
          <w:tcPr>
            <w:tcW w:w="6095" w:type="dxa"/>
          </w:tcPr>
          <w:p w:rsidR="00DA6813" w:rsidRPr="000A4C59" w:rsidRDefault="00DA6813" w:rsidP="00540A65">
            <w:pPr>
              <w:pStyle w:val="Paragraphedeliste"/>
              <w:numPr>
                <w:ilvl w:val="0"/>
                <w:numId w:val="15"/>
              </w:numPr>
              <w:autoSpaceDE w:val="0"/>
              <w:autoSpaceDN w:val="0"/>
              <w:adjustRightInd w:val="0"/>
              <w:spacing w:line="276" w:lineRule="auto"/>
              <w:jc w:val="both"/>
              <w:cnfStyle w:val="000000100000"/>
              <w:rPr>
                <w:rFonts w:ascii="Times New Roman" w:hAnsi="Times New Roman" w:cs="Times New Roman"/>
                <w:sz w:val="20"/>
                <w:szCs w:val="20"/>
              </w:rPr>
            </w:pPr>
            <w:r>
              <w:rPr>
                <w:rFonts w:ascii="Times New Roman" w:hAnsi="Times New Roman" w:cs="Times New Roman"/>
                <w:sz w:val="20"/>
                <w:szCs w:val="20"/>
              </w:rPr>
              <w:t>Nombre d’ententes de collaboration et d’accords stratégiques avec le milieu</w:t>
            </w:r>
          </w:p>
        </w:tc>
      </w:tr>
      <w:tr w:rsidR="00DA6813" w:rsidTr="00A83EA8">
        <w:trPr>
          <w:cnfStyle w:val="000000010000"/>
          <w:trHeight w:val="1233"/>
        </w:trPr>
        <w:tc>
          <w:tcPr>
            <w:cnfStyle w:val="001000000000"/>
            <w:tcW w:w="2802" w:type="dxa"/>
            <w:vAlign w:val="center"/>
          </w:tcPr>
          <w:p w:rsidR="00DA6813" w:rsidRPr="00570CEE" w:rsidRDefault="00DA6813" w:rsidP="00540A65">
            <w:pPr>
              <w:pStyle w:val="Paragraphedeliste"/>
              <w:numPr>
                <w:ilvl w:val="0"/>
                <w:numId w:val="20"/>
              </w:numPr>
              <w:autoSpaceDE w:val="0"/>
              <w:autoSpaceDN w:val="0"/>
              <w:adjustRightInd w:val="0"/>
              <w:spacing w:line="360" w:lineRule="auto"/>
              <w:rPr>
                <w:rFonts w:ascii="Times New Roman" w:hAnsi="Times New Roman" w:cs="Times New Roman"/>
              </w:rPr>
            </w:pPr>
            <w:r>
              <w:rPr>
                <w:rFonts w:ascii="Times New Roman" w:hAnsi="Times New Roman" w:cs="Times New Roman"/>
              </w:rPr>
              <w:t>Évaluer notre contribution effective à la société</w:t>
            </w:r>
          </w:p>
        </w:tc>
        <w:tc>
          <w:tcPr>
            <w:tcW w:w="6095" w:type="dxa"/>
          </w:tcPr>
          <w:p w:rsidR="00DA6813" w:rsidRDefault="00DA6813" w:rsidP="00540A65">
            <w:pPr>
              <w:pStyle w:val="Paragraphedeliste"/>
              <w:numPr>
                <w:ilvl w:val="0"/>
                <w:numId w:val="16"/>
              </w:numPr>
              <w:autoSpaceDE w:val="0"/>
              <w:autoSpaceDN w:val="0"/>
              <w:adjustRightInd w:val="0"/>
              <w:spacing w:line="276" w:lineRule="auto"/>
              <w:jc w:val="both"/>
              <w:cnfStyle w:val="000000010000"/>
              <w:rPr>
                <w:rFonts w:ascii="Times New Roman" w:hAnsi="Times New Roman" w:cs="Times New Roman"/>
                <w:sz w:val="20"/>
                <w:szCs w:val="20"/>
              </w:rPr>
            </w:pPr>
            <w:r>
              <w:rPr>
                <w:rFonts w:ascii="Times New Roman" w:hAnsi="Times New Roman" w:cs="Times New Roman"/>
                <w:sz w:val="20"/>
                <w:szCs w:val="20"/>
              </w:rPr>
              <w:t>Taux de placement des diplômes</w:t>
            </w:r>
          </w:p>
          <w:p w:rsidR="00DA6813" w:rsidRDefault="00DA6813" w:rsidP="00540A65">
            <w:pPr>
              <w:pStyle w:val="Paragraphedeliste"/>
              <w:numPr>
                <w:ilvl w:val="0"/>
                <w:numId w:val="16"/>
              </w:numPr>
              <w:autoSpaceDE w:val="0"/>
              <w:autoSpaceDN w:val="0"/>
              <w:adjustRightInd w:val="0"/>
              <w:spacing w:line="276" w:lineRule="auto"/>
              <w:jc w:val="both"/>
              <w:cnfStyle w:val="000000010000"/>
              <w:rPr>
                <w:rFonts w:ascii="Times New Roman" w:hAnsi="Times New Roman" w:cs="Times New Roman"/>
                <w:sz w:val="20"/>
                <w:szCs w:val="20"/>
              </w:rPr>
            </w:pPr>
            <w:r>
              <w:rPr>
                <w:rFonts w:ascii="Times New Roman" w:hAnsi="Times New Roman" w:cs="Times New Roman"/>
                <w:sz w:val="20"/>
                <w:szCs w:val="20"/>
              </w:rPr>
              <w:t>Degré de satisfaction des employeurs quant aux compétences à la qualification des diplômés</w:t>
            </w:r>
          </w:p>
          <w:p w:rsidR="00DA6813" w:rsidRDefault="00DA6813" w:rsidP="00540A65">
            <w:pPr>
              <w:pStyle w:val="Paragraphedeliste"/>
              <w:numPr>
                <w:ilvl w:val="0"/>
                <w:numId w:val="16"/>
              </w:numPr>
              <w:autoSpaceDE w:val="0"/>
              <w:autoSpaceDN w:val="0"/>
              <w:adjustRightInd w:val="0"/>
              <w:spacing w:line="276" w:lineRule="auto"/>
              <w:jc w:val="both"/>
              <w:cnfStyle w:val="000000010000"/>
              <w:rPr>
                <w:rFonts w:ascii="Times New Roman" w:hAnsi="Times New Roman" w:cs="Times New Roman"/>
                <w:sz w:val="20"/>
                <w:szCs w:val="20"/>
              </w:rPr>
            </w:pPr>
            <w:r>
              <w:rPr>
                <w:rFonts w:ascii="Times New Roman" w:hAnsi="Times New Roman" w:cs="Times New Roman"/>
                <w:sz w:val="20"/>
                <w:szCs w:val="20"/>
              </w:rPr>
              <w:t>Trajectoire professionnelle des diplômés</w:t>
            </w:r>
          </w:p>
          <w:p w:rsidR="00DA6813" w:rsidRPr="000D751B" w:rsidRDefault="00DA6813" w:rsidP="00A83EA8">
            <w:pPr>
              <w:pStyle w:val="Paragraphedeliste"/>
              <w:autoSpaceDE w:val="0"/>
              <w:autoSpaceDN w:val="0"/>
              <w:adjustRightInd w:val="0"/>
              <w:spacing w:line="276" w:lineRule="auto"/>
              <w:ind w:left="360"/>
              <w:jc w:val="both"/>
              <w:cnfStyle w:val="000000010000"/>
              <w:rPr>
                <w:rFonts w:ascii="Times New Roman" w:hAnsi="Times New Roman" w:cs="Times New Roman"/>
                <w:sz w:val="20"/>
                <w:szCs w:val="20"/>
              </w:rPr>
            </w:pPr>
          </w:p>
        </w:tc>
      </w:tr>
    </w:tbl>
    <w:p w:rsidR="00DA6813" w:rsidRDefault="00DA6813" w:rsidP="00DA6813">
      <w:pPr>
        <w:tabs>
          <w:tab w:val="left" w:pos="2730"/>
        </w:tabs>
        <w:spacing w:line="360" w:lineRule="auto"/>
        <w:jc w:val="both"/>
        <w:rPr>
          <w:rFonts w:ascii="Times New Roman" w:hAnsi="Times New Roman" w:cs="Times New Roman"/>
          <w:b/>
          <w:sz w:val="24"/>
          <w:szCs w:val="24"/>
        </w:rPr>
      </w:pPr>
    </w:p>
    <w:p w:rsidR="00DA6813" w:rsidRDefault="00DA6813" w:rsidP="00DA6813">
      <w:pP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rsidR="000D0609" w:rsidRPr="00A802FC" w:rsidRDefault="008F217B" w:rsidP="00A802FC">
      <w:pPr>
        <w:pStyle w:val="Titre1"/>
      </w:pPr>
      <w:bookmarkStart w:id="6" w:name="_Toc417486220"/>
      <w:r w:rsidRPr="00A802FC">
        <w:lastRenderedPageBreak/>
        <w:t>DIAGNOSTIC STRATÉGIQUE</w:t>
      </w:r>
      <w:bookmarkEnd w:id="6"/>
    </w:p>
    <w:p w:rsidR="000D0609" w:rsidRPr="00A802FC" w:rsidRDefault="007A7A51" w:rsidP="007A7A51">
      <w:pPr>
        <w:pStyle w:val="Titre2"/>
      </w:pPr>
      <w:bookmarkStart w:id="7" w:name="_Toc417486221"/>
      <w:r>
        <w:t xml:space="preserve">2. </w:t>
      </w:r>
      <w:r w:rsidR="000D0609" w:rsidRPr="00A802FC">
        <w:t>L’environnement</w:t>
      </w:r>
      <w:bookmarkEnd w:id="7"/>
    </w:p>
    <w:p w:rsidR="00BB6046" w:rsidRDefault="00764798" w:rsidP="00764798">
      <w:pPr>
        <w:pStyle w:val="Titre3"/>
        <w:rPr>
          <w:rFonts w:ascii="Times New Roman" w:hAnsi="Times New Roman" w:cs="Times New Roman"/>
          <w:color w:val="auto"/>
          <w:sz w:val="24"/>
          <w:szCs w:val="24"/>
        </w:rPr>
      </w:pPr>
      <w:bookmarkStart w:id="8" w:name="_Toc417486222"/>
      <w:r>
        <w:t xml:space="preserve">2.1 </w:t>
      </w:r>
      <w:proofErr w:type="spellStart"/>
      <w:r w:rsidR="000D0609" w:rsidRPr="00A802FC">
        <w:t>Macroenvironnement</w:t>
      </w:r>
      <w:bookmarkEnd w:id="8"/>
      <w:proofErr w:type="spellEnd"/>
      <w:r w:rsidR="00BB6046">
        <w:rPr>
          <w:rFonts w:ascii="Times New Roman" w:hAnsi="Times New Roman" w:cs="Times New Roman"/>
          <w:color w:val="auto"/>
          <w:sz w:val="24"/>
          <w:szCs w:val="24"/>
        </w:rPr>
        <w:t xml:space="preserve"> </w:t>
      </w:r>
    </w:p>
    <w:p w:rsidR="00CC6767" w:rsidRPr="00BB6046" w:rsidRDefault="00EE58D6" w:rsidP="00BB6046">
      <w:pPr>
        <w:pStyle w:val="Titre4"/>
        <w:ind w:left="360"/>
      </w:pPr>
      <w:bookmarkStart w:id="9" w:name="_Toc417486223"/>
      <w:r>
        <w:t>2</w:t>
      </w:r>
      <w:r w:rsidR="00BB6046" w:rsidRPr="00BB6046">
        <w:t>.1.</w:t>
      </w:r>
      <w:r>
        <w:t>1</w:t>
      </w:r>
      <w:r w:rsidR="008F217B" w:rsidRPr="00BB6046">
        <w:t xml:space="preserve"> </w:t>
      </w:r>
      <w:r w:rsidR="000D0609" w:rsidRPr="00BB6046">
        <w:t>PESTEL</w:t>
      </w:r>
      <w:bookmarkEnd w:id="9"/>
    </w:p>
    <w:p w:rsidR="00CC6767" w:rsidRPr="00441F0A" w:rsidRDefault="00CC6767" w:rsidP="00CC6767">
      <w:pPr>
        <w:pStyle w:val="Paragraphedeliste"/>
        <w:spacing w:line="360" w:lineRule="auto"/>
        <w:jc w:val="both"/>
        <w:rPr>
          <w:rFonts w:ascii="Times New Roman" w:hAnsi="Times New Roman" w:cs="Times New Roman"/>
          <w:i/>
          <w:sz w:val="24"/>
          <w:szCs w:val="24"/>
        </w:rPr>
      </w:pPr>
      <w:r w:rsidRPr="00441F0A">
        <w:rPr>
          <w:rFonts w:ascii="Times New Roman" w:hAnsi="Times New Roman" w:cs="Times New Roman"/>
          <w:i/>
          <w:sz w:val="24"/>
          <w:szCs w:val="24"/>
        </w:rPr>
        <w:t>Comprendre le contexte PEST</w:t>
      </w:r>
      <w:r w:rsidR="008F4E76">
        <w:rPr>
          <w:rFonts w:ascii="Times New Roman" w:hAnsi="Times New Roman" w:cs="Times New Roman"/>
          <w:i/>
          <w:sz w:val="24"/>
          <w:szCs w:val="24"/>
        </w:rPr>
        <w:t xml:space="preserve">EL </w:t>
      </w:r>
      <w:r w:rsidRPr="00441F0A">
        <w:rPr>
          <w:rFonts w:ascii="Times New Roman" w:hAnsi="Times New Roman" w:cs="Times New Roman"/>
          <w:i/>
          <w:sz w:val="24"/>
          <w:szCs w:val="24"/>
        </w:rPr>
        <w:t>dans lequel œuvre l’UQTR</w:t>
      </w:r>
    </w:p>
    <w:p w:rsidR="00563E4D" w:rsidRDefault="008166F6" w:rsidP="008166F6">
      <w:pPr>
        <w:spacing w:line="276" w:lineRule="auto"/>
        <w:jc w:val="both"/>
        <w:rPr>
          <w:rFonts w:ascii="Times New Roman" w:hAnsi="Times New Roman" w:cs="Times New Roman"/>
          <w:sz w:val="24"/>
          <w:szCs w:val="24"/>
        </w:rPr>
      </w:pPr>
      <w:r w:rsidRPr="00441F0A">
        <w:rPr>
          <w:rFonts w:ascii="Times New Roman" w:hAnsi="Times New Roman" w:cs="Times New Roman"/>
          <w:b/>
          <w:sz w:val="24"/>
          <w:szCs w:val="24"/>
        </w:rPr>
        <w:t>Politique</w:t>
      </w:r>
      <w:r w:rsidRPr="00441F0A">
        <w:rPr>
          <w:rFonts w:ascii="Times New Roman" w:hAnsi="Times New Roman" w:cs="Times New Roman"/>
          <w:sz w:val="24"/>
          <w:szCs w:val="24"/>
        </w:rPr>
        <w:t xml:space="preserve">: </w:t>
      </w:r>
    </w:p>
    <w:p w:rsidR="008166F6" w:rsidRPr="00441F0A" w:rsidRDefault="008166F6" w:rsidP="00563E4D">
      <w:pPr>
        <w:spacing w:line="360" w:lineRule="auto"/>
        <w:jc w:val="both"/>
        <w:rPr>
          <w:rFonts w:ascii="Times New Roman" w:hAnsi="Times New Roman" w:cs="Times New Roman"/>
          <w:sz w:val="24"/>
          <w:szCs w:val="24"/>
        </w:rPr>
      </w:pPr>
      <w:r w:rsidRPr="00441F0A">
        <w:rPr>
          <w:rFonts w:ascii="Times New Roman" w:hAnsi="Times New Roman" w:cs="Times New Roman"/>
          <w:sz w:val="24"/>
          <w:szCs w:val="24"/>
        </w:rPr>
        <w:t xml:space="preserve">Le gouvernement fédéral encourage grandement la poursuite des études </w:t>
      </w:r>
      <w:proofErr w:type="spellStart"/>
      <w:r w:rsidRPr="00441F0A">
        <w:rPr>
          <w:rFonts w:ascii="Times New Roman" w:hAnsi="Times New Roman" w:cs="Times New Roman"/>
          <w:sz w:val="24"/>
          <w:szCs w:val="24"/>
        </w:rPr>
        <w:t>post-secondaires</w:t>
      </w:r>
      <w:proofErr w:type="spellEnd"/>
      <w:r w:rsidRPr="00441F0A">
        <w:rPr>
          <w:rStyle w:val="Appelnotedebasdep"/>
          <w:rFonts w:ascii="Times New Roman" w:hAnsi="Times New Roman" w:cs="Times New Roman"/>
          <w:sz w:val="24"/>
          <w:szCs w:val="24"/>
        </w:rPr>
        <w:footnoteReference w:id="8"/>
      </w:r>
      <w:proofErr w:type="gramStart"/>
      <w:r w:rsidRPr="00441F0A">
        <w:rPr>
          <w:rFonts w:ascii="Times New Roman" w:hAnsi="Times New Roman" w:cs="Times New Roman"/>
          <w:sz w:val="24"/>
          <w:szCs w:val="24"/>
          <w:vertAlign w:val="superscript"/>
        </w:rPr>
        <w:t>,</w:t>
      </w:r>
      <w:r w:rsidRPr="00441F0A">
        <w:rPr>
          <w:rStyle w:val="Appelnotedebasdep"/>
          <w:rFonts w:ascii="Times New Roman" w:hAnsi="Times New Roman" w:cs="Times New Roman"/>
          <w:sz w:val="24"/>
          <w:szCs w:val="24"/>
        </w:rPr>
        <w:footnoteReference w:id="9"/>
      </w:r>
      <w:r w:rsidRPr="00441F0A">
        <w:rPr>
          <w:rFonts w:ascii="Times New Roman" w:hAnsi="Times New Roman" w:cs="Times New Roman"/>
          <w:sz w:val="24"/>
          <w:szCs w:val="24"/>
        </w:rPr>
        <w:t>.</w:t>
      </w:r>
      <w:proofErr w:type="gramEnd"/>
      <w:r w:rsidRPr="00441F0A">
        <w:rPr>
          <w:rFonts w:ascii="Times New Roman" w:hAnsi="Times New Roman" w:cs="Times New Roman"/>
          <w:sz w:val="24"/>
          <w:szCs w:val="24"/>
        </w:rPr>
        <w:t xml:space="preserve"> Mais, le gouvernement du Québec reste muet sur le sujet et impose des coupures aux universités. Ces coupures sont décrites plus </w:t>
      </w:r>
      <w:r w:rsidR="00ED327A">
        <w:rPr>
          <w:rFonts w:ascii="Times New Roman" w:hAnsi="Times New Roman" w:cs="Times New Roman"/>
          <w:sz w:val="24"/>
          <w:szCs w:val="24"/>
        </w:rPr>
        <w:t>en détail</w:t>
      </w:r>
      <w:r w:rsidRPr="00441F0A">
        <w:rPr>
          <w:rFonts w:ascii="Times New Roman" w:hAnsi="Times New Roman" w:cs="Times New Roman"/>
          <w:sz w:val="24"/>
          <w:szCs w:val="24"/>
        </w:rPr>
        <w:t xml:space="preserve"> dans le volet économique.</w:t>
      </w:r>
    </w:p>
    <w:p w:rsidR="008166F6" w:rsidRPr="00441F0A" w:rsidRDefault="008166F6" w:rsidP="00563E4D">
      <w:pPr>
        <w:spacing w:line="360" w:lineRule="auto"/>
        <w:jc w:val="both"/>
        <w:rPr>
          <w:rFonts w:ascii="Times New Roman" w:hAnsi="Times New Roman" w:cs="Times New Roman"/>
          <w:sz w:val="24"/>
          <w:szCs w:val="24"/>
        </w:rPr>
      </w:pPr>
      <w:r w:rsidRPr="00441F0A">
        <w:rPr>
          <w:rFonts w:ascii="Times New Roman" w:hAnsi="Times New Roman" w:cs="Times New Roman"/>
          <w:sz w:val="24"/>
          <w:szCs w:val="24"/>
        </w:rPr>
        <w:t xml:space="preserve">De plus, le gouvernement provincial a œuvré </w:t>
      </w:r>
      <w:r w:rsidR="00ED327A">
        <w:rPr>
          <w:rFonts w:ascii="Times New Roman" w:hAnsi="Times New Roman" w:cs="Times New Roman"/>
          <w:sz w:val="24"/>
          <w:szCs w:val="24"/>
        </w:rPr>
        <w:t>à</w:t>
      </w:r>
      <w:r w:rsidRPr="00441F0A">
        <w:rPr>
          <w:rFonts w:ascii="Times New Roman" w:hAnsi="Times New Roman" w:cs="Times New Roman"/>
          <w:sz w:val="24"/>
          <w:szCs w:val="24"/>
        </w:rPr>
        <w:t xml:space="preserve"> une diminution des bourses accordées aux étudiants universitaires. «En effet, le ministre des Finances annonçait, le 30 mars 2004, une diminution de 63 millions $ du régime des prêts et bourses.</w:t>
      </w:r>
      <w:r w:rsidRPr="00441F0A">
        <w:rPr>
          <w:rStyle w:val="Appelnotedebasdep"/>
          <w:rFonts w:ascii="Times New Roman" w:hAnsi="Times New Roman" w:cs="Times New Roman"/>
          <w:sz w:val="24"/>
          <w:szCs w:val="24"/>
        </w:rPr>
        <w:footnoteReference w:id="10"/>
      </w:r>
      <w:r w:rsidRPr="00441F0A">
        <w:rPr>
          <w:rFonts w:ascii="Times New Roman" w:hAnsi="Times New Roman" w:cs="Times New Roman"/>
          <w:sz w:val="24"/>
          <w:szCs w:val="24"/>
        </w:rPr>
        <w:t>»</w:t>
      </w:r>
    </w:p>
    <w:p w:rsidR="008166F6" w:rsidRPr="00441F0A" w:rsidRDefault="008166F6" w:rsidP="00563E4D">
      <w:pPr>
        <w:spacing w:line="360" w:lineRule="auto"/>
        <w:jc w:val="both"/>
        <w:rPr>
          <w:rFonts w:ascii="Times New Roman" w:hAnsi="Times New Roman" w:cs="Times New Roman"/>
          <w:sz w:val="24"/>
          <w:szCs w:val="24"/>
        </w:rPr>
      </w:pPr>
      <w:r w:rsidRPr="00441F0A">
        <w:rPr>
          <w:rFonts w:ascii="Times New Roman" w:hAnsi="Times New Roman" w:cs="Times New Roman"/>
          <w:sz w:val="24"/>
          <w:szCs w:val="24"/>
        </w:rPr>
        <w:t xml:space="preserve">Finalement, les coupures budgétaires au sein des universités québécoises influencent significativement l’environnement universitaire de la province. En fait, selon sa FEUQ, «en coupant 203,6 M$ dans les universités et 18 M$ dans les Fonds de recherche du Québec, le gouvernement Couillard met l’enseignement </w:t>
      </w:r>
      <w:proofErr w:type="spellStart"/>
      <w:r w:rsidRPr="00441F0A">
        <w:rPr>
          <w:rFonts w:ascii="Times New Roman" w:hAnsi="Times New Roman" w:cs="Times New Roman"/>
          <w:sz w:val="24"/>
          <w:szCs w:val="24"/>
        </w:rPr>
        <w:t>post-secondaire</w:t>
      </w:r>
      <w:proofErr w:type="spellEnd"/>
      <w:r w:rsidRPr="00441F0A">
        <w:rPr>
          <w:rFonts w:ascii="Times New Roman" w:hAnsi="Times New Roman" w:cs="Times New Roman"/>
          <w:sz w:val="24"/>
          <w:szCs w:val="24"/>
        </w:rPr>
        <w:t xml:space="preserve"> et la recherche universitaire en grand danger. Avec ces coupes, ce sont les services aux étudiants, les universités en région, l’offre de cours, la recherche et la mission fondamentale des universités qui sont remis en cause.</w:t>
      </w:r>
      <w:r w:rsidRPr="00441F0A">
        <w:rPr>
          <w:rStyle w:val="Appelnotedebasdep"/>
          <w:rFonts w:ascii="Times New Roman" w:hAnsi="Times New Roman" w:cs="Times New Roman"/>
          <w:sz w:val="24"/>
          <w:szCs w:val="24"/>
        </w:rPr>
        <w:footnoteReference w:id="11"/>
      </w:r>
      <w:r w:rsidRPr="00441F0A">
        <w:rPr>
          <w:rFonts w:ascii="Times New Roman" w:hAnsi="Times New Roman" w:cs="Times New Roman"/>
          <w:sz w:val="24"/>
          <w:szCs w:val="24"/>
        </w:rPr>
        <w:t>»</w:t>
      </w:r>
    </w:p>
    <w:p w:rsidR="00BB6046" w:rsidRDefault="00BB6046" w:rsidP="00563E4D">
      <w:pPr>
        <w:spacing w:line="360" w:lineRule="auto"/>
        <w:jc w:val="both"/>
        <w:rPr>
          <w:rFonts w:ascii="Times New Roman" w:hAnsi="Times New Roman" w:cs="Times New Roman"/>
          <w:b/>
          <w:sz w:val="24"/>
          <w:szCs w:val="24"/>
        </w:rPr>
      </w:pPr>
    </w:p>
    <w:p w:rsidR="00BB6046" w:rsidRDefault="00BB6046" w:rsidP="00563E4D">
      <w:pPr>
        <w:spacing w:line="360" w:lineRule="auto"/>
        <w:jc w:val="both"/>
        <w:rPr>
          <w:rFonts w:ascii="Times New Roman" w:hAnsi="Times New Roman" w:cs="Times New Roman"/>
          <w:b/>
          <w:sz w:val="24"/>
          <w:szCs w:val="24"/>
        </w:rPr>
      </w:pPr>
    </w:p>
    <w:p w:rsidR="00BB6046" w:rsidRDefault="00BB6046" w:rsidP="00563E4D">
      <w:pPr>
        <w:spacing w:line="360" w:lineRule="auto"/>
        <w:jc w:val="both"/>
        <w:rPr>
          <w:rFonts w:ascii="Times New Roman" w:hAnsi="Times New Roman" w:cs="Times New Roman"/>
          <w:b/>
          <w:sz w:val="24"/>
          <w:szCs w:val="24"/>
        </w:rPr>
      </w:pPr>
    </w:p>
    <w:p w:rsidR="00BB6046" w:rsidRDefault="00BB6046" w:rsidP="00563E4D">
      <w:pPr>
        <w:spacing w:line="360" w:lineRule="auto"/>
        <w:jc w:val="both"/>
        <w:rPr>
          <w:rFonts w:ascii="Times New Roman" w:hAnsi="Times New Roman" w:cs="Times New Roman"/>
          <w:b/>
          <w:sz w:val="24"/>
          <w:szCs w:val="24"/>
        </w:rPr>
      </w:pPr>
    </w:p>
    <w:p w:rsidR="00563E4D" w:rsidRDefault="008166F6" w:rsidP="00563E4D">
      <w:pPr>
        <w:spacing w:line="360" w:lineRule="auto"/>
        <w:jc w:val="both"/>
        <w:rPr>
          <w:rFonts w:ascii="Times New Roman" w:hAnsi="Times New Roman" w:cs="Times New Roman"/>
          <w:sz w:val="24"/>
          <w:szCs w:val="24"/>
        </w:rPr>
      </w:pPr>
      <w:r w:rsidRPr="00441F0A">
        <w:rPr>
          <w:rFonts w:ascii="Times New Roman" w:hAnsi="Times New Roman" w:cs="Times New Roman"/>
          <w:b/>
          <w:sz w:val="24"/>
          <w:szCs w:val="24"/>
        </w:rPr>
        <w:t>Économique</w:t>
      </w:r>
      <w:r w:rsidRPr="00441F0A">
        <w:rPr>
          <w:rFonts w:ascii="Times New Roman" w:hAnsi="Times New Roman" w:cs="Times New Roman"/>
          <w:sz w:val="24"/>
          <w:szCs w:val="24"/>
        </w:rPr>
        <w:t xml:space="preserve"> : </w:t>
      </w:r>
    </w:p>
    <w:p w:rsidR="00DF7CFF" w:rsidRPr="00DF7CFF" w:rsidRDefault="00DF7CFF" w:rsidP="00DF7CFF">
      <w:pPr>
        <w:spacing w:line="360" w:lineRule="auto"/>
        <w:ind w:firstLine="708"/>
        <w:jc w:val="both"/>
        <w:rPr>
          <w:rFonts w:ascii="Times New Roman" w:hAnsi="Times New Roman" w:cs="Times New Roman"/>
          <w:sz w:val="24"/>
          <w:szCs w:val="24"/>
        </w:rPr>
      </w:pPr>
      <w:r w:rsidRPr="00DF7CFF">
        <w:rPr>
          <w:rFonts w:ascii="Times New Roman" w:hAnsi="Times New Roman" w:cs="Times New Roman"/>
          <w:sz w:val="24"/>
          <w:szCs w:val="24"/>
        </w:rPr>
        <w:t>Le gouvernement provincial a concrétisé une réduction des bourses accordées aux étudiants universitaires. «En effet, le ministre des Finances annonçait, le 30 mars 2004, une diminution de 63 millions $ du régime des prêts et bourses.</w:t>
      </w:r>
      <w:r w:rsidRPr="00DF7CFF">
        <w:rPr>
          <w:rStyle w:val="Appelnotedebasdep"/>
          <w:rFonts w:ascii="Times New Roman" w:hAnsi="Times New Roman" w:cs="Times New Roman"/>
          <w:sz w:val="24"/>
          <w:szCs w:val="24"/>
        </w:rPr>
        <w:footnoteReference w:id="12"/>
      </w:r>
      <w:r w:rsidRPr="00DF7CFF">
        <w:rPr>
          <w:rFonts w:ascii="Times New Roman" w:hAnsi="Times New Roman" w:cs="Times New Roman"/>
          <w:sz w:val="24"/>
          <w:szCs w:val="24"/>
        </w:rPr>
        <w:t>»</w:t>
      </w:r>
    </w:p>
    <w:p w:rsidR="00DF7CFF" w:rsidRPr="00DF7CFF" w:rsidRDefault="00DF7CFF" w:rsidP="00DF7CFF">
      <w:pPr>
        <w:spacing w:line="360" w:lineRule="auto"/>
        <w:jc w:val="both"/>
        <w:rPr>
          <w:rFonts w:ascii="Times New Roman" w:hAnsi="Times New Roman" w:cs="Times New Roman"/>
          <w:sz w:val="24"/>
          <w:szCs w:val="24"/>
        </w:rPr>
      </w:pPr>
      <w:r w:rsidRPr="00DF7CFF">
        <w:rPr>
          <w:rFonts w:ascii="Times New Roman" w:hAnsi="Times New Roman" w:cs="Times New Roman"/>
          <w:sz w:val="24"/>
          <w:szCs w:val="24"/>
        </w:rPr>
        <w:t xml:space="preserve">De plus, la lecture de plusieurs </w:t>
      </w:r>
      <w:r w:rsidRPr="00DF7CFF">
        <w:rPr>
          <w:rFonts w:ascii="Times New Roman" w:hAnsi="Times New Roman" w:cs="Times New Roman"/>
          <w:i/>
          <w:sz w:val="24"/>
          <w:szCs w:val="24"/>
        </w:rPr>
        <w:t>Panoramas des régions du Québec</w:t>
      </w:r>
      <w:r w:rsidRPr="00DF7CFF">
        <w:rPr>
          <w:rStyle w:val="Appelnotedebasdep"/>
          <w:rFonts w:ascii="Times New Roman" w:hAnsi="Times New Roman" w:cs="Times New Roman"/>
          <w:i/>
          <w:sz w:val="24"/>
          <w:szCs w:val="24"/>
        </w:rPr>
        <w:footnoteReference w:id="13"/>
      </w:r>
      <w:r w:rsidRPr="00DF7CFF">
        <w:rPr>
          <w:rFonts w:ascii="Times New Roman" w:hAnsi="Times New Roman" w:cs="Times New Roman"/>
          <w:sz w:val="24"/>
          <w:szCs w:val="24"/>
        </w:rPr>
        <w:t xml:space="preserve"> nous </w:t>
      </w:r>
      <w:r w:rsidR="003520A0">
        <w:rPr>
          <w:rFonts w:ascii="Times New Roman" w:hAnsi="Times New Roman" w:cs="Times New Roman"/>
          <w:sz w:val="24"/>
          <w:szCs w:val="24"/>
        </w:rPr>
        <w:t>a</w:t>
      </w:r>
      <w:r w:rsidRPr="00DF7CFF">
        <w:rPr>
          <w:rFonts w:ascii="Times New Roman" w:hAnsi="Times New Roman" w:cs="Times New Roman"/>
          <w:sz w:val="24"/>
          <w:szCs w:val="24"/>
        </w:rPr>
        <w:t xml:space="preserve"> permis de mieux comprendre dans quel contexte économique régional l’UQTR s’est-elle développée depuis les 10 à 15 dernières années</w:t>
      </w:r>
      <w:r w:rsidR="00ED327A">
        <w:rPr>
          <w:rFonts w:ascii="Times New Roman" w:hAnsi="Times New Roman" w:cs="Times New Roman"/>
          <w:sz w:val="24"/>
          <w:szCs w:val="24"/>
        </w:rPr>
        <w:t xml:space="preserve"> (</w:t>
      </w:r>
      <w:r w:rsidR="003520A0">
        <w:rPr>
          <w:rFonts w:ascii="Times New Roman" w:hAnsi="Times New Roman" w:cs="Times New Roman"/>
          <w:sz w:val="24"/>
          <w:szCs w:val="24"/>
        </w:rPr>
        <w:t>voir</w:t>
      </w:r>
      <w:r w:rsidR="00ED327A">
        <w:rPr>
          <w:rFonts w:ascii="Times New Roman" w:hAnsi="Times New Roman" w:cs="Times New Roman"/>
          <w:sz w:val="24"/>
          <w:szCs w:val="24"/>
        </w:rPr>
        <w:t xml:space="preserve"> annexe</w:t>
      </w:r>
      <w:r w:rsidR="003520A0">
        <w:rPr>
          <w:rFonts w:ascii="Times New Roman" w:hAnsi="Times New Roman" w:cs="Times New Roman"/>
          <w:sz w:val="24"/>
          <w:szCs w:val="24"/>
        </w:rPr>
        <w:t xml:space="preserve"> B)</w:t>
      </w:r>
      <w:r w:rsidRPr="00DF7CFF">
        <w:rPr>
          <w:rFonts w:ascii="Times New Roman" w:hAnsi="Times New Roman" w:cs="Times New Roman"/>
          <w:sz w:val="24"/>
          <w:szCs w:val="24"/>
        </w:rPr>
        <w:t xml:space="preserve">. Nous en avons tiré des conclusions qui sortent, nous le comprenons, de la visée première d’une analyse PESTEL, c’est-à-dire une analyse du contexte de </w:t>
      </w:r>
      <w:r w:rsidRPr="00DF7CFF">
        <w:rPr>
          <w:rFonts w:ascii="Times New Roman" w:hAnsi="Times New Roman" w:cs="Times New Roman"/>
          <w:i/>
          <w:sz w:val="24"/>
          <w:szCs w:val="24"/>
        </w:rPr>
        <w:t>l’industrie</w:t>
      </w:r>
      <w:r w:rsidRPr="00DF7CFF">
        <w:rPr>
          <w:rFonts w:ascii="Times New Roman" w:hAnsi="Times New Roman" w:cs="Times New Roman"/>
          <w:sz w:val="24"/>
          <w:szCs w:val="24"/>
        </w:rPr>
        <w:t xml:space="preserve"> dans son ensemble. Toutefois, les conclusions tirées sont telles </w:t>
      </w:r>
      <w:proofErr w:type="gramStart"/>
      <w:r w:rsidRPr="00DF7CFF">
        <w:rPr>
          <w:rFonts w:ascii="Times New Roman" w:hAnsi="Times New Roman" w:cs="Times New Roman"/>
          <w:sz w:val="24"/>
          <w:szCs w:val="24"/>
        </w:rPr>
        <w:t>qu’il nous</w:t>
      </w:r>
      <w:proofErr w:type="gramEnd"/>
      <w:r w:rsidRPr="00DF7CFF">
        <w:rPr>
          <w:rFonts w:ascii="Times New Roman" w:hAnsi="Times New Roman" w:cs="Times New Roman"/>
          <w:sz w:val="24"/>
          <w:szCs w:val="24"/>
        </w:rPr>
        <w:t xml:space="preserve"> paraissait non pas important, mais essentiel de partager au lecteur les statistiques compilées et les conclusions qui en découlent.  Il est à noter que, dans cette section, tous les rangs sont exprimés sur un lot de 17 régions administratives québécoises.</w:t>
      </w:r>
    </w:p>
    <w:p w:rsidR="008166F6" w:rsidRPr="00441F0A" w:rsidRDefault="008166F6" w:rsidP="00563E4D">
      <w:pPr>
        <w:spacing w:line="360" w:lineRule="auto"/>
        <w:jc w:val="both"/>
        <w:rPr>
          <w:rFonts w:ascii="Times New Roman" w:hAnsi="Times New Roman" w:cs="Times New Roman"/>
          <w:sz w:val="24"/>
          <w:szCs w:val="24"/>
        </w:rPr>
      </w:pPr>
      <w:r w:rsidRPr="00441F0A">
        <w:rPr>
          <w:rFonts w:ascii="Times New Roman" w:hAnsi="Times New Roman" w:cs="Times New Roman"/>
          <w:sz w:val="24"/>
          <w:szCs w:val="24"/>
        </w:rPr>
        <w:t>En ce qui concerne la province, «comparé à sa performance un an plus tôt, le marché du travail a été plus vigoureux à l’échelle du Québec en 2013. En effet, il s’est créé 47 800 emplois (+ 1,2 %) cette année par rapport à 30 800 (+ 0,8 %) en 2012.</w:t>
      </w:r>
      <w:r w:rsidRPr="00441F0A">
        <w:rPr>
          <w:rStyle w:val="Appelnotedebasdep"/>
          <w:rFonts w:ascii="Times New Roman" w:hAnsi="Times New Roman" w:cs="Times New Roman"/>
          <w:sz w:val="24"/>
          <w:szCs w:val="24"/>
        </w:rPr>
        <w:footnoteReference w:id="14"/>
      </w:r>
      <w:r w:rsidRPr="00441F0A">
        <w:rPr>
          <w:rFonts w:ascii="Times New Roman" w:hAnsi="Times New Roman" w:cs="Times New Roman"/>
          <w:sz w:val="24"/>
          <w:szCs w:val="24"/>
        </w:rPr>
        <w:t>» De plus, «L’emploi progresse dans huit régions administratives sur seize; il recule dans quatre autres et demeure relativement stable dans les quatre régions restantes.</w:t>
      </w:r>
      <w:r w:rsidRPr="00441F0A">
        <w:rPr>
          <w:rStyle w:val="Appelnotedebasdep"/>
          <w:rFonts w:ascii="Times New Roman" w:hAnsi="Times New Roman" w:cs="Times New Roman"/>
          <w:sz w:val="24"/>
          <w:szCs w:val="24"/>
        </w:rPr>
        <w:footnoteReference w:id="15"/>
      </w:r>
      <w:r w:rsidRPr="00441F0A">
        <w:rPr>
          <w:rFonts w:ascii="Times New Roman" w:hAnsi="Times New Roman" w:cs="Times New Roman"/>
          <w:sz w:val="24"/>
          <w:szCs w:val="24"/>
        </w:rPr>
        <w:t>» Finalement, le taux de chômage reste inférieur, mais pas significativement, avec celui du Canada dans son ensemble, avec un taux québécois 7.6% en 2013</w:t>
      </w:r>
      <w:r w:rsidRPr="00441F0A">
        <w:rPr>
          <w:rStyle w:val="Appelnotedebasdep"/>
          <w:rFonts w:ascii="Times New Roman" w:hAnsi="Times New Roman" w:cs="Times New Roman"/>
          <w:sz w:val="24"/>
          <w:szCs w:val="24"/>
        </w:rPr>
        <w:footnoteReference w:id="16"/>
      </w:r>
      <w:r w:rsidRPr="00441F0A">
        <w:rPr>
          <w:rFonts w:ascii="Times New Roman" w:hAnsi="Times New Roman" w:cs="Times New Roman"/>
          <w:sz w:val="24"/>
          <w:szCs w:val="24"/>
        </w:rPr>
        <w:t xml:space="preserve"> versus 7.08% pour l’ensemble du pays</w:t>
      </w:r>
      <w:r w:rsidRPr="00441F0A">
        <w:rPr>
          <w:rStyle w:val="Appelnotedebasdep"/>
          <w:rFonts w:ascii="Times New Roman" w:hAnsi="Times New Roman" w:cs="Times New Roman"/>
          <w:sz w:val="24"/>
          <w:szCs w:val="24"/>
        </w:rPr>
        <w:footnoteReference w:id="17"/>
      </w:r>
      <w:r w:rsidRPr="00441F0A">
        <w:rPr>
          <w:rFonts w:ascii="Times New Roman" w:hAnsi="Times New Roman" w:cs="Times New Roman"/>
          <w:sz w:val="24"/>
          <w:szCs w:val="24"/>
        </w:rPr>
        <w:t>.</w:t>
      </w:r>
    </w:p>
    <w:p w:rsidR="008166F6" w:rsidRPr="00441F0A" w:rsidRDefault="008166F6" w:rsidP="00563E4D">
      <w:pPr>
        <w:spacing w:line="360" w:lineRule="auto"/>
        <w:jc w:val="both"/>
        <w:rPr>
          <w:rFonts w:ascii="Times New Roman" w:hAnsi="Times New Roman" w:cs="Times New Roman"/>
          <w:sz w:val="24"/>
          <w:szCs w:val="24"/>
        </w:rPr>
      </w:pPr>
      <w:r w:rsidRPr="00441F0A">
        <w:rPr>
          <w:rFonts w:ascii="Times New Roman" w:hAnsi="Times New Roman" w:cs="Times New Roman"/>
          <w:sz w:val="24"/>
          <w:szCs w:val="24"/>
        </w:rPr>
        <w:lastRenderedPageBreak/>
        <w:t>Du côté de la Mauricie, le taux de chômage se situait au 13</w:t>
      </w:r>
      <w:r w:rsidRPr="00441F0A">
        <w:rPr>
          <w:rFonts w:ascii="Times New Roman" w:hAnsi="Times New Roman" w:cs="Times New Roman"/>
          <w:sz w:val="24"/>
          <w:szCs w:val="24"/>
          <w:vertAlign w:val="superscript"/>
        </w:rPr>
        <w:t>ème</w:t>
      </w:r>
      <w:r w:rsidRPr="00441F0A">
        <w:rPr>
          <w:rFonts w:ascii="Times New Roman" w:hAnsi="Times New Roman" w:cs="Times New Roman"/>
          <w:sz w:val="24"/>
          <w:szCs w:val="24"/>
        </w:rPr>
        <w:t xml:space="preserve"> rang sur 17 régions, avec 9,4%. Rappelons que le taux de la province pour la même période était de 7.6%. Historiquement, depuis 2004, la région 04 s’est toujours située entre le 11</w:t>
      </w:r>
      <w:r w:rsidRPr="00441F0A">
        <w:rPr>
          <w:rFonts w:ascii="Times New Roman" w:hAnsi="Times New Roman" w:cs="Times New Roman"/>
          <w:sz w:val="24"/>
          <w:szCs w:val="24"/>
          <w:vertAlign w:val="superscript"/>
        </w:rPr>
        <w:t>e</w:t>
      </w:r>
      <w:r w:rsidRPr="00441F0A">
        <w:rPr>
          <w:rFonts w:ascii="Times New Roman" w:hAnsi="Times New Roman" w:cs="Times New Roman"/>
          <w:sz w:val="24"/>
          <w:szCs w:val="24"/>
        </w:rPr>
        <w:t xml:space="preserve"> et le 14</w:t>
      </w:r>
      <w:r w:rsidRPr="00441F0A">
        <w:rPr>
          <w:rFonts w:ascii="Times New Roman" w:hAnsi="Times New Roman" w:cs="Times New Roman"/>
          <w:sz w:val="24"/>
          <w:szCs w:val="24"/>
          <w:vertAlign w:val="superscript"/>
        </w:rPr>
        <w:t>e</w:t>
      </w:r>
      <w:r w:rsidRPr="00441F0A">
        <w:rPr>
          <w:rFonts w:ascii="Times New Roman" w:hAnsi="Times New Roman" w:cs="Times New Roman"/>
          <w:sz w:val="24"/>
          <w:szCs w:val="24"/>
        </w:rPr>
        <w:t xml:space="preserve"> rang sur 17, à l’exception de 2011, où elle se situe au 10</w:t>
      </w:r>
      <w:r w:rsidRPr="00441F0A">
        <w:rPr>
          <w:rFonts w:ascii="Times New Roman" w:hAnsi="Times New Roman" w:cs="Times New Roman"/>
          <w:sz w:val="24"/>
          <w:szCs w:val="24"/>
          <w:vertAlign w:val="superscript"/>
        </w:rPr>
        <w:t>e</w:t>
      </w:r>
      <w:r w:rsidRPr="00441F0A">
        <w:rPr>
          <w:rFonts w:ascii="Times New Roman" w:hAnsi="Times New Roman" w:cs="Times New Roman"/>
          <w:sz w:val="24"/>
          <w:szCs w:val="24"/>
        </w:rPr>
        <w:t xml:space="preserve"> rang. Au sujet du taux d’emploi</w:t>
      </w:r>
      <w:r w:rsidRPr="00441F0A">
        <w:rPr>
          <w:rStyle w:val="Appelnotedebasdep"/>
          <w:rFonts w:ascii="Times New Roman" w:hAnsi="Times New Roman" w:cs="Times New Roman"/>
          <w:sz w:val="24"/>
          <w:szCs w:val="24"/>
        </w:rPr>
        <w:footnoteReference w:id="18"/>
      </w:r>
      <w:r w:rsidRPr="00441F0A">
        <w:rPr>
          <w:rFonts w:ascii="Times New Roman" w:hAnsi="Times New Roman" w:cs="Times New Roman"/>
          <w:sz w:val="24"/>
          <w:szCs w:val="24"/>
        </w:rPr>
        <w:t>, depuis 2006, la Mauricie s’est toujours située au 15</w:t>
      </w:r>
      <w:r w:rsidRPr="00441F0A">
        <w:rPr>
          <w:rFonts w:ascii="Times New Roman" w:hAnsi="Times New Roman" w:cs="Times New Roman"/>
          <w:sz w:val="24"/>
          <w:szCs w:val="24"/>
          <w:vertAlign w:val="superscript"/>
        </w:rPr>
        <w:t>e</w:t>
      </w:r>
      <w:r w:rsidRPr="00441F0A">
        <w:rPr>
          <w:rFonts w:ascii="Times New Roman" w:hAnsi="Times New Roman" w:cs="Times New Roman"/>
          <w:sz w:val="24"/>
          <w:szCs w:val="24"/>
        </w:rPr>
        <w:t xml:space="preserve"> rang sur 17, et ce jusqu’en 2011. En 2012 et 2013, la région a </w:t>
      </w:r>
      <w:r w:rsidR="003520A0">
        <w:rPr>
          <w:rFonts w:ascii="Times New Roman" w:hAnsi="Times New Roman" w:cs="Times New Roman"/>
          <w:sz w:val="24"/>
          <w:szCs w:val="24"/>
        </w:rPr>
        <w:t>chuté</w:t>
      </w:r>
      <w:r w:rsidRPr="00441F0A">
        <w:rPr>
          <w:rFonts w:ascii="Times New Roman" w:hAnsi="Times New Roman" w:cs="Times New Roman"/>
          <w:sz w:val="24"/>
          <w:szCs w:val="24"/>
        </w:rPr>
        <w:t xml:space="preserve"> au 16</w:t>
      </w:r>
      <w:r w:rsidRPr="00441F0A">
        <w:rPr>
          <w:rFonts w:ascii="Times New Roman" w:hAnsi="Times New Roman" w:cs="Times New Roman"/>
          <w:sz w:val="24"/>
          <w:szCs w:val="24"/>
          <w:vertAlign w:val="superscript"/>
        </w:rPr>
        <w:t>e</w:t>
      </w:r>
      <w:r w:rsidRPr="00441F0A">
        <w:rPr>
          <w:rFonts w:ascii="Times New Roman" w:hAnsi="Times New Roman" w:cs="Times New Roman"/>
          <w:sz w:val="24"/>
          <w:szCs w:val="24"/>
        </w:rPr>
        <w:t xml:space="preserve"> rang. Le PIB par habitant, depuis 1998, se situe entre le 10</w:t>
      </w:r>
      <w:r w:rsidRPr="00441F0A">
        <w:rPr>
          <w:rFonts w:ascii="Times New Roman" w:hAnsi="Times New Roman" w:cs="Times New Roman"/>
          <w:sz w:val="24"/>
          <w:szCs w:val="24"/>
          <w:vertAlign w:val="superscript"/>
        </w:rPr>
        <w:t>e</w:t>
      </w:r>
      <w:r w:rsidRPr="00441F0A">
        <w:rPr>
          <w:rFonts w:ascii="Times New Roman" w:hAnsi="Times New Roman" w:cs="Times New Roman"/>
          <w:sz w:val="24"/>
          <w:szCs w:val="24"/>
        </w:rPr>
        <w:t xml:space="preserve"> et le 12</w:t>
      </w:r>
      <w:r w:rsidRPr="00441F0A">
        <w:rPr>
          <w:rFonts w:ascii="Times New Roman" w:hAnsi="Times New Roman" w:cs="Times New Roman"/>
          <w:sz w:val="24"/>
          <w:szCs w:val="24"/>
          <w:vertAlign w:val="superscript"/>
        </w:rPr>
        <w:t>e</w:t>
      </w:r>
      <w:r w:rsidRPr="00441F0A">
        <w:rPr>
          <w:rFonts w:ascii="Times New Roman" w:hAnsi="Times New Roman" w:cs="Times New Roman"/>
          <w:sz w:val="24"/>
          <w:szCs w:val="24"/>
        </w:rPr>
        <w:t xml:space="preserve"> rang. En 2011 et 2012, le PIB a chuté respectivement au 13</w:t>
      </w:r>
      <w:r w:rsidRPr="00441F0A">
        <w:rPr>
          <w:rFonts w:ascii="Times New Roman" w:hAnsi="Times New Roman" w:cs="Times New Roman"/>
          <w:sz w:val="24"/>
          <w:szCs w:val="24"/>
          <w:vertAlign w:val="superscript"/>
        </w:rPr>
        <w:t>e</w:t>
      </w:r>
      <w:r w:rsidRPr="00441F0A">
        <w:rPr>
          <w:rFonts w:ascii="Times New Roman" w:hAnsi="Times New Roman" w:cs="Times New Roman"/>
          <w:sz w:val="24"/>
          <w:szCs w:val="24"/>
        </w:rPr>
        <w:t xml:space="preserve"> puis au 16</w:t>
      </w:r>
      <w:r w:rsidRPr="00441F0A">
        <w:rPr>
          <w:rFonts w:ascii="Times New Roman" w:hAnsi="Times New Roman" w:cs="Times New Roman"/>
          <w:sz w:val="24"/>
          <w:szCs w:val="24"/>
          <w:vertAlign w:val="superscript"/>
        </w:rPr>
        <w:t>e</w:t>
      </w:r>
      <w:r w:rsidRPr="00441F0A">
        <w:rPr>
          <w:rFonts w:ascii="Times New Roman" w:hAnsi="Times New Roman" w:cs="Times New Roman"/>
          <w:sz w:val="24"/>
          <w:szCs w:val="24"/>
        </w:rPr>
        <w:t xml:space="preserve"> rang.</w:t>
      </w:r>
    </w:p>
    <w:p w:rsidR="008166F6" w:rsidRPr="00441F0A" w:rsidRDefault="008166F6" w:rsidP="00563E4D">
      <w:pPr>
        <w:spacing w:line="360" w:lineRule="auto"/>
        <w:jc w:val="both"/>
        <w:rPr>
          <w:rFonts w:ascii="Times New Roman" w:hAnsi="Times New Roman" w:cs="Times New Roman"/>
          <w:sz w:val="24"/>
          <w:szCs w:val="24"/>
        </w:rPr>
      </w:pPr>
      <w:r w:rsidRPr="00441F0A">
        <w:rPr>
          <w:rFonts w:ascii="Times New Roman" w:eastAsia="Times New Roman" w:hAnsi="Times New Roman" w:cs="Times New Roman"/>
          <w:bCs/>
          <w:color w:val="000000"/>
          <w:sz w:val="24"/>
          <w:szCs w:val="24"/>
          <w:lang w:eastAsia="fr-CA"/>
        </w:rPr>
        <w:t>En ce qui concerne les dépenses en immobilisation, tant pour l’industrie des biens que des services</w:t>
      </w:r>
      <w:r w:rsidRPr="00441F0A">
        <w:rPr>
          <w:rStyle w:val="Appelnotedebasdep"/>
          <w:rFonts w:ascii="Times New Roman" w:eastAsia="Times New Roman" w:hAnsi="Times New Roman" w:cs="Times New Roman"/>
          <w:bCs/>
          <w:color w:val="000000"/>
          <w:sz w:val="24"/>
          <w:szCs w:val="24"/>
          <w:lang w:eastAsia="fr-CA"/>
        </w:rPr>
        <w:footnoteReference w:id="19"/>
      </w:r>
      <w:r w:rsidRPr="00441F0A">
        <w:rPr>
          <w:rFonts w:ascii="Times New Roman" w:eastAsia="Times New Roman" w:hAnsi="Times New Roman" w:cs="Times New Roman"/>
          <w:bCs/>
          <w:color w:val="000000"/>
          <w:sz w:val="24"/>
          <w:szCs w:val="24"/>
          <w:lang w:eastAsia="fr-CA"/>
        </w:rPr>
        <w:t xml:space="preserve">, </w:t>
      </w:r>
      <w:r w:rsidRPr="00441F0A">
        <w:rPr>
          <w:rFonts w:ascii="Times New Roman" w:hAnsi="Times New Roman" w:cs="Times New Roman"/>
          <w:sz w:val="24"/>
          <w:szCs w:val="24"/>
        </w:rPr>
        <w:t>la Mauricie a historiquement tenu des rangs variant entre le 6</w:t>
      </w:r>
      <w:r w:rsidRPr="00441F0A">
        <w:rPr>
          <w:rFonts w:ascii="Times New Roman" w:hAnsi="Times New Roman" w:cs="Times New Roman"/>
          <w:sz w:val="24"/>
          <w:szCs w:val="24"/>
          <w:vertAlign w:val="superscript"/>
        </w:rPr>
        <w:t>e</w:t>
      </w:r>
      <w:r w:rsidRPr="00441F0A">
        <w:rPr>
          <w:rFonts w:ascii="Times New Roman" w:hAnsi="Times New Roman" w:cs="Times New Roman"/>
          <w:sz w:val="24"/>
          <w:szCs w:val="24"/>
        </w:rPr>
        <w:t xml:space="preserve"> et le 8</w:t>
      </w:r>
      <w:r w:rsidRPr="00441F0A">
        <w:rPr>
          <w:rFonts w:ascii="Times New Roman" w:hAnsi="Times New Roman" w:cs="Times New Roman"/>
          <w:sz w:val="24"/>
          <w:szCs w:val="24"/>
          <w:vertAlign w:val="superscript"/>
        </w:rPr>
        <w:t>e</w:t>
      </w:r>
      <w:r w:rsidRPr="00441F0A">
        <w:rPr>
          <w:rFonts w:ascii="Times New Roman" w:hAnsi="Times New Roman" w:cs="Times New Roman"/>
          <w:sz w:val="24"/>
          <w:szCs w:val="24"/>
        </w:rPr>
        <w:t xml:space="preserve"> durant la période 2005-2009. Toutefois, à partir de 2010, son rang chute de façon importante et varie désormais entre le 13</w:t>
      </w:r>
      <w:r w:rsidRPr="00441F0A">
        <w:rPr>
          <w:rFonts w:ascii="Times New Roman" w:hAnsi="Times New Roman" w:cs="Times New Roman"/>
          <w:sz w:val="24"/>
          <w:szCs w:val="24"/>
          <w:vertAlign w:val="superscript"/>
        </w:rPr>
        <w:t>e</w:t>
      </w:r>
      <w:r w:rsidRPr="00441F0A">
        <w:rPr>
          <w:rFonts w:ascii="Times New Roman" w:hAnsi="Times New Roman" w:cs="Times New Roman"/>
          <w:sz w:val="24"/>
          <w:szCs w:val="24"/>
        </w:rPr>
        <w:t xml:space="preserve"> et le 14</w:t>
      </w:r>
      <w:r w:rsidRPr="00441F0A">
        <w:rPr>
          <w:rFonts w:ascii="Times New Roman" w:hAnsi="Times New Roman" w:cs="Times New Roman"/>
          <w:sz w:val="24"/>
          <w:szCs w:val="24"/>
          <w:vertAlign w:val="superscript"/>
        </w:rPr>
        <w:t>e</w:t>
      </w:r>
      <w:r w:rsidRPr="00441F0A">
        <w:rPr>
          <w:rFonts w:ascii="Times New Roman" w:hAnsi="Times New Roman" w:cs="Times New Roman"/>
          <w:sz w:val="24"/>
          <w:szCs w:val="24"/>
        </w:rPr>
        <w:t xml:space="preserve"> sur 17 régions. Du côté des dépenses en immobilisation de l’industrie des services, la Mauricie a tenu un rang variant entre le 9</w:t>
      </w:r>
      <w:r w:rsidRPr="00441F0A">
        <w:rPr>
          <w:rFonts w:ascii="Times New Roman" w:hAnsi="Times New Roman" w:cs="Times New Roman"/>
          <w:sz w:val="24"/>
          <w:szCs w:val="24"/>
          <w:vertAlign w:val="superscript"/>
        </w:rPr>
        <w:t>e</w:t>
      </w:r>
      <w:r w:rsidRPr="00441F0A">
        <w:rPr>
          <w:rFonts w:ascii="Times New Roman" w:hAnsi="Times New Roman" w:cs="Times New Roman"/>
          <w:sz w:val="24"/>
          <w:szCs w:val="24"/>
        </w:rPr>
        <w:t xml:space="preserve"> et le 11</w:t>
      </w:r>
      <w:r w:rsidRPr="00441F0A">
        <w:rPr>
          <w:rFonts w:ascii="Times New Roman" w:hAnsi="Times New Roman" w:cs="Times New Roman"/>
          <w:sz w:val="24"/>
          <w:szCs w:val="24"/>
          <w:vertAlign w:val="superscript"/>
        </w:rPr>
        <w:t>e</w:t>
      </w:r>
      <w:r w:rsidRPr="00441F0A">
        <w:rPr>
          <w:rFonts w:ascii="Times New Roman" w:hAnsi="Times New Roman" w:cs="Times New Roman"/>
          <w:sz w:val="24"/>
          <w:szCs w:val="24"/>
        </w:rPr>
        <w:t xml:space="preserve"> de 2005 à 2010. Depuis 2011, la région a tenu le 12</w:t>
      </w:r>
      <w:r w:rsidRPr="00441F0A">
        <w:rPr>
          <w:rFonts w:ascii="Times New Roman" w:hAnsi="Times New Roman" w:cs="Times New Roman"/>
          <w:sz w:val="24"/>
          <w:szCs w:val="24"/>
          <w:vertAlign w:val="superscript"/>
        </w:rPr>
        <w:t>e</w:t>
      </w:r>
      <w:r w:rsidRPr="00441F0A">
        <w:rPr>
          <w:rFonts w:ascii="Times New Roman" w:hAnsi="Times New Roman" w:cs="Times New Roman"/>
          <w:sz w:val="24"/>
          <w:szCs w:val="24"/>
        </w:rPr>
        <w:t xml:space="preserve"> rang, puis le 13</w:t>
      </w:r>
      <w:r w:rsidRPr="00441F0A">
        <w:rPr>
          <w:rFonts w:ascii="Times New Roman" w:hAnsi="Times New Roman" w:cs="Times New Roman"/>
          <w:sz w:val="24"/>
          <w:szCs w:val="24"/>
          <w:vertAlign w:val="superscript"/>
        </w:rPr>
        <w:t>e</w:t>
      </w:r>
      <w:r w:rsidRPr="00441F0A">
        <w:rPr>
          <w:rFonts w:ascii="Times New Roman" w:hAnsi="Times New Roman" w:cs="Times New Roman"/>
          <w:sz w:val="24"/>
          <w:szCs w:val="24"/>
        </w:rPr>
        <w:t xml:space="preserve"> rang en 2013.</w:t>
      </w:r>
    </w:p>
    <w:p w:rsidR="008166F6" w:rsidRPr="00441F0A" w:rsidRDefault="008166F6" w:rsidP="00563E4D">
      <w:pPr>
        <w:spacing w:line="360" w:lineRule="auto"/>
        <w:jc w:val="both"/>
        <w:rPr>
          <w:rFonts w:ascii="Times New Roman" w:hAnsi="Times New Roman" w:cs="Times New Roman"/>
          <w:sz w:val="24"/>
          <w:szCs w:val="24"/>
        </w:rPr>
      </w:pPr>
      <w:r w:rsidRPr="00441F0A">
        <w:rPr>
          <w:rFonts w:ascii="Times New Roman" w:hAnsi="Times New Roman" w:cs="Times New Roman"/>
          <w:sz w:val="24"/>
          <w:szCs w:val="24"/>
        </w:rPr>
        <w:t>D’autres recherches statistiques permettent de conclure que si le contexte économique de la Mauricie est difficile depuis plusieurs années, la situation ne va pas en s’améliorant. En effet, la Mauricie est la troisième région ayant le plus haut taux de faibles revenus après impôt par famille (8.2%)</w:t>
      </w:r>
      <w:r w:rsidRPr="00441F0A">
        <w:rPr>
          <w:rStyle w:val="Appelnotedebasdep"/>
          <w:rFonts w:ascii="Times New Roman" w:hAnsi="Times New Roman" w:cs="Times New Roman"/>
          <w:sz w:val="24"/>
          <w:szCs w:val="24"/>
        </w:rPr>
        <w:footnoteReference w:id="20"/>
      </w:r>
      <w:r w:rsidRPr="00441F0A">
        <w:rPr>
          <w:rFonts w:ascii="Times New Roman" w:hAnsi="Times New Roman" w:cs="Times New Roman"/>
          <w:sz w:val="24"/>
          <w:szCs w:val="24"/>
        </w:rPr>
        <w:t>. De plus, il s’est perdu 5500 emplois en 2013, ce qui fait de la Mauricie la région ayant le deuxième pire recul de croissance de l’emploi au Québec (avec -4.9%)</w:t>
      </w:r>
      <w:r w:rsidRPr="00441F0A">
        <w:rPr>
          <w:rStyle w:val="Appelnotedebasdep"/>
          <w:rFonts w:ascii="Times New Roman" w:hAnsi="Times New Roman" w:cs="Times New Roman"/>
          <w:sz w:val="24"/>
          <w:szCs w:val="24"/>
        </w:rPr>
        <w:footnoteReference w:id="21"/>
      </w:r>
      <w:r w:rsidRPr="00441F0A">
        <w:rPr>
          <w:rFonts w:ascii="Times New Roman" w:hAnsi="Times New Roman" w:cs="Times New Roman"/>
          <w:sz w:val="24"/>
          <w:szCs w:val="24"/>
        </w:rPr>
        <w:t xml:space="preserve">. Les jeunes (15-29 ans) sont majoritairement affectés, avec 3700 emplois </w:t>
      </w:r>
      <w:r w:rsidRPr="00441F0A">
        <w:rPr>
          <w:rFonts w:ascii="Times New Roman" w:hAnsi="Times New Roman" w:cs="Times New Roman"/>
          <w:sz w:val="24"/>
          <w:szCs w:val="24"/>
        </w:rPr>
        <w:lastRenderedPageBreak/>
        <w:t>perdus</w:t>
      </w:r>
      <w:r w:rsidRPr="00441F0A">
        <w:rPr>
          <w:rStyle w:val="Appelnotedebasdep"/>
          <w:rFonts w:ascii="Times New Roman" w:hAnsi="Times New Roman" w:cs="Times New Roman"/>
          <w:sz w:val="24"/>
          <w:szCs w:val="24"/>
        </w:rPr>
        <w:footnoteReference w:id="22"/>
      </w:r>
      <w:r w:rsidRPr="00441F0A">
        <w:rPr>
          <w:rFonts w:ascii="Times New Roman" w:hAnsi="Times New Roman" w:cs="Times New Roman"/>
          <w:sz w:val="24"/>
          <w:szCs w:val="24"/>
        </w:rPr>
        <w:t>. Conséquemment, son taux de chômage se situe au 13</w:t>
      </w:r>
      <w:r w:rsidRPr="00441F0A">
        <w:rPr>
          <w:rFonts w:ascii="Times New Roman" w:hAnsi="Times New Roman" w:cs="Times New Roman"/>
          <w:sz w:val="24"/>
          <w:szCs w:val="24"/>
          <w:vertAlign w:val="superscript"/>
        </w:rPr>
        <w:t>ème</w:t>
      </w:r>
      <w:r w:rsidRPr="00441F0A">
        <w:rPr>
          <w:rFonts w:ascii="Times New Roman" w:hAnsi="Times New Roman" w:cs="Times New Roman"/>
          <w:sz w:val="24"/>
          <w:szCs w:val="24"/>
        </w:rPr>
        <w:t xml:space="preserve"> rang sur 17 régions (9,4%)</w:t>
      </w:r>
      <w:r w:rsidRPr="00441F0A">
        <w:rPr>
          <w:rStyle w:val="Appelnotedebasdep"/>
          <w:rFonts w:ascii="Times New Roman" w:hAnsi="Times New Roman" w:cs="Times New Roman"/>
          <w:sz w:val="24"/>
          <w:szCs w:val="24"/>
        </w:rPr>
        <w:footnoteReference w:id="23"/>
      </w:r>
      <w:r w:rsidRPr="00441F0A">
        <w:rPr>
          <w:rFonts w:ascii="Times New Roman" w:hAnsi="Times New Roman" w:cs="Times New Roman"/>
          <w:sz w:val="24"/>
          <w:szCs w:val="24"/>
        </w:rPr>
        <w:t>. Le taux d’emploi de la Mauricie est le deuxième plus faible des 17 régions du Québec, avec 48,3%</w:t>
      </w:r>
      <w:r w:rsidRPr="00441F0A">
        <w:rPr>
          <w:rStyle w:val="Appelnotedebasdep"/>
          <w:rFonts w:ascii="Times New Roman" w:hAnsi="Times New Roman" w:cs="Times New Roman"/>
          <w:sz w:val="24"/>
          <w:szCs w:val="24"/>
        </w:rPr>
        <w:footnoteReference w:id="24"/>
      </w:r>
      <w:r w:rsidRPr="00441F0A">
        <w:rPr>
          <w:rFonts w:ascii="Times New Roman" w:hAnsi="Times New Roman" w:cs="Times New Roman"/>
          <w:sz w:val="24"/>
          <w:szCs w:val="24"/>
        </w:rPr>
        <w:t>. Du côté du PIB régional, la Mauricie est au 11</w:t>
      </w:r>
      <w:r w:rsidRPr="00441F0A">
        <w:rPr>
          <w:rFonts w:ascii="Times New Roman" w:hAnsi="Times New Roman" w:cs="Times New Roman"/>
          <w:sz w:val="24"/>
          <w:szCs w:val="24"/>
          <w:vertAlign w:val="superscript"/>
        </w:rPr>
        <w:t>e</w:t>
      </w:r>
      <w:r w:rsidRPr="00441F0A">
        <w:rPr>
          <w:rFonts w:ascii="Times New Roman" w:hAnsi="Times New Roman" w:cs="Times New Roman"/>
          <w:sz w:val="24"/>
          <w:szCs w:val="24"/>
        </w:rPr>
        <w:t xml:space="preserve"> rang, avec 8,2M$, soit 31 472$ par habitant</w:t>
      </w:r>
      <w:r w:rsidR="003520A0">
        <w:rPr>
          <w:rFonts w:ascii="Times New Roman" w:hAnsi="Times New Roman" w:cs="Times New Roman"/>
          <w:sz w:val="24"/>
          <w:szCs w:val="24"/>
        </w:rPr>
        <w:t>.</w:t>
      </w:r>
      <w:r w:rsidRPr="00441F0A">
        <w:rPr>
          <w:rStyle w:val="Appelnotedebasdep"/>
          <w:rFonts w:ascii="Times New Roman" w:hAnsi="Times New Roman" w:cs="Times New Roman"/>
          <w:sz w:val="24"/>
          <w:szCs w:val="24"/>
        </w:rPr>
        <w:t xml:space="preserve"> </w:t>
      </w:r>
      <w:r w:rsidRPr="00441F0A">
        <w:rPr>
          <w:rStyle w:val="Appelnotedebasdep"/>
          <w:rFonts w:ascii="Times New Roman" w:hAnsi="Times New Roman" w:cs="Times New Roman"/>
          <w:sz w:val="24"/>
          <w:szCs w:val="24"/>
        </w:rPr>
        <w:footnoteReference w:id="25"/>
      </w:r>
    </w:p>
    <w:p w:rsidR="008166F6" w:rsidRPr="00441F0A" w:rsidRDefault="008166F6" w:rsidP="00563E4D">
      <w:pPr>
        <w:spacing w:line="360" w:lineRule="auto"/>
        <w:jc w:val="both"/>
        <w:rPr>
          <w:rFonts w:ascii="Times New Roman" w:hAnsi="Times New Roman" w:cs="Times New Roman"/>
          <w:sz w:val="24"/>
          <w:szCs w:val="24"/>
        </w:rPr>
      </w:pPr>
      <w:r w:rsidRPr="00441F0A">
        <w:rPr>
          <w:rFonts w:ascii="Times New Roman" w:hAnsi="Times New Roman" w:cs="Times New Roman"/>
          <w:sz w:val="24"/>
          <w:szCs w:val="24"/>
        </w:rPr>
        <w:t>Ces données nous permettent de conclure que la Mauricie est, depuis les 10 dernières années, une région économique faible et sans regain significatif de santé. Considérant que l’une des missions de l’UQTR est de participer au développement des régions du Québec, il est à se demander si l’UQTR a réellement connu la réussite dans cette facette de son mandat.</w:t>
      </w:r>
    </w:p>
    <w:p w:rsidR="00563E4D" w:rsidRDefault="008166F6" w:rsidP="00563E4D">
      <w:pPr>
        <w:autoSpaceDE w:val="0"/>
        <w:autoSpaceDN w:val="0"/>
        <w:adjustRightInd w:val="0"/>
        <w:spacing w:after="0" w:line="360" w:lineRule="auto"/>
        <w:jc w:val="both"/>
        <w:rPr>
          <w:rFonts w:ascii="Times New Roman" w:hAnsi="Times New Roman" w:cs="Times New Roman"/>
          <w:sz w:val="24"/>
          <w:szCs w:val="24"/>
        </w:rPr>
      </w:pPr>
      <w:r w:rsidRPr="00441F0A">
        <w:rPr>
          <w:rFonts w:ascii="Times New Roman" w:hAnsi="Times New Roman" w:cs="Times New Roman"/>
          <w:b/>
          <w:sz w:val="24"/>
          <w:szCs w:val="24"/>
        </w:rPr>
        <w:t>Social</w:t>
      </w:r>
      <w:r w:rsidRPr="00441F0A">
        <w:rPr>
          <w:rFonts w:ascii="Times New Roman" w:hAnsi="Times New Roman" w:cs="Times New Roman"/>
          <w:sz w:val="24"/>
          <w:szCs w:val="24"/>
        </w:rPr>
        <w:t xml:space="preserve"> : </w:t>
      </w:r>
    </w:p>
    <w:p w:rsidR="008166F6" w:rsidRPr="00441F0A" w:rsidRDefault="008166F6" w:rsidP="00563E4D">
      <w:pPr>
        <w:autoSpaceDE w:val="0"/>
        <w:autoSpaceDN w:val="0"/>
        <w:adjustRightInd w:val="0"/>
        <w:spacing w:after="0" w:line="360" w:lineRule="auto"/>
        <w:jc w:val="both"/>
        <w:rPr>
          <w:rFonts w:ascii="Times New Roman" w:hAnsi="Times New Roman" w:cs="Times New Roman"/>
          <w:sz w:val="24"/>
          <w:szCs w:val="24"/>
        </w:rPr>
      </w:pPr>
      <w:r w:rsidRPr="00441F0A">
        <w:rPr>
          <w:rFonts w:ascii="Times New Roman" w:hAnsi="Times New Roman" w:cs="Times New Roman"/>
          <w:sz w:val="24"/>
          <w:szCs w:val="24"/>
        </w:rPr>
        <w:t>Au niveau social, la popula</w:t>
      </w:r>
      <w:r w:rsidR="003520A0">
        <w:rPr>
          <w:rFonts w:ascii="Times New Roman" w:hAnsi="Times New Roman" w:cs="Times New Roman"/>
          <w:sz w:val="24"/>
          <w:szCs w:val="24"/>
        </w:rPr>
        <w:t>tion québécoise connait une hauss</w:t>
      </w:r>
      <w:r w:rsidRPr="00441F0A">
        <w:rPr>
          <w:rFonts w:ascii="Times New Roman" w:hAnsi="Times New Roman" w:cs="Times New Roman"/>
          <w:sz w:val="24"/>
          <w:szCs w:val="24"/>
        </w:rPr>
        <w:t>e de son niveau de scolarisation. En effet, en 1990,  38 % des Québécois présentaient un profil professionnel dépourvu de diplômes; en 2012, ce chiffre avait descendu à 14 %</w:t>
      </w:r>
      <w:r w:rsidRPr="00441F0A">
        <w:rPr>
          <w:rStyle w:val="Appelnotedebasdep"/>
          <w:rFonts w:ascii="Times New Roman" w:hAnsi="Times New Roman" w:cs="Times New Roman"/>
          <w:sz w:val="24"/>
          <w:szCs w:val="24"/>
        </w:rPr>
        <w:footnoteReference w:id="26"/>
      </w:r>
      <w:r w:rsidRPr="00441F0A">
        <w:rPr>
          <w:rFonts w:ascii="Times New Roman" w:hAnsi="Times New Roman" w:cs="Times New Roman"/>
          <w:sz w:val="24"/>
          <w:szCs w:val="24"/>
        </w:rPr>
        <w:t xml:space="preserve">. Plus encore, la population du Québec fréquente </w:t>
      </w:r>
      <w:r w:rsidR="003520A0">
        <w:rPr>
          <w:rFonts w:ascii="Times New Roman" w:hAnsi="Times New Roman" w:cs="Times New Roman"/>
          <w:sz w:val="24"/>
          <w:szCs w:val="24"/>
        </w:rPr>
        <w:t>davantage</w:t>
      </w:r>
      <w:r w:rsidRPr="00441F0A">
        <w:rPr>
          <w:rFonts w:ascii="Times New Roman" w:hAnsi="Times New Roman" w:cs="Times New Roman"/>
          <w:sz w:val="24"/>
          <w:szCs w:val="24"/>
        </w:rPr>
        <w:t xml:space="preserve"> les établissements universitaires. En effet, en 1990, 15.2% des Québécois avaient </w:t>
      </w:r>
      <w:r w:rsidR="003520A0">
        <w:rPr>
          <w:rFonts w:ascii="Times New Roman" w:hAnsi="Times New Roman" w:cs="Times New Roman"/>
          <w:sz w:val="24"/>
          <w:szCs w:val="24"/>
        </w:rPr>
        <w:t>obtenu</w:t>
      </w:r>
      <w:r w:rsidRPr="00441F0A">
        <w:rPr>
          <w:rFonts w:ascii="Times New Roman" w:hAnsi="Times New Roman" w:cs="Times New Roman"/>
          <w:sz w:val="24"/>
          <w:szCs w:val="24"/>
        </w:rPr>
        <w:t xml:space="preserve"> une </w:t>
      </w:r>
      <w:proofErr w:type="spellStart"/>
      <w:r w:rsidRPr="00441F0A">
        <w:rPr>
          <w:rFonts w:ascii="Times New Roman" w:hAnsi="Times New Roman" w:cs="Times New Roman"/>
          <w:sz w:val="24"/>
          <w:szCs w:val="24"/>
        </w:rPr>
        <w:t>diplomation</w:t>
      </w:r>
      <w:proofErr w:type="spellEnd"/>
      <w:r w:rsidRPr="00441F0A">
        <w:rPr>
          <w:rFonts w:ascii="Times New Roman" w:hAnsi="Times New Roman" w:cs="Times New Roman"/>
          <w:sz w:val="24"/>
          <w:szCs w:val="24"/>
        </w:rPr>
        <w:t xml:space="preserve"> universitaire</w:t>
      </w:r>
      <w:r w:rsidRPr="00441F0A">
        <w:rPr>
          <w:rStyle w:val="Appelnotedebasdep"/>
          <w:rFonts w:ascii="Times New Roman" w:hAnsi="Times New Roman" w:cs="Times New Roman"/>
          <w:sz w:val="24"/>
          <w:szCs w:val="24"/>
        </w:rPr>
        <w:footnoteReference w:id="27"/>
      </w:r>
      <w:r w:rsidR="003520A0">
        <w:rPr>
          <w:rFonts w:ascii="Times New Roman" w:hAnsi="Times New Roman" w:cs="Times New Roman"/>
          <w:sz w:val="24"/>
          <w:szCs w:val="24"/>
          <w:vertAlign w:val="superscript"/>
        </w:rPr>
        <w:t>.</w:t>
      </w:r>
      <w:r w:rsidRPr="00441F0A">
        <w:rPr>
          <w:rFonts w:ascii="Times New Roman" w:hAnsi="Times New Roman" w:cs="Times New Roman"/>
          <w:sz w:val="24"/>
          <w:szCs w:val="24"/>
        </w:rPr>
        <w:t xml:space="preserve"> En 2012, ce même groupe avait augmenté à 29.4%, soit une augmentation de 14.2% en 12 ans</w:t>
      </w:r>
      <w:r w:rsidRPr="00441F0A">
        <w:rPr>
          <w:rStyle w:val="Appelnotedebasdep"/>
          <w:rFonts w:ascii="Times New Roman" w:hAnsi="Times New Roman" w:cs="Times New Roman"/>
          <w:sz w:val="24"/>
          <w:szCs w:val="24"/>
        </w:rPr>
        <w:footnoteReference w:id="28"/>
      </w:r>
      <w:r w:rsidRPr="00441F0A">
        <w:rPr>
          <w:rFonts w:ascii="Times New Roman" w:hAnsi="Times New Roman" w:cs="Times New Roman"/>
          <w:sz w:val="24"/>
          <w:szCs w:val="24"/>
        </w:rPr>
        <w:t xml:space="preserve">.  Les gens cherchent à s’instruire et avoir l’emploi qu’ils désirent.  En effet, </w:t>
      </w:r>
      <w:r w:rsidR="003520A0">
        <w:rPr>
          <w:rFonts w:ascii="Times New Roman" w:hAnsi="Times New Roman" w:cs="Times New Roman"/>
          <w:sz w:val="24"/>
          <w:szCs w:val="24"/>
        </w:rPr>
        <w:t>cela</w:t>
      </w:r>
      <w:r w:rsidRPr="00441F0A">
        <w:rPr>
          <w:rFonts w:ascii="Times New Roman" w:hAnsi="Times New Roman" w:cs="Times New Roman"/>
          <w:sz w:val="24"/>
          <w:szCs w:val="24"/>
        </w:rPr>
        <w:t xml:space="preserve"> se reflète </w:t>
      </w:r>
      <w:r w:rsidR="003520A0">
        <w:rPr>
          <w:rFonts w:ascii="Times New Roman" w:hAnsi="Times New Roman" w:cs="Times New Roman"/>
          <w:sz w:val="24"/>
          <w:szCs w:val="24"/>
        </w:rPr>
        <w:t>entre autres</w:t>
      </w:r>
      <w:r w:rsidRPr="00441F0A">
        <w:rPr>
          <w:rFonts w:ascii="Times New Roman" w:hAnsi="Times New Roman" w:cs="Times New Roman"/>
          <w:sz w:val="24"/>
          <w:szCs w:val="24"/>
        </w:rPr>
        <w:t xml:space="preserve"> par l’augmentation de la clientèle de l’UQTR. De ce fait, «en date du 24 janvier [2014], 13 211 étudiants étaient inscrits à l’UQTR, ce qui constitue une augmentation de 8,1% par rapport à l’année précédente</w:t>
      </w:r>
      <w:r w:rsidRPr="00441F0A">
        <w:rPr>
          <w:rStyle w:val="Appelnotedebasdep"/>
          <w:rFonts w:ascii="Times New Roman" w:hAnsi="Times New Roman" w:cs="Times New Roman"/>
          <w:sz w:val="24"/>
          <w:szCs w:val="24"/>
        </w:rPr>
        <w:footnoteReference w:id="29"/>
      </w:r>
      <w:r w:rsidRPr="00441F0A">
        <w:rPr>
          <w:rFonts w:ascii="Times New Roman" w:hAnsi="Times New Roman" w:cs="Times New Roman"/>
          <w:sz w:val="24"/>
          <w:szCs w:val="24"/>
        </w:rPr>
        <w:t>.»</w:t>
      </w:r>
    </w:p>
    <w:p w:rsidR="008166F6" w:rsidRPr="00441F0A" w:rsidRDefault="008166F6" w:rsidP="00563E4D">
      <w:pPr>
        <w:autoSpaceDE w:val="0"/>
        <w:autoSpaceDN w:val="0"/>
        <w:adjustRightInd w:val="0"/>
        <w:spacing w:after="0" w:line="360" w:lineRule="auto"/>
        <w:jc w:val="both"/>
        <w:rPr>
          <w:rFonts w:ascii="Times New Roman" w:hAnsi="Times New Roman" w:cs="Times New Roman"/>
          <w:sz w:val="24"/>
          <w:szCs w:val="24"/>
        </w:rPr>
      </w:pPr>
    </w:p>
    <w:p w:rsidR="008166F6" w:rsidRPr="00441F0A" w:rsidRDefault="008166F6" w:rsidP="00563E4D">
      <w:pPr>
        <w:autoSpaceDE w:val="0"/>
        <w:autoSpaceDN w:val="0"/>
        <w:adjustRightInd w:val="0"/>
        <w:spacing w:after="0" w:line="360" w:lineRule="auto"/>
        <w:jc w:val="both"/>
        <w:rPr>
          <w:rFonts w:ascii="Times New Roman" w:hAnsi="Times New Roman" w:cs="Times New Roman"/>
          <w:sz w:val="24"/>
          <w:szCs w:val="24"/>
        </w:rPr>
      </w:pPr>
      <w:r w:rsidRPr="00441F0A">
        <w:rPr>
          <w:rFonts w:ascii="Times New Roman" w:hAnsi="Times New Roman" w:cs="Times New Roman"/>
          <w:sz w:val="24"/>
          <w:szCs w:val="24"/>
        </w:rPr>
        <w:lastRenderedPageBreak/>
        <w:t>De plus, au sujet de l’internationalisation de la clientèle étudiante, les données démontrent un changement significatif dans le contexte de l’éducation supérieure canadienne. En effet, «</w:t>
      </w:r>
      <w:r w:rsidRPr="00441F0A">
        <w:rPr>
          <w:rStyle w:val="hps"/>
          <w:rFonts w:ascii="Times New Roman" w:hAnsi="Times New Roman" w:cs="Times New Roman"/>
          <w:sz w:val="24"/>
          <w:szCs w:val="24"/>
          <w:lang w:val="fr-FR"/>
        </w:rPr>
        <w:t>les universités canadiennes sont</w:t>
      </w:r>
      <w:r w:rsidRPr="00441F0A">
        <w:rPr>
          <w:rFonts w:ascii="Times New Roman" w:hAnsi="Times New Roman" w:cs="Times New Roman"/>
          <w:sz w:val="24"/>
          <w:szCs w:val="24"/>
          <w:lang w:val="fr-FR"/>
        </w:rPr>
        <w:t xml:space="preserve"> </w:t>
      </w:r>
      <w:r w:rsidRPr="00441F0A">
        <w:rPr>
          <w:rStyle w:val="hps"/>
          <w:rFonts w:ascii="Times New Roman" w:hAnsi="Times New Roman" w:cs="Times New Roman"/>
          <w:sz w:val="24"/>
          <w:szCs w:val="24"/>
          <w:lang w:val="fr-FR"/>
        </w:rPr>
        <w:t>de plus en plus</w:t>
      </w:r>
      <w:r w:rsidRPr="00441F0A">
        <w:rPr>
          <w:rFonts w:ascii="Times New Roman" w:hAnsi="Times New Roman" w:cs="Times New Roman"/>
          <w:sz w:val="24"/>
          <w:szCs w:val="24"/>
          <w:lang w:val="fr-FR"/>
        </w:rPr>
        <w:t xml:space="preserve"> </w:t>
      </w:r>
      <w:r w:rsidR="003520A0">
        <w:rPr>
          <w:rStyle w:val="hps"/>
          <w:rFonts w:ascii="Times New Roman" w:hAnsi="Times New Roman" w:cs="Times New Roman"/>
          <w:sz w:val="24"/>
          <w:szCs w:val="24"/>
          <w:lang w:val="fr-FR"/>
        </w:rPr>
        <w:t>internationalisées</w:t>
      </w:r>
      <w:r w:rsidRPr="00441F0A">
        <w:rPr>
          <w:rFonts w:ascii="Times New Roman" w:hAnsi="Times New Roman" w:cs="Times New Roman"/>
          <w:sz w:val="24"/>
          <w:szCs w:val="24"/>
          <w:lang w:val="fr-FR"/>
        </w:rPr>
        <w:t xml:space="preserve">. </w:t>
      </w:r>
      <w:r w:rsidRPr="00441F0A">
        <w:rPr>
          <w:rStyle w:val="hps"/>
          <w:rFonts w:ascii="Times New Roman" w:hAnsi="Times New Roman" w:cs="Times New Roman"/>
          <w:sz w:val="24"/>
          <w:szCs w:val="24"/>
          <w:lang w:val="fr-FR"/>
        </w:rPr>
        <w:t>Au cours des</w:t>
      </w:r>
      <w:r w:rsidRPr="00441F0A">
        <w:rPr>
          <w:rFonts w:ascii="Times New Roman" w:hAnsi="Times New Roman" w:cs="Times New Roman"/>
          <w:sz w:val="24"/>
          <w:szCs w:val="24"/>
          <w:lang w:val="fr-FR"/>
        </w:rPr>
        <w:t xml:space="preserve"> </w:t>
      </w:r>
      <w:r w:rsidRPr="00441F0A">
        <w:rPr>
          <w:rStyle w:val="hps"/>
          <w:rFonts w:ascii="Times New Roman" w:hAnsi="Times New Roman" w:cs="Times New Roman"/>
          <w:sz w:val="24"/>
          <w:szCs w:val="24"/>
          <w:lang w:val="fr-FR"/>
        </w:rPr>
        <w:t>30 dernières années</w:t>
      </w:r>
      <w:r w:rsidRPr="00441F0A">
        <w:rPr>
          <w:rFonts w:ascii="Times New Roman" w:hAnsi="Times New Roman" w:cs="Times New Roman"/>
          <w:sz w:val="24"/>
          <w:szCs w:val="24"/>
          <w:lang w:val="fr-FR"/>
        </w:rPr>
        <w:t xml:space="preserve">, </w:t>
      </w:r>
      <w:r w:rsidRPr="00441F0A">
        <w:rPr>
          <w:rStyle w:val="hps"/>
          <w:rFonts w:ascii="Times New Roman" w:hAnsi="Times New Roman" w:cs="Times New Roman"/>
          <w:sz w:val="24"/>
          <w:szCs w:val="24"/>
          <w:lang w:val="fr-FR"/>
        </w:rPr>
        <w:t>la proportion</w:t>
      </w:r>
      <w:r w:rsidRPr="00441F0A">
        <w:rPr>
          <w:rFonts w:ascii="Times New Roman" w:hAnsi="Times New Roman" w:cs="Times New Roman"/>
          <w:sz w:val="24"/>
          <w:szCs w:val="24"/>
          <w:lang w:val="fr-FR"/>
        </w:rPr>
        <w:t xml:space="preserve"> </w:t>
      </w:r>
      <w:r w:rsidRPr="00441F0A">
        <w:rPr>
          <w:rStyle w:val="hps"/>
          <w:rFonts w:ascii="Times New Roman" w:hAnsi="Times New Roman" w:cs="Times New Roman"/>
          <w:sz w:val="24"/>
          <w:szCs w:val="24"/>
          <w:lang w:val="fr-FR"/>
        </w:rPr>
        <w:t>des minorités visibles</w:t>
      </w:r>
      <w:r w:rsidRPr="00441F0A">
        <w:rPr>
          <w:rFonts w:ascii="Times New Roman" w:hAnsi="Times New Roman" w:cs="Times New Roman"/>
          <w:sz w:val="24"/>
          <w:szCs w:val="24"/>
          <w:lang w:val="fr-FR"/>
        </w:rPr>
        <w:t xml:space="preserve">, les étudiants internationaux </w:t>
      </w:r>
      <w:r w:rsidRPr="00441F0A">
        <w:rPr>
          <w:rStyle w:val="hps"/>
          <w:rFonts w:ascii="Times New Roman" w:hAnsi="Times New Roman" w:cs="Times New Roman"/>
          <w:sz w:val="24"/>
          <w:szCs w:val="24"/>
          <w:lang w:val="fr-FR"/>
        </w:rPr>
        <w:t>et même</w:t>
      </w:r>
      <w:r w:rsidRPr="00441F0A">
        <w:rPr>
          <w:rFonts w:ascii="Times New Roman" w:hAnsi="Times New Roman" w:cs="Times New Roman"/>
          <w:sz w:val="24"/>
          <w:szCs w:val="24"/>
          <w:lang w:val="fr-FR"/>
        </w:rPr>
        <w:t xml:space="preserve"> </w:t>
      </w:r>
      <w:r w:rsidRPr="00441F0A">
        <w:rPr>
          <w:rStyle w:val="hps"/>
          <w:rFonts w:ascii="Times New Roman" w:hAnsi="Times New Roman" w:cs="Times New Roman"/>
          <w:sz w:val="24"/>
          <w:szCs w:val="24"/>
          <w:lang w:val="fr-FR"/>
        </w:rPr>
        <w:t>des professeurs</w:t>
      </w:r>
      <w:r w:rsidRPr="00441F0A">
        <w:rPr>
          <w:rFonts w:ascii="Times New Roman" w:hAnsi="Times New Roman" w:cs="Times New Roman"/>
          <w:sz w:val="24"/>
          <w:szCs w:val="24"/>
          <w:lang w:val="fr-FR"/>
        </w:rPr>
        <w:t xml:space="preserve"> </w:t>
      </w:r>
      <w:r w:rsidRPr="00441F0A">
        <w:rPr>
          <w:rStyle w:val="hps"/>
          <w:rFonts w:ascii="Times New Roman" w:hAnsi="Times New Roman" w:cs="Times New Roman"/>
          <w:sz w:val="24"/>
          <w:szCs w:val="24"/>
          <w:lang w:val="fr-FR"/>
        </w:rPr>
        <w:t>d'autres pays</w:t>
      </w:r>
      <w:r w:rsidRPr="00441F0A">
        <w:rPr>
          <w:rFonts w:ascii="Times New Roman" w:hAnsi="Times New Roman" w:cs="Times New Roman"/>
          <w:sz w:val="24"/>
          <w:szCs w:val="24"/>
          <w:lang w:val="fr-FR"/>
        </w:rPr>
        <w:t xml:space="preserve"> </w:t>
      </w:r>
      <w:r w:rsidRPr="00441F0A">
        <w:rPr>
          <w:rStyle w:val="hps"/>
          <w:rFonts w:ascii="Times New Roman" w:hAnsi="Times New Roman" w:cs="Times New Roman"/>
          <w:sz w:val="24"/>
          <w:szCs w:val="24"/>
          <w:lang w:val="fr-FR"/>
        </w:rPr>
        <w:t>a considérablement augmenté</w:t>
      </w:r>
      <w:r w:rsidRPr="00441F0A">
        <w:rPr>
          <w:rFonts w:ascii="Times New Roman" w:hAnsi="Times New Roman" w:cs="Times New Roman"/>
          <w:sz w:val="24"/>
          <w:szCs w:val="24"/>
          <w:lang w:val="fr-FR"/>
        </w:rPr>
        <w:t xml:space="preserve">. </w:t>
      </w:r>
      <w:r w:rsidRPr="00441F0A">
        <w:rPr>
          <w:rStyle w:val="hps"/>
          <w:rFonts w:ascii="Times New Roman" w:hAnsi="Times New Roman" w:cs="Times New Roman"/>
          <w:sz w:val="24"/>
          <w:szCs w:val="24"/>
          <w:lang w:val="fr-FR"/>
        </w:rPr>
        <w:t>(</w:t>
      </w:r>
      <w:r w:rsidRPr="00441F0A">
        <w:rPr>
          <w:rFonts w:ascii="Times New Roman" w:hAnsi="Times New Roman" w:cs="Times New Roman"/>
          <w:sz w:val="24"/>
          <w:szCs w:val="24"/>
          <w:lang w:val="fr-FR"/>
        </w:rPr>
        <w:t xml:space="preserve">...) </w:t>
      </w:r>
      <w:r w:rsidRPr="00441F0A">
        <w:rPr>
          <w:rStyle w:val="hps"/>
          <w:rFonts w:ascii="Times New Roman" w:hAnsi="Times New Roman" w:cs="Times New Roman"/>
          <w:sz w:val="24"/>
          <w:szCs w:val="24"/>
          <w:lang w:val="fr-FR"/>
        </w:rPr>
        <w:t>Depuis 1995</w:t>
      </w:r>
      <w:r w:rsidRPr="00441F0A">
        <w:rPr>
          <w:rFonts w:ascii="Times New Roman" w:hAnsi="Times New Roman" w:cs="Times New Roman"/>
          <w:sz w:val="24"/>
          <w:szCs w:val="24"/>
          <w:lang w:val="fr-FR"/>
        </w:rPr>
        <w:t xml:space="preserve">, les inscriptions </w:t>
      </w:r>
      <w:r w:rsidRPr="00441F0A">
        <w:rPr>
          <w:rStyle w:val="hps"/>
          <w:rFonts w:ascii="Times New Roman" w:hAnsi="Times New Roman" w:cs="Times New Roman"/>
          <w:sz w:val="24"/>
          <w:szCs w:val="24"/>
          <w:lang w:val="fr-FR"/>
        </w:rPr>
        <w:t>internationales ont</w:t>
      </w:r>
      <w:r w:rsidRPr="00441F0A">
        <w:rPr>
          <w:rFonts w:ascii="Times New Roman" w:hAnsi="Times New Roman" w:cs="Times New Roman"/>
          <w:sz w:val="24"/>
          <w:szCs w:val="24"/>
          <w:lang w:val="fr-FR"/>
        </w:rPr>
        <w:t xml:space="preserve"> </w:t>
      </w:r>
      <w:r w:rsidRPr="00441F0A">
        <w:rPr>
          <w:rStyle w:val="hps"/>
          <w:rFonts w:ascii="Times New Roman" w:hAnsi="Times New Roman" w:cs="Times New Roman"/>
          <w:sz w:val="24"/>
          <w:szCs w:val="24"/>
          <w:lang w:val="fr-FR"/>
        </w:rPr>
        <w:t>connu une croissance rapide</w:t>
      </w:r>
      <w:r w:rsidRPr="00441F0A">
        <w:rPr>
          <w:rFonts w:ascii="Times New Roman" w:hAnsi="Times New Roman" w:cs="Times New Roman"/>
          <w:sz w:val="24"/>
          <w:szCs w:val="24"/>
          <w:lang w:val="fr-FR"/>
        </w:rPr>
        <w:t xml:space="preserve">. </w:t>
      </w:r>
      <w:r w:rsidRPr="00441F0A">
        <w:rPr>
          <w:rStyle w:val="hps"/>
          <w:rFonts w:ascii="Times New Roman" w:hAnsi="Times New Roman" w:cs="Times New Roman"/>
          <w:sz w:val="24"/>
          <w:szCs w:val="24"/>
          <w:lang w:val="fr-FR"/>
        </w:rPr>
        <w:t>En 2010</w:t>
      </w:r>
      <w:r w:rsidRPr="00441F0A">
        <w:rPr>
          <w:rFonts w:ascii="Times New Roman" w:hAnsi="Times New Roman" w:cs="Times New Roman"/>
          <w:sz w:val="24"/>
          <w:szCs w:val="24"/>
          <w:lang w:val="fr-FR"/>
        </w:rPr>
        <w:t xml:space="preserve">, </w:t>
      </w:r>
      <w:r w:rsidRPr="00441F0A">
        <w:rPr>
          <w:rStyle w:val="hps"/>
          <w:rFonts w:ascii="Times New Roman" w:hAnsi="Times New Roman" w:cs="Times New Roman"/>
          <w:sz w:val="24"/>
          <w:szCs w:val="24"/>
          <w:lang w:val="fr-FR"/>
        </w:rPr>
        <w:t>il y avait</w:t>
      </w:r>
      <w:r w:rsidRPr="00441F0A">
        <w:rPr>
          <w:rFonts w:ascii="Times New Roman" w:hAnsi="Times New Roman" w:cs="Times New Roman"/>
          <w:sz w:val="24"/>
          <w:szCs w:val="24"/>
          <w:lang w:val="fr-FR"/>
        </w:rPr>
        <w:t xml:space="preserve"> </w:t>
      </w:r>
      <w:r w:rsidRPr="00441F0A">
        <w:rPr>
          <w:rStyle w:val="hps"/>
          <w:rFonts w:ascii="Times New Roman" w:hAnsi="Times New Roman" w:cs="Times New Roman"/>
          <w:sz w:val="24"/>
          <w:szCs w:val="24"/>
          <w:lang w:val="fr-FR"/>
        </w:rPr>
        <w:t>3,5</w:t>
      </w:r>
      <w:r w:rsidRPr="00441F0A">
        <w:rPr>
          <w:rFonts w:ascii="Times New Roman" w:hAnsi="Times New Roman" w:cs="Times New Roman"/>
          <w:sz w:val="24"/>
          <w:szCs w:val="24"/>
          <w:lang w:val="fr-FR"/>
        </w:rPr>
        <w:t xml:space="preserve"> </w:t>
      </w:r>
      <w:r w:rsidRPr="00441F0A">
        <w:rPr>
          <w:rStyle w:val="hps"/>
          <w:rFonts w:ascii="Times New Roman" w:hAnsi="Times New Roman" w:cs="Times New Roman"/>
          <w:sz w:val="24"/>
          <w:szCs w:val="24"/>
          <w:lang w:val="fr-FR"/>
        </w:rPr>
        <w:t>fois</w:t>
      </w:r>
      <w:r w:rsidRPr="00441F0A">
        <w:rPr>
          <w:rFonts w:ascii="Times New Roman" w:hAnsi="Times New Roman" w:cs="Times New Roman"/>
          <w:sz w:val="24"/>
          <w:szCs w:val="24"/>
          <w:lang w:val="fr-FR"/>
        </w:rPr>
        <w:t xml:space="preserve"> </w:t>
      </w:r>
      <w:r w:rsidRPr="00441F0A">
        <w:rPr>
          <w:rStyle w:val="hps"/>
          <w:rFonts w:ascii="Times New Roman" w:hAnsi="Times New Roman" w:cs="Times New Roman"/>
          <w:sz w:val="24"/>
          <w:szCs w:val="24"/>
          <w:lang w:val="fr-FR"/>
        </w:rPr>
        <w:t>plus d'étudiants étrangers</w:t>
      </w:r>
      <w:r w:rsidRPr="00441F0A">
        <w:rPr>
          <w:rFonts w:ascii="Times New Roman" w:hAnsi="Times New Roman" w:cs="Times New Roman"/>
          <w:sz w:val="24"/>
          <w:szCs w:val="24"/>
          <w:lang w:val="fr-FR"/>
        </w:rPr>
        <w:t xml:space="preserve"> </w:t>
      </w:r>
      <w:r w:rsidRPr="00441F0A">
        <w:rPr>
          <w:rStyle w:val="hps"/>
          <w:rFonts w:ascii="Times New Roman" w:hAnsi="Times New Roman" w:cs="Times New Roman"/>
          <w:sz w:val="24"/>
          <w:szCs w:val="24"/>
          <w:lang w:val="fr-FR"/>
        </w:rPr>
        <w:t>inscrits</w:t>
      </w:r>
      <w:r w:rsidRPr="00441F0A">
        <w:rPr>
          <w:rFonts w:ascii="Times New Roman" w:hAnsi="Times New Roman" w:cs="Times New Roman"/>
          <w:sz w:val="24"/>
          <w:szCs w:val="24"/>
          <w:lang w:val="fr-FR"/>
        </w:rPr>
        <w:t xml:space="preserve"> </w:t>
      </w:r>
      <w:r w:rsidRPr="00441F0A">
        <w:rPr>
          <w:rStyle w:val="hps"/>
          <w:rFonts w:ascii="Times New Roman" w:hAnsi="Times New Roman" w:cs="Times New Roman"/>
          <w:sz w:val="24"/>
          <w:szCs w:val="24"/>
          <w:lang w:val="fr-FR"/>
        </w:rPr>
        <w:t>dans les universités canadiennes</w:t>
      </w:r>
      <w:r w:rsidRPr="00441F0A">
        <w:rPr>
          <w:rFonts w:ascii="Times New Roman" w:hAnsi="Times New Roman" w:cs="Times New Roman"/>
          <w:sz w:val="24"/>
          <w:szCs w:val="24"/>
          <w:lang w:val="fr-FR"/>
        </w:rPr>
        <w:t xml:space="preserve"> </w:t>
      </w:r>
      <w:r w:rsidRPr="00441F0A">
        <w:rPr>
          <w:rStyle w:val="hps"/>
          <w:rFonts w:ascii="Times New Roman" w:hAnsi="Times New Roman" w:cs="Times New Roman"/>
          <w:sz w:val="24"/>
          <w:szCs w:val="24"/>
          <w:lang w:val="fr-FR"/>
        </w:rPr>
        <w:t>qu’en 1995</w:t>
      </w:r>
      <w:r w:rsidRPr="00441F0A">
        <w:rPr>
          <w:rFonts w:ascii="Times New Roman" w:hAnsi="Times New Roman" w:cs="Times New Roman"/>
          <w:sz w:val="24"/>
          <w:szCs w:val="24"/>
          <w:lang w:val="fr-FR"/>
        </w:rPr>
        <w:t xml:space="preserve">, soit </w:t>
      </w:r>
      <w:r w:rsidRPr="00441F0A">
        <w:rPr>
          <w:rStyle w:val="hps"/>
          <w:rFonts w:ascii="Times New Roman" w:hAnsi="Times New Roman" w:cs="Times New Roman"/>
          <w:sz w:val="24"/>
          <w:szCs w:val="24"/>
          <w:lang w:val="fr-FR"/>
        </w:rPr>
        <w:t>90 000</w:t>
      </w:r>
      <w:r w:rsidRPr="00441F0A">
        <w:rPr>
          <w:rFonts w:ascii="Times New Roman" w:hAnsi="Times New Roman" w:cs="Times New Roman"/>
          <w:sz w:val="24"/>
          <w:szCs w:val="24"/>
          <w:lang w:val="fr-FR"/>
        </w:rPr>
        <w:t xml:space="preserve"> étudiants en </w:t>
      </w:r>
      <w:r w:rsidRPr="00441F0A">
        <w:rPr>
          <w:rStyle w:val="hps"/>
          <w:rFonts w:ascii="Times New Roman" w:hAnsi="Times New Roman" w:cs="Times New Roman"/>
          <w:sz w:val="24"/>
          <w:szCs w:val="24"/>
          <w:lang w:val="fr-FR"/>
        </w:rPr>
        <w:t>2010 comparativement à</w:t>
      </w:r>
      <w:r w:rsidRPr="00441F0A">
        <w:rPr>
          <w:rFonts w:ascii="Times New Roman" w:hAnsi="Times New Roman" w:cs="Times New Roman"/>
          <w:sz w:val="24"/>
          <w:szCs w:val="24"/>
          <w:lang w:val="fr-FR"/>
        </w:rPr>
        <w:t xml:space="preserve"> </w:t>
      </w:r>
      <w:r w:rsidRPr="00441F0A">
        <w:rPr>
          <w:rStyle w:val="hps"/>
          <w:rFonts w:ascii="Times New Roman" w:hAnsi="Times New Roman" w:cs="Times New Roman"/>
          <w:sz w:val="24"/>
          <w:szCs w:val="24"/>
          <w:lang w:val="fr-FR"/>
        </w:rPr>
        <w:t>25 500</w:t>
      </w:r>
      <w:r w:rsidRPr="00441F0A">
        <w:rPr>
          <w:rFonts w:ascii="Times New Roman" w:hAnsi="Times New Roman" w:cs="Times New Roman"/>
          <w:sz w:val="24"/>
          <w:szCs w:val="24"/>
          <w:lang w:val="fr-FR"/>
        </w:rPr>
        <w:t xml:space="preserve"> </w:t>
      </w:r>
      <w:r w:rsidRPr="00441F0A">
        <w:rPr>
          <w:rStyle w:val="hps"/>
          <w:rFonts w:ascii="Times New Roman" w:hAnsi="Times New Roman" w:cs="Times New Roman"/>
          <w:sz w:val="24"/>
          <w:szCs w:val="24"/>
          <w:lang w:val="fr-FR"/>
        </w:rPr>
        <w:t>en 1995</w:t>
      </w:r>
      <w:r w:rsidRPr="00441F0A">
        <w:rPr>
          <w:rFonts w:ascii="Times New Roman" w:hAnsi="Times New Roman" w:cs="Times New Roman"/>
          <w:sz w:val="24"/>
          <w:szCs w:val="24"/>
          <w:lang w:val="fr-FR"/>
        </w:rPr>
        <w:t>.</w:t>
      </w:r>
      <w:r w:rsidRPr="00441F0A">
        <w:rPr>
          <w:rStyle w:val="Appelnotedebasdep"/>
          <w:rFonts w:ascii="Times New Roman" w:hAnsi="Times New Roman" w:cs="Times New Roman"/>
          <w:sz w:val="24"/>
          <w:szCs w:val="24"/>
          <w:lang w:val="fr-FR"/>
        </w:rPr>
        <w:footnoteReference w:id="30"/>
      </w:r>
      <w:r w:rsidRPr="00441F0A">
        <w:rPr>
          <w:rFonts w:ascii="Times New Roman" w:hAnsi="Times New Roman" w:cs="Times New Roman"/>
          <w:sz w:val="24"/>
          <w:szCs w:val="24"/>
          <w:lang w:val="fr-FR"/>
        </w:rPr>
        <w:t>»</w:t>
      </w:r>
    </w:p>
    <w:p w:rsidR="00563E4D" w:rsidRDefault="008166F6" w:rsidP="008166F6">
      <w:pPr>
        <w:spacing w:line="276" w:lineRule="auto"/>
        <w:jc w:val="both"/>
        <w:rPr>
          <w:rFonts w:ascii="Times New Roman" w:hAnsi="Times New Roman" w:cs="Times New Roman"/>
          <w:sz w:val="24"/>
          <w:szCs w:val="24"/>
        </w:rPr>
      </w:pPr>
      <w:r w:rsidRPr="00441F0A">
        <w:rPr>
          <w:rFonts w:ascii="Times New Roman" w:hAnsi="Times New Roman" w:cs="Times New Roman"/>
          <w:b/>
          <w:sz w:val="24"/>
          <w:szCs w:val="24"/>
        </w:rPr>
        <w:t>Technologique</w:t>
      </w:r>
      <w:r w:rsidRPr="00441F0A">
        <w:rPr>
          <w:rFonts w:ascii="Times New Roman" w:hAnsi="Times New Roman" w:cs="Times New Roman"/>
          <w:sz w:val="24"/>
          <w:szCs w:val="24"/>
        </w:rPr>
        <w:t xml:space="preserve"> : </w:t>
      </w:r>
    </w:p>
    <w:p w:rsidR="008166F6" w:rsidRPr="00441F0A" w:rsidRDefault="008166F6" w:rsidP="00563E4D">
      <w:pPr>
        <w:spacing w:line="360" w:lineRule="auto"/>
        <w:jc w:val="both"/>
        <w:rPr>
          <w:rStyle w:val="Lienhypertexte"/>
          <w:rFonts w:ascii="Times New Roman" w:hAnsi="Times New Roman" w:cs="Times New Roman"/>
          <w:sz w:val="24"/>
          <w:szCs w:val="24"/>
        </w:rPr>
      </w:pPr>
      <w:r w:rsidRPr="00441F0A">
        <w:rPr>
          <w:rFonts w:ascii="Times New Roman" w:hAnsi="Times New Roman" w:cs="Times New Roman"/>
          <w:sz w:val="24"/>
          <w:szCs w:val="24"/>
        </w:rPr>
        <w:t xml:space="preserve">Les universités sont de mieux en mieux </w:t>
      </w:r>
      <w:r w:rsidR="003520A0">
        <w:rPr>
          <w:rFonts w:ascii="Times New Roman" w:hAnsi="Times New Roman" w:cs="Times New Roman"/>
          <w:sz w:val="24"/>
          <w:szCs w:val="24"/>
        </w:rPr>
        <w:t>équipées</w:t>
      </w:r>
      <w:r w:rsidRPr="00441F0A">
        <w:rPr>
          <w:rFonts w:ascii="Times New Roman" w:hAnsi="Times New Roman" w:cs="Times New Roman"/>
          <w:sz w:val="24"/>
          <w:szCs w:val="24"/>
        </w:rPr>
        <w:t xml:space="preserve"> afin d’améliorer les méthodes d’enseignement. Toutes les classes sont maintenant équipées de projecteurs qui permettent la diffusion de vidéos, de PowerPoint, d’articles, etc. Aussi, certaines classes commencent à être équipées de tableaux blancs interactifs (TBI), qui sont très utiles afin de faciliter l’apprentissage universitaire</w:t>
      </w:r>
      <w:r w:rsidRPr="00441F0A">
        <w:rPr>
          <w:rStyle w:val="Appelnotedebasdep"/>
          <w:rFonts w:ascii="Times New Roman" w:hAnsi="Times New Roman" w:cs="Times New Roman"/>
          <w:sz w:val="24"/>
          <w:szCs w:val="24"/>
        </w:rPr>
        <w:footnoteReference w:id="31"/>
      </w:r>
      <w:r w:rsidRPr="00441F0A">
        <w:rPr>
          <w:rFonts w:ascii="Times New Roman" w:hAnsi="Times New Roman" w:cs="Times New Roman"/>
          <w:sz w:val="24"/>
          <w:szCs w:val="24"/>
        </w:rPr>
        <w:t>.</w:t>
      </w:r>
    </w:p>
    <w:p w:rsidR="008166F6" w:rsidRPr="00441F0A" w:rsidRDefault="008166F6" w:rsidP="00563E4D">
      <w:pPr>
        <w:spacing w:line="360" w:lineRule="auto"/>
        <w:jc w:val="both"/>
        <w:rPr>
          <w:rFonts w:ascii="Times New Roman" w:hAnsi="Times New Roman" w:cs="Times New Roman"/>
          <w:color w:val="CC9900" w:themeColor="hyperlink"/>
          <w:sz w:val="24"/>
          <w:szCs w:val="24"/>
          <w:u w:val="single"/>
        </w:rPr>
      </w:pPr>
      <w:r w:rsidRPr="00441F0A">
        <w:rPr>
          <w:rFonts w:ascii="Times New Roman" w:hAnsi="Times New Roman" w:cs="Times New Roman"/>
          <w:sz w:val="24"/>
          <w:szCs w:val="24"/>
        </w:rPr>
        <w:t>De plus, un changement significatif a lieu dans les sphères académiques en ce qui concerne les cours en ligne donnés par les universités, concernant une croissance significative dans leur utilisation</w:t>
      </w:r>
      <w:r w:rsidRPr="00441F0A">
        <w:rPr>
          <w:rStyle w:val="Appelnotedebasdep"/>
          <w:rFonts w:ascii="Times New Roman" w:hAnsi="Times New Roman" w:cs="Times New Roman"/>
          <w:sz w:val="24"/>
          <w:szCs w:val="24"/>
        </w:rPr>
        <w:footnoteReference w:id="32"/>
      </w:r>
      <w:r w:rsidRPr="00441F0A">
        <w:rPr>
          <w:rFonts w:ascii="Times New Roman" w:hAnsi="Times New Roman" w:cs="Times New Roman"/>
          <w:sz w:val="24"/>
          <w:szCs w:val="24"/>
        </w:rPr>
        <w:t xml:space="preserve"> et un questionnement sérieux quant à leur efficacité actuelle pour favoriser l’apprentissage académique</w:t>
      </w:r>
      <w:r w:rsidRPr="00441F0A">
        <w:rPr>
          <w:rStyle w:val="Appelnotedebasdep"/>
          <w:rFonts w:ascii="Times New Roman" w:hAnsi="Times New Roman" w:cs="Times New Roman"/>
          <w:sz w:val="24"/>
          <w:szCs w:val="24"/>
        </w:rPr>
        <w:footnoteReference w:id="33"/>
      </w:r>
      <w:r w:rsidRPr="00441F0A">
        <w:rPr>
          <w:rFonts w:ascii="Times New Roman" w:hAnsi="Times New Roman" w:cs="Times New Roman"/>
          <w:sz w:val="24"/>
          <w:szCs w:val="24"/>
        </w:rPr>
        <w:t>.</w:t>
      </w:r>
    </w:p>
    <w:p w:rsidR="00563E4D" w:rsidRDefault="008166F6" w:rsidP="008166F6">
      <w:pPr>
        <w:jc w:val="both"/>
        <w:rPr>
          <w:rFonts w:ascii="Times New Roman" w:hAnsi="Times New Roman" w:cs="Times New Roman"/>
          <w:sz w:val="24"/>
          <w:szCs w:val="24"/>
        </w:rPr>
      </w:pPr>
      <w:r w:rsidRPr="00441F0A">
        <w:rPr>
          <w:rFonts w:ascii="Times New Roman" w:hAnsi="Times New Roman" w:cs="Times New Roman"/>
          <w:b/>
          <w:sz w:val="24"/>
          <w:szCs w:val="24"/>
        </w:rPr>
        <w:t>Environnementale</w:t>
      </w:r>
      <w:r w:rsidRPr="00441F0A">
        <w:rPr>
          <w:rFonts w:ascii="Times New Roman" w:hAnsi="Times New Roman" w:cs="Times New Roman"/>
          <w:sz w:val="24"/>
          <w:szCs w:val="24"/>
        </w:rPr>
        <w:t xml:space="preserve"> : </w:t>
      </w:r>
    </w:p>
    <w:p w:rsidR="008166F6" w:rsidRPr="00441F0A" w:rsidRDefault="008166F6" w:rsidP="00563E4D">
      <w:pPr>
        <w:spacing w:line="360" w:lineRule="auto"/>
        <w:jc w:val="both"/>
        <w:rPr>
          <w:rFonts w:ascii="Times New Roman" w:eastAsia="Times New Roman" w:hAnsi="Times New Roman" w:cs="Times New Roman"/>
          <w:sz w:val="24"/>
          <w:szCs w:val="24"/>
          <w:lang w:eastAsia="fr-CA"/>
        </w:rPr>
      </w:pPr>
      <w:r w:rsidRPr="00441F0A">
        <w:rPr>
          <w:rFonts w:ascii="Times New Roman" w:hAnsi="Times New Roman" w:cs="Times New Roman"/>
          <w:sz w:val="24"/>
          <w:szCs w:val="24"/>
        </w:rPr>
        <w:t xml:space="preserve">Le monde universitaire américain est en plein changement en ce qui concerne la transmission d’un paradigme voulant inclure la responsabilité sociale comme valeur fondamentale des </w:t>
      </w:r>
      <w:r w:rsidR="003520A0">
        <w:rPr>
          <w:rFonts w:ascii="Times New Roman" w:hAnsi="Times New Roman" w:cs="Times New Roman"/>
          <w:sz w:val="24"/>
          <w:szCs w:val="24"/>
        </w:rPr>
        <w:t>diplômés</w:t>
      </w:r>
      <w:r w:rsidRPr="00441F0A">
        <w:rPr>
          <w:rFonts w:ascii="Times New Roman" w:hAnsi="Times New Roman" w:cs="Times New Roman"/>
          <w:sz w:val="24"/>
          <w:szCs w:val="24"/>
        </w:rPr>
        <w:t xml:space="preserve"> universitaires. En effet, «p</w:t>
      </w:r>
      <w:proofErr w:type="spellStart"/>
      <w:r w:rsidRPr="00441F0A">
        <w:rPr>
          <w:rFonts w:ascii="Times New Roman" w:eastAsia="Times New Roman" w:hAnsi="Times New Roman" w:cs="Times New Roman"/>
          <w:sz w:val="24"/>
          <w:szCs w:val="24"/>
          <w:lang w:val="fr-FR" w:eastAsia="fr-CA"/>
        </w:rPr>
        <w:t>lusieurs</w:t>
      </w:r>
      <w:proofErr w:type="spellEnd"/>
      <w:r w:rsidRPr="00441F0A">
        <w:rPr>
          <w:rFonts w:ascii="Times New Roman" w:eastAsia="Times New Roman" w:hAnsi="Times New Roman" w:cs="Times New Roman"/>
          <w:sz w:val="24"/>
          <w:szCs w:val="24"/>
          <w:lang w:val="fr-FR" w:eastAsia="fr-CA"/>
        </w:rPr>
        <w:t xml:space="preserve"> institutions visibles à l'échelle nationale - par exemple, Harvard, Duke, et </w:t>
      </w:r>
      <w:proofErr w:type="spellStart"/>
      <w:r w:rsidRPr="00441F0A">
        <w:rPr>
          <w:rFonts w:ascii="Times New Roman" w:eastAsia="Times New Roman" w:hAnsi="Times New Roman" w:cs="Times New Roman"/>
          <w:sz w:val="24"/>
          <w:szCs w:val="24"/>
          <w:lang w:val="fr-FR" w:eastAsia="fr-CA"/>
        </w:rPr>
        <w:t>Stanford</w:t>
      </w:r>
      <w:proofErr w:type="spellEnd"/>
      <w:r w:rsidRPr="00441F0A">
        <w:rPr>
          <w:rFonts w:ascii="Times New Roman" w:eastAsia="Times New Roman" w:hAnsi="Times New Roman" w:cs="Times New Roman"/>
          <w:sz w:val="24"/>
          <w:szCs w:val="24"/>
          <w:lang w:val="fr-FR" w:eastAsia="fr-CA"/>
        </w:rPr>
        <w:t xml:space="preserve"> - ont fait de l'éthique une partie intégrante de leur diplôme. Leurs engagements très médiatisés reflètent une </w:t>
      </w:r>
      <w:r w:rsidRPr="00441F0A">
        <w:rPr>
          <w:rFonts w:ascii="Times New Roman" w:eastAsia="Times New Roman" w:hAnsi="Times New Roman" w:cs="Times New Roman"/>
          <w:sz w:val="24"/>
          <w:szCs w:val="24"/>
          <w:lang w:val="fr-FR" w:eastAsia="fr-CA"/>
        </w:rPr>
        <w:lastRenderedPageBreak/>
        <w:t>tendance plus large, discernable dans l'académie, vers la formulation de normes éthiques et de valeurs ainsi que le développement de la responsabilité personnelle et sociale comme d’importants résultats de l’éducation universitaire.</w:t>
      </w:r>
      <w:r w:rsidRPr="00441F0A">
        <w:rPr>
          <w:rStyle w:val="Appelnotedebasdep"/>
          <w:rFonts w:ascii="Times New Roman" w:eastAsia="Times New Roman" w:hAnsi="Times New Roman" w:cs="Times New Roman"/>
          <w:sz w:val="24"/>
          <w:szCs w:val="24"/>
          <w:lang w:val="fr-FR" w:eastAsia="fr-CA"/>
        </w:rPr>
        <w:footnoteReference w:id="34"/>
      </w:r>
      <w:r w:rsidRPr="00441F0A">
        <w:rPr>
          <w:rFonts w:ascii="Times New Roman" w:eastAsia="Times New Roman" w:hAnsi="Times New Roman" w:cs="Times New Roman"/>
          <w:sz w:val="24"/>
          <w:szCs w:val="24"/>
          <w:lang w:val="fr-FR" w:eastAsia="fr-CA"/>
        </w:rPr>
        <w:t>»</w:t>
      </w:r>
    </w:p>
    <w:p w:rsidR="00563E4D" w:rsidRDefault="008166F6" w:rsidP="008166F6">
      <w:pPr>
        <w:spacing w:line="276" w:lineRule="auto"/>
        <w:jc w:val="both"/>
        <w:rPr>
          <w:rFonts w:ascii="Times New Roman" w:hAnsi="Times New Roman" w:cs="Times New Roman"/>
          <w:sz w:val="24"/>
          <w:szCs w:val="24"/>
        </w:rPr>
      </w:pPr>
      <w:r w:rsidRPr="00441F0A">
        <w:rPr>
          <w:rFonts w:ascii="Times New Roman" w:hAnsi="Times New Roman" w:cs="Times New Roman"/>
          <w:b/>
          <w:sz w:val="24"/>
          <w:szCs w:val="24"/>
        </w:rPr>
        <w:t>Légal</w:t>
      </w:r>
      <w:r w:rsidRPr="00441F0A">
        <w:rPr>
          <w:rFonts w:ascii="Times New Roman" w:hAnsi="Times New Roman" w:cs="Times New Roman"/>
          <w:sz w:val="24"/>
          <w:szCs w:val="24"/>
        </w:rPr>
        <w:t xml:space="preserve"> : </w:t>
      </w:r>
    </w:p>
    <w:p w:rsidR="008166F6" w:rsidRPr="00441F0A" w:rsidRDefault="003A4200" w:rsidP="00563E4D">
      <w:pPr>
        <w:spacing w:line="360" w:lineRule="auto"/>
        <w:jc w:val="both"/>
        <w:rPr>
          <w:rFonts w:ascii="Times New Roman" w:hAnsi="Times New Roman" w:cs="Times New Roman"/>
          <w:sz w:val="24"/>
          <w:szCs w:val="24"/>
        </w:rPr>
      </w:pPr>
      <w:r>
        <w:rPr>
          <w:rFonts w:ascii="Times New Roman" w:hAnsi="Times New Roman" w:cs="Times New Roman"/>
          <w:sz w:val="24"/>
          <w:szCs w:val="24"/>
        </w:rPr>
        <w:t>Personne</w:t>
      </w:r>
      <w:r w:rsidRPr="00441F0A">
        <w:rPr>
          <w:rFonts w:ascii="Times New Roman" w:hAnsi="Times New Roman" w:cs="Times New Roman"/>
          <w:sz w:val="24"/>
          <w:szCs w:val="24"/>
        </w:rPr>
        <w:t xml:space="preserve"> n’est</w:t>
      </w:r>
      <w:r w:rsidR="008166F6" w:rsidRPr="00441F0A">
        <w:rPr>
          <w:rFonts w:ascii="Times New Roman" w:hAnsi="Times New Roman" w:cs="Times New Roman"/>
          <w:sz w:val="24"/>
          <w:szCs w:val="24"/>
        </w:rPr>
        <w:t xml:space="preserve"> à l’abri de la corruption et l’UQTR ne fait pas exception. En effet, l’UPAC est débarqué à l’UQTR afin de mener une enquête concernant des allégations sur l’octroi de contrats de la chaire de recherche de la rectrice</w:t>
      </w:r>
      <w:r w:rsidR="008166F6" w:rsidRPr="00441F0A">
        <w:rPr>
          <w:rStyle w:val="Appelnotedebasdep"/>
          <w:rFonts w:ascii="Times New Roman" w:hAnsi="Times New Roman" w:cs="Times New Roman"/>
          <w:sz w:val="24"/>
          <w:szCs w:val="24"/>
        </w:rPr>
        <w:footnoteReference w:id="35"/>
      </w:r>
      <w:r w:rsidR="008166F6" w:rsidRPr="00441F0A">
        <w:rPr>
          <w:rFonts w:ascii="Times New Roman" w:hAnsi="Times New Roman" w:cs="Times New Roman"/>
          <w:sz w:val="24"/>
          <w:szCs w:val="24"/>
        </w:rPr>
        <w:t>.</w:t>
      </w:r>
    </w:p>
    <w:p w:rsidR="008166F6" w:rsidRPr="00441F0A" w:rsidRDefault="008166F6" w:rsidP="00563E4D">
      <w:pPr>
        <w:spacing w:line="360" w:lineRule="auto"/>
        <w:jc w:val="both"/>
        <w:rPr>
          <w:rFonts w:ascii="Times New Roman" w:hAnsi="Times New Roman" w:cs="Times New Roman"/>
          <w:sz w:val="24"/>
          <w:szCs w:val="24"/>
        </w:rPr>
      </w:pPr>
      <w:r w:rsidRPr="00441F0A">
        <w:rPr>
          <w:rFonts w:ascii="Times New Roman" w:hAnsi="Times New Roman" w:cs="Times New Roman"/>
          <w:sz w:val="24"/>
          <w:szCs w:val="24"/>
        </w:rPr>
        <w:t>De plus, l’environnement universitaire, pourvu de nombreux bâtiments et campus, a la responsabilité de s’assurer que de nombreuses normes liées à la santé et sécurité au travail soient respectées, ce qui peut constituer un défi de contrôle majeur.</w:t>
      </w:r>
    </w:p>
    <w:p w:rsidR="008166F6" w:rsidRPr="00441F0A" w:rsidRDefault="008166F6" w:rsidP="008166F6">
      <w:pPr>
        <w:spacing w:line="276" w:lineRule="auto"/>
        <w:jc w:val="both"/>
        <w:rPr>
          <w:rFonts w:ascii="Times New Roman" w:hAnsi="Times New Roman" w:cs="Times New Roman"/>
          <w:sz w:val="24"/>
          <w:szCs w:val="24"/>
        </w:rPr>
      </w:pPr>
      <w:r w:rsidRPr="00441F0A">
        <w:rPr>
          <w:rFonts w:ascii="Times New Roman" w:hAnsi="Times New Roman" w:cs="Times New Roman"/>
          <w:sz w:val="24"/>
          <w:szCs w:val="24"/>
        </w:rPr>
        <w:t xml:space="preserve">Cette analyse PESTEL nous a conduits à sélectionner les variables pivot économique et technologique, </w:t>
      </w:r>
      <w:r w:rsidRPr="000A48B6">
        <w:rPr>
          <w:rFonts w:ascii="Times New Roman" w:hAnsi="Times New Roman" w:cs="Times New Roman"/>
          <w:color w:val="C4960C"/>
          <w:sz w:val="24"/>
          <w:szCs w:val="24"/>
        </w:rPr>
        <w:t xml:space="preserve">identifiées en </w:t>
      </w:r>
      <w:r w:rsidR="000A48B6" w:rsidRPr="000A48B6">
        <w:rPr>
          <w:rFonts w:ascii="Times New Roman" w:hAnsi="Times New Roman" w:cs="Times New Roman"/>
          <w:color w:val="C4960C"/>
          <w:sz w:val="24"/>
          <w:szCs w:val="24"/>
        </w:rPr>
        <w:t>doré</w:t>
      </w:r>
    </w:p>
    <w:tbl>
      <w:tblPr>
        <w:tblStyle w:val="Listeclaire-Accent6"/>
        <w:tblW w:w="9612" w:type="dxa"/>
        <w:tblLook w:val="00A0"/>
      </w:tblPr>
      <w:tblGrid>
        <w:gridCol w:w="4597"/>
        <w:gridCol w:w="5015"/>
      </w:tblGrid>
      <w:tr w:rsidR="008166F6" w:rsidRPr="00441F0A" w:rsidTr="00BB6046">
        <w:trPr>
          <w:cnfStyle w:val="100000000000"/>
          <w:trHeight w:val="185"/>
        </w:trPr>
        <w:tc>
          <w:tcPr>
            <w:cnfStyle w:val="001000000000"/>
            <w:tcW w:w="9612" w:type="dxa"/>
            <w:gridSpan w:val="2"/>
            <w:shd w:val="clear" w:color="auto" w:fill="00703C"/>
          </w:tcPr>
          <w:p w:rsidR="008166F6" w:rsidRPr="00441F0A" w:rsidRDefault="008166F6" w:rsidP="00FA6C34">
            <w:pPr>
              <w:jc w:val="center"/>
              <w:rPr>
                <w:rFonts w:ascii="Times New Roman" w:hAnsi="Times New Roman" w:cs="Times New Roman"/>
                <w:sz w:val="24"/>
                <w:szCs w:val="24"/>
              </w:rPr>
            </w:pPr>
            <w:r w:rsidRPr="00441F0A">
              <w:rPr>
                <w:rFonts w:ascii="Times New Roman" w:hAnsi="Times New Roman" w:cs="Times New Roman"/>
                <w:sz w:val="24"/>
                <w:szCs w:val="24"/>
              </w:rPr>
              <w:t>Quelles sont les variables qui ont une influence su</w:t>
            </w:r>
            <w:r w:rsidR="00BB6046">
              <w:rPr>
                <w:rFonts w:ascii="Times New Roman" w:hAnsi="Times New Roman" w:cs="Times New Roman"/>
                <w:sz w:val="24"/>
                <w:szCs w:val="24"/>
              </w:rPr>
              <w:t>r les UQ</w:t>
            </w:r>
            <w:r w:rsidRPr="00441F0A">
              <w:rPr>
                <w:rFonts w:ascii="Times New Roman" w:hAnsi="Times New Roman" w:cs="Times New Roman"/>
                <w:sz w:val="24"/>
                <w:szCs w:val="24"/>
              </w:rPr>
              <w:t xml:space="preserve"> au niveau…</w:t>
            </w:r>
          </w:p>
        </w:tc>
      </w:tr>
      <w:tr w:rsidR="008166F6" w:rsidRPr="00441F0A" w:rsidTr="005F298C">
        <w:trPr>
          <w:cnfStyle w:val="000000100000"/>
          <w:trHeight w:val="1383"/>
        </w:trPr>
        <w:tc>
          <w:tcPr>
            <w:cnfStyle w:val="001000000000"/>
            <w:tcW w:w="4597" w:type="dxa"/>
          </w:tcPr>
          <w:p w:rsidR="008166F6" w:rsidRPr="005F298C" w:rsidRDefault="008166F6" w:rsidP="00FA6C34">
            <w:pPr>
              <w:jc w:val="both"/>
              <w:rPr>
                <w:rFonts w:ascii="Times New Roman" w:hAnsi="Times New Roman" w:cs="Times New Roman"/>
                <w:sz w:val="24"/>
                <w:szCs w:val="24"/>
              </w:rPr>
            </w:pPr>
            <w:r w:rsidRPr="005F298C">
              <w:rPr>
                <w:rFonts w:ascii="Times New Roman" w:hAnsi="Times New Roman" w:cs="Times New Roman"/>
                <w:sz w:val="24"/>
                <w:szCs w:val="24"/>
              </w:rPr>
              <w:t>Politique</w:t>
            </w:r>
          </w:p>
          <w:p w:rsidR="008166F6" w:rsidRPr="00563E4D" w:rsidRDefault="008166F6" w:rsidP="00540A65">
            <w:pPr>
              <w:pStyle w:val="Paragraphedeliste"/>
              <w:numPr>
                <w:ilvl w:val="0"/>
                <w:numId w:val="11"/>
              </w:numPr>
              <w:ind w:left="360"/>
              <w:rPr>
                <w:rFonts w:ascii="Times New Roman" w:hAnsi="Times New Roman" w:cs="Times New Roman"/>
                <w:b w:val="0"/>
                <w:sz w:val="24"/>
                <w:szCs w:val="24"/>
              </w:rPr>
            </w:pPr>
            <w:r w:rsidRPr="00563E4D">
              <w:rPr>
                <w:rFonts w:ascii="Times New Roman" w:hAnsi="Times New Roman" w:cs="Times New Roman"/>
                <w:b w:val="0"/>
                <w:sz w:val="24"/>
                <w:szCs w:val="24"/>
              </w:rPr>
              <w:t>Le gouvernement fédéral encourage la poursuite des études supérieures.</w:t>
            </w:r>
          </w:p>
          <w:p w:rsidR="008166F6" w:rsidRPr="00563E4D" w:rsidRDefault="008166F6" w:rsidP="00563E4D">
            <w:pPr>
              <w:rPr>
                <w:rFonts w:ascii="Times New Roman" w:hAnsi="Times New Roman" w:cs="Times New Roman"/>
                <w:b w:val="0"/>
                <w:sz w:val="24"/>
                <w:szCs w:val="24"/>
              </w:rPr>
            </w:pPr>
          </w:p>
          <w:p w:rsidR="008166F6" w:rsidRPr="00563E4D" w:rsidRDefault="008166F6" w:rsidP="00540A65">
            <w:pPr>
              <w:pStyle w:val="Paragraphedeliste"/>
              <w:numPr>
                <w:ilvl w:val="0"/>
                <w:numId w:val="11"/>
              </w:numPr>
              <w:ind w:left="360"/>
              <w:rPr>
                <w:rFonts w:ascii="Times New Roman" w:hAnsi="Times New Roman" w:cs="Times New Roman"/>
                <w:b w:val="0"/>
                <w:sz w:val="24"/>
                <w:szCs w:val="24"/>
              </w:rPr>
            </w:pPr>
            <w:r w:rsidRPr="00563E4D">
              <w:rPr>
                <w:rFonts w:ascii="Times New Roman" w:hAnsi="Times New Roman" w:cs="Times New Roman"/>
                <w:b w:val="0"/>
                <w:sz w:val="24"/>
                <w:szCs w:val="24"/>
              </w:rPr>
              <w:t>Réduction des prêts étudiants</w:t>
            </w:r>
            <w:r w:rsidR="000A48B6">
              <w:rPr>
                <w:rFonts w:ascii="Times New Roman" w:hAnsi="Times New Roman" w:cs="Times New Roman"/>
                <w:b w:val="0"/>
                <w:sz w:val="24"/>
                <w:szCs w:val="24"/>
              </w:rPr>
              <w:t>.</w:t>
            </w:r>
          </w:p>
          <w:p w:rsidR="008166F6" w:rsidRPr="00563E4D" w:rsidRDefault="008166F6" w:rsidP="00563E4D">
            <w:pPr>
              <w:rPr>
                <w:rFonts w:ascii="Times New Roman" w:hAnsi="Times New Roman" w:cs="Times New Roman"/>
                <w:b w:val="0"/>
                <w:sz w:val="24"/>
                <w:szCs w:val="24"/>
              </w:rPr>
            </w:pPr>
          </w:p>
          <w:p w:rsidR="008166F6" w:rsidRPr="000A48B6" w:rsidRDefault="008166F6" w:rsidP="00540A65">
            <w:pPr>
              <w:pStyle w:val="Paragraphedeliste"/>
              <w:numPr>
                <w:ilvl w:val="0"/>
                <w:numId w:val="11"/>
              </w:numPr>
              <w:ind w:left="360"/>
              <w:rPr>
                <w:rFonts w:ascii="Times New Roman" w:hAnsi="Times New Roman" w:cs="Times New Roman"/>
                <w:color w:val="C4960C"/>
                <w:sz w:val="24"/>
                <w:szCs w:val="24"/>
              </w:rPr>
            </w:pPr>
            <w:r w:rsidRPr="000A48B6">
              <w:rPr>
                <w:rFonts w:ascii="Times New Roman" w:hAnsi="Times New Roman" w:cs="Times New Roman"/>
                <w:b w:val="0"/>
                <w:color w:val="C4960C"/>
                <w:sz w:val="24"/>
                <w:szCs w:val="24"/>
              </w:rPr>
              <w:t>Coupures budgétaires au sein des universités</w:t>
            </w:r>
            <w:r w:rsidR="000A48B6">
              <w:rPr>
                <w:rFonts w:ascii="Times New Roman" w:hAnsi="Times New Roman" w:cs="Times New Roman"/>
                <w:b w:val="0"/>
                <w:color w:val="C4960C"/>
                <w:sz w:val="24"/>
                <w:szCs w:val="24"/>
              </w:rPr>
              <w:t>.</w:t>
            </w:r>
          </w:p>
        </w:tc>
        <w:tc>
          <w:tcPr>
            <w:cnfStyle w:val="000010000000"/>
            <w:tcW w:w="5015" w:type="dxa"/>
          </w:tcPr>
          <w:p w:rsidR="008166F6" w:rsidRDefault="008166F6" w:rsidP="00FA6C34">
            <w:pPr>
              <w:jc w:val="both"/>
              <w:rPr>
                <w:rFonts w:ascii="Times New Roman" w:hAnsi="Times New Roman" w:cs="Times New Roman"/>
                <w:b/>
                <w:sz w:val="24"/>
                <w:szCs w:val="24"/>
              </w:rPr>
            </w:pPr>
            <w:r w:rsidRPr="00441F0A">
              <w:rPr>
                <w:rFonts w:ascii="Times New Roman" w:hAnsi="Times New Roman" w:cs="Times New Roman"/>
                <w:b/>
                <w:sz w:val="24"/>
                <w:szCs w:val="24"/>
              </w:rPr>
              <w:t>Économique</w:t>
            </w:r>
          </w:p>
          <w:p w:rsidR="00563E4D" w:rsidRPr="00441F0A" w:rsidRDefault="00563E4D" w:rsidP="00FA6C34">
            <w:pPr>
              <w:jc w:val="both"/>
              <w:rPr>
                <w:rFonts w:ascii="Times New Roman" w:hAnsi="Times New Roman" w:cs="Times New Roman"/>
                <w:b/>
                <w:sz w:val="24"/>
                <w:szCs w:val="24"/>
              </w:rPr>
            </w:pPr>
          </w:p>
          <w:p w:rsidR="008166F6" w:rsidRPr="00563E4D" w:rsidRDefault="008166F6" w:rsidP="00540A65">
            <w:pPr>
              <w:pStyle w:val="Paragraphedeliste"/>
              <w:numPr>
                <w:ilvl w:val="0"/>
                <w:numId w:val="10"/>
              </w:numPr>
              <w:ind w:left="360"/>
              <w:rPr>
                <w:rFonts w:ascii="Times New Roman" w:hAnsi="Times New Roman" w:cs="Times New Roman"/>
                <w:sz w:val="24"/>
                <w:szCs w:val="24"/>
              </w:rPr>
            </w:pPr>
            <w:r w:rsidRPr="00563E4D">
              <w:rPr>
                <w:rFonts w:ascii="Times New Roman" w:hAnsi="Times New Roman" w:cs="Times New Roman"/>
                <w:sz w:val="24"/>
                <w:szCs w:val="24"/>
              </w:rPr>
              <w:t xml:space="preserve">Réduction des subventions </w:t>
            </w:r>
            <w:r w:rsidR="003520A0">
              <w:rPr>
                <w:rFonts w:ascii="Times New Roman" w:hAnsi="Times New Roman" w:cs="Times New Roman"/>
                <w:sz w:val="24"/>
                <w:szCs w:val="24"/>
              </w:rPr>
              <w:t>gouvernementales</w:t>
            </w:r>
            <w:r w:rsidRPr="00563E4D">
              <w:rPr>
                <w:rFonts w:ascii="Times New Roman" w:hAnsi="Times New Roman" w:cs="Times New Roman"/>
                <w:sz w:val="24"/>
                <w:szCs w:val="24"/>
              </w:rPr>
              <w:t>.</w:t>
            </w:r>
          </w:p>
          <w:p w:rsidR="008166F6" w:rsidRPr="00441F0A" w:rsidRDefault="008166F6" w:rsidP="00563E4D">
            <w:pPr>
              <w:rPr>
                <w:rFonts w:ascii="Times New Roman" w:hAnsi="Times New Roman" w:cs="Times New Roman"/>
                <w:sz w:val="24"/>
                <w:szCs w:val="24"/>
              </w:rPr>
            </w:pPr>
          </w:p>
          <w:p w:rsidR="008166F6" w:rsidRPr="00563E4D" w:rsidRDefault="008166F6" w:rsidP="00540A65">
            <w:pPr>
              <w:pStyle w:val="Paragraphedeliste"/>
              <w:numPr>
                <w:ilvl w:val="0"/>
                <w:numId w:val="10"/>
              </w:numPr>
              <w:ind w:left="360"/>
              <w:rPr>
                <w:rFonts w:ascii="Times New Roman" w:hAnsi="Times New Roman" w:cs="Times New Roman"/>
                <w:sz w:val="24"/>
                <w:szCs w:val="24"/>
              </w:rPr>
            </w:pPr>
            <w:r w:rsidRPr="00563E4D">
              <w:rPr>
                <w:rFonts w:ascii="Times New Roman" w:hAnsi="Times New Roman" w:cs="Times New Roman"/>
                <w:sz w:val="24"/>
                <w:szCs w:val="24"/>
              </w:rPr>
              <w:t>Faible santé économique de la Mauricie.</w:t>
            </w:r>
          </w:p>
        </w:tc>
      </w:tr>
      <w:tr w:rsidR="008166F6" w:rsidRPr="00441F0A" w:rsidTr="005F298C">
        <w:trPr>
          <w:trHeight w:val="1275"/>
        </w:trPr>
        <w:tc>
          <w:tcPr>
            <w:cnfStyle w:val="001000000000"/>
            <w:tcW w:w="4597" w:type="dxa"/>
          </w:tcPr>
          <w:p w:rsidR="008166F6" w:rsidRPr="005F298C" w:rsidRDefault="008166F6" w:rsidP="00FA6C34">
            <w:pPr>
              <w:jc w:val="both"/>
              <w:rPr>
                <w:rFonts w:ascii="Times New Roman" w:hAnsi="Times New Roman" w:cs="Times New Roman"/>
                <w:sz w:val="24"/>
                <w:szCs w:val="24"/>
              </w:rPr>
            </w:pPr>
            <w:r w:rsidRPr="005F298C">
              <w:rPr>
                <w:rFonts w:ascii="Times New Roman" w:hAnsi="Times New Roman" w:cs="Times New Roman"/>
                <w:sz w:val="24"/>
                <w:szCs w:val="24"/>
              </w:rPr>
              <w:t>Sociologique</w:t>
            </w:r>
          </w:p>
          <w:p w:rsidR="008166F6" w:rsidRPr="00563E4D" w:rsidRDefault="008166F6" w:rsidP="00540A65">
            <w:pPr>
              <w:pStyle w:val="Paragraphedeliste"/>
              <w:numPr>
                <w:ilvl w:val="0"/>
                <w:numId w:val="13"/>
              </w:numPr>
              <w:ind w:left="360"/>
              <w:rPr>
                <w:rFonts w:ascii="Times New Roman" w:hAnsi="Times New Roman" w:cs="Times New Roman"/>
                <w:b w:val="0"/>
                <w:sz w:val="24"/>
                <w:szCs w:val="24"/>
              </w:rPr>
            </w:pPr>
            <w:r w:rsidRPr="00563E4D">
              <w:rPr>
                <w:rFonts w:ascii="Times New Roman" w:hAnsi="Times New Roman" w:cs="Times New Roman"/>
                <w:b w:val="0"/>
                <w:sz w:val="24"/>
                <w:szCs w:val="24"/>
              </w:rPr>
              <w:t>La population québécoise est de plus en plus intéressée par les études universitaires.</w:t>
            </w:r>
          </w:p>
          <w:p w:rsidR="008166F6" w:rsidRPr="00563E4D" w:rsidRDefault="008166F6" w:rsidP="00563E4D">
            <w:pPr>
              <w:rPr>
                <w:rFonts w:ascii="Times New Roman" w:hAnsi="Times New Roman" w:cs="Times New Roman"/>
                <w:b w:val="0"/>
                <w:sz w:val="24"/>
                <w:szCs w:val="24"/>
              </w:rPr>
            </w:pPr>
          </w:p>
          <w:p w:rsidR="008166F6" w:rsidRPr="00563E4D" w:rsidRDefault="008166F6" w:rsidP="00540A65">
            <w:pPr>
              <w:pStyle w:val="Paragraphedeliste"/>
              <w:numPr>
                <w:ilvl w:val="0"/>
                <w:numId w:val="13"/>
              </w:numPr>
              <w:ind w:left="360"/>
              <w:rPr>
                <w:rFonts w:ascii="Times New Roman" w:hAnsi="Times New Roman" w:cs="Times New Roman"/>
                <w:sz w:val="24"/>
                <w:szCs w:val="24"/>
              </w:rPr>
            </w:pPr>
            <w:r w:rsidRPr="00563E4D">
              <w:rPr>
                <w:rFonts w:ascii="Times New Roman" w:hAnsi="Times New Roman" w:cs="Times New Roman"/>
                <w:b w:val="0"/>
                <w:sz w:val="24"/>
                <w:szCs w:val="24"/>
              </w:rPr>
              <w:t>Internationalisation de la population étudiante</w:t>
            </w:r>
            <w:r w:rsidR="000A48B6">
              <w:rPr>
                <w:rFonts w:ascii="Times New Roman" w:hAnsi="Times New Roman" w:cs="Times New Roman"/>
                <w:b w:val="0"/>
                <w:sz w:val="24"/>
                <w:szCs w:val="24"/>
              </w:rPr>
              <w:t>.</w:t>
            </w:r>
          </w:p>
        </w:tc>
        <w:tc>
          <w:tcPr>
            <w:cnfStyle w:val="000010000000"/>
            <w:tcW w:w="5015" w:type="dxa"/>
          </w:tcPr>
          <w:p w:rsidR="008166F6" w:rsidRPr="00441F0A" w:rsidRDefault="008166F6" w:rsidP="00FA6C34">
            <w:pPr>
              <w:jc w:val="both"/>
              <w:rPr>
                <w:rFonts w:ascii="Times New Roman" w:hAnsi="Times New Roman" w:cs="Times New Roman"/>
                <w:b/>
                <w:sz w:val="24"/>
                <w:szCs w:val="24"/>
              </w:rPr>
            </w:pPr>
            <w:r w:rsidRPr="00441F0A">
              <w:rPr>
                <w:rFonts w:ascii="Times New Roman" w:hAnsi="Times New Roman" w:cs="Times New Roman"/>
                <w:b/>
                <w:sz w:val="24"/>
                <w:szCs w:val="24"/>
              </w:rPr>
              <w:t>Technologique</w:t>
            </w:r>
          </w:p>
          <w:p w:rsidR="008166F6" w:rsidRPr="00441F0A" w:rsidRDefault="008166F6" w:rsidP="00FA6C34">
            <w:pPr>
              <w:rPr>
                <w:rFonts w:ascii="Times New Roman" w:hAnsi="Times New Roman" w:cs="Times New Roman"/>
                <w:sz w:val="24"/>
                <w:szCs w:val="24"/>
              </w:rPr>
            </w:pPr>
          </w:p>
          <w:p w:rsidR="008166F6" w:rsidRPr="000A48B6" w:rsidRDefault="008166F6" w:rsidP="00540A65">
            <w:pPr>
              <w:pStyle w:val="Paragraphedeliste"/>
              <w:numPr>
                <w:ilvl w:val="0"/>
                <w:numId w:val="12"/>
              </w:numPr>
              <w:rPr>
                <w:rFonts w:ascii="Times New Roman" w:hAnsi="Times New Roman" w:cs="Times New Roman"/>
                <w:color w:val="C4960C"/>
                <w:sz w:val="24"/>
                <w:szCs w:val="24"/>
              </w:rPr>
            </w:pPr>
            <w:r w:rsidRPr="000A48B6">
              <w:rPr>
                <w:rFonts w:ascii="Times New Roman" w:hAnsi="Times New Roman" w:cs="Times New Roman"/>
                <w:color w:val="C4960C"/>
                <w:sz w:val="24"/>
                <w:szCs w:val="24"/>
              </w:rPr>
              <w:t>Croissance significative de l’utilisation des technologies éducatives.</w:t>
            </w:r>
          </w:p>
        </w:tc>
      </w:tr>
      <w:tr w:rsidR="008166F6" w:rsidRPr="00441F0A" w:rsidTr="005F298C">
        <w:trPr>
          <w:cnfStyle w:val="000000100000"/>
          <w:trHeight w:val="395"/>
        </w:trPr>
        <w:tc>
          <w:tcPr>
            <w:cnfStyle w:val="001000000000"/>
            <w:tcW w:w="4597" w:type="dxa"/>
          </w:tcPr>
          <w:p w:rsidR="008166F6" w:rsidRDefault="008166F6" w:rsidP="00FA6C34">
            <w:pPr>
              <w:jc w:val="both"/>
              <w:rPr>
                <w:rFonts w:ascii="Times New Roman" w:hAnsi="Times New Roman" w:cs="Times New Roman"/>
                <w:sz w:val="24"/>
                <w:szCs w:val="24"/>
              </w:rPr>
            </w:pPr>
            <w:r w:rsidRPr="005F298C">
              <w:rPr>
                <w:rFonts w:ascii="Times New Roman" w:hAnsi="Times New Roman" w:cs="Times New Roman"/>
                <w:sz w:val="24"/>
                <w:szCs w:val="24"/>
              </w:rPr>
              <w:t>Environnemental</w:t>
            </w:r>
          </w:p>
          <w:p w:rsidR="00563E4D" w:rsidRPr="005F298C" w:rsidRDefault="00563E4D" w:rsidP="00FA6C34">
            <w:pPr>
              <w:jc w:val="both"/>
              <w:rPr>
                <w:rFonts w:ascii="Times New Roman" w:hAnsi="Times New Roman" w:cs="Times New Roman"/>
                <w:sz w:val="24"/>
                <w:szCs w:val="24"/>
              </w:rPr>
            </w:pPr>
          </w:p>
          <w:p w:rsidR="008166F6" w:rsidRPr="00563E4D" w:rsidRDefault="008166F6" w:rsidP="00540A65">
            <w:pPr>
              <w:pStyle w:val="Paragraphedeliste"/>
              <w:numPr>
                <w:ilvl w:val="0"/>
                <w:numId w:val="12"/>
              </w:numPr>
              <w:jc w:val="both"/>
              <w:rPr>
                <w:rFonts w:ascii="Times New Roman" w:hAnsi="Times New Roman" w:cs="Times New Roman"/>
                <w:sz w:val="24"/>
                <w:szCs w:val="24"/>
              </w:rPr>
            </w:pPr>
            <w:r w:rsidRPr="00563E4D">
              <w:rPr>
                <w:rFonts w:ascii="Times New Roman" w:hAnsi="Times New Roman" w:cs="Times New Roman"/>
                <w:b w:val="0"/>
                <w:sz w:val="24"/>
                <w:szCs w:val="24"/>
              </w:rPr>
              <w:t>Développement de la responsabilité sociale des universités</w:t>
            </w:r>
            <w:r w:rsidRPr="00563E4D">
              <w:rPr>
                <w:rFonts w:ascii="Times New Roman" w:hAnsi="Times New Roman" w:cs="Times New Roman"/>
                <w:sz w:val="24"/>
                <w:szCs w:val="24"/>
              </w:rPr>
              <w:t>.</w:t>
            </w:r>
          </w:p>
        </w:tc>
        <w:tc>
          <w:tcPr>
            <w:cnfStyle w:val="000010000000"/>
            <w:tcW w:w="5015" w:type="dxa"/>
          </w:tcPr>
          <w:p w:rsidR="008166F6" w:rsidRPr="00441F0A" w:rsidRDefault="008166F6" w:rsidP="00FA6C34">
            <w:pPr>
              <w:jc w:val="both"/>
              <w:rPr>
                <w:rFonts w:ascii="Times New Roman" w:hAnsi="Times New Roman" w:cs="Times New Roman"/>
                <w:b/>
                <w:sz w:val="24"/>
                <w:szCs w:val="24"/>
              </w:rPr>
            </w:pPr>
            <w:r w:rsidRPr="00441F0A">
              <w:rPr>
                <w:rFonts w:ascii="Times New Roman" w:hAnsi="Times New Roman" w:cs="Times New Roman"/>
                <w:b/>
                <w:sz w:val="24"/>
                <w:szCs w:val="24"/>
              </w:rPr>
              <w:t>Légal</w:t>
            </w:r>
          </w:p>
          <w:p w:rsidR="008166F6" w:rsidRPr="00400914" w:rsidRDefault="00400914" w:rsidP="00540A65">
            <w:pPr>
              <w:pStyle w:val="Paragraphedeliste"/>
              <w:numPr>
                <w:ilvl w:val="0"/>
                <w:numId w:val="12"/>
              </w:numPr>
              <w:jc w:val="both"/>
              <w:rPr>
                <w:rFonts w:ascii="Times New Roman" w:hAnsi="Times New Roman" w:cs="Times New Roman"/>
                <w:sz w:val="24"/>
                <w:szCs w:val="24"/>
              </w:rPr>
            </w:pPr>
            <w:r w:rsidRPr="00400914">
              <w:rPr>
                <w:rFonts w:ascii="Times New Roman" w:hAnsi="Times New Roman" w:cs="Times New Roman"/>
              </w:rPr>
              <w:t>Enquêtes de l’UPAC susceptibles de toucher l’administration des universités du Québec.</w:t>
            </w:r>
          </w:p>
          <w:p w:rsidR="008166F6" w:rsidRPr="00441F0A" w:rsidRDefault="008166F6" w:rsidP="00FA6C34">
            <w:pPr>
              <w:jc w:val="both"/>
              <w:rPr>
                <w:rFonts w:ascii="Times New Roman" w:hAnsi="Times New Roman" w:cs="Times New Roman"/>
                <w:sz w:val="24"/>
                <w:szCs w:val="24"/>
              </w:rPr>
            </w:pPr>
          </w:p>
          <w:p w:rsidR="008166F6" w:rsidRPr="00563E4D" w:rsidRDefault="008166F6" w:rsidP="00540A65">
            <w:pPr>
              <w:pStyle w:val="Paragraphedeliste"/>
              <w:numPr>
                <w:ilvl w:val="0"/>
                <w:numId w:val="12"/>
              </w:numPr>
              <w:jc w:val="both"/>
              <w:rPr>
                <w:rFonts w:ascii="Times New Roman" w:hAnsi="Times New Roman" w:cs="Times New Roman"/>
                <w:sz w:val="24"/>
                <w:szCs w:val="24"/>
              </w:rPr>
            </w:pPr>
            <w:r w:rsidRPr="00563E4D">
              <w:rPr>
                <w:rFonts w:ascii="Times New Roman" w:hAnsi="Times New Roman" w:cs="Times New Roman"/>
                <w:sz w:val="24"/>
                <w:szCs w:val="24"/>
              </w:rPr>
              <w:t>Contrôle des normes liées à la santé et sécurité au travail.</w:t>
            </w:r>
          </w:p>
        </w:tc>
      </w:tr>
    </w:tbl>
    <w:p w:rsidR="005F298C" w:rsidRDefault="00EE58D6" w:rsidP="00BB6046">
      <w:pPr>
        <w:pStyle w:val="Titre4"/>
        <w:ind w:left="708"/>
      </w:pPr>
      <w:bookmarkStart w:id="10" w:name="_Toc417486224"/>
      <w:r>
        <w:lastRenderedPageBreak/>
        <w:t>2</w:t>
      </w:r>
      <w:r w:rsidR="00BB6046">
        <w:t>.1.</w:t>
      </w:r>
      <w:r>
        <w:t>2</w:t>
      </w:r>
      <w:r w:rsidR="00BB6046">
        <w:t xml:space="preserve"> La construction de scénarios</w:t>
      </w:r>
      <w:bookmarkEnd w:id="10"/>
    </w:p>
    <w:p w:rsidR="00BB6046" w:rsidRPr="00BB6046" w:rsidRDefault="00BB6046" w:rsidP="00BB6046"/>
    <w:tbl>
      <w:tblPr>
        <w:tblStyle w:val="Tramemoyenne2-Accent6"/>
        <w:tblW w:w="9356" w:type="dxa"/>
        <w:tblLook w:val="04A0"/>
      </w:tblPr>
      <w:tblGrid>
        <w:gridCol w:w="1900"/>
        <w:gridCol w:w="3703"/>
        <w:gridCol w:w="3753"/>
      </w:tblGrid>
      <w:tr w:rsidR="008166F6" w:rsidRPr="00441F0A" w:rsidTr="00BB6046">
        <w:trPr>
          <w:cnfStyle w:val="100000000000"/>
          <w:trHeight w:val="514"/>
        </w:trPr>
        <w:tc>
          <w:tcPr>
            <w:cnfStyle w:val="001000000100"/>
            <w:tcW w:w="1616" w:type="dxa"/>
            <w:shd w:val="clear" w:color="auto" w:fill="auto"/>
          </w:tcPr>
          <w:p w:rsidR="008166F6" w:rsidRPr="00441F0A" w:rsidRDefault="008166F6" w:rsidP="00FA6C34">
            <w:pPr>
              <w:rPr>
                <w:rFonts w:ascii="Times New Roman" w:hAnsi="Times New Roman" w:cs="Times New Roman"/>
                <w:sz w:val="24"/>
                <w:szCs w:val="24"/>
              </w:rPr>
            </w:pPr>
          </w:p>
        </w:tc>
        <w:tc>
          <w:tcPr>
            <w:tcW w:w="3703" w:type="dxa"/>
            <w:shd w:val="clear" w:color="auto" w:fill="00703C"/>
          </w:tcPr>
          <w:p w:rsidR="008166F6" w:rsidRPr="0079364E" w:rsidRDefault="008166F6" w:rsidP="00FA6C34">
            <w:pPr>
              <w:jc w:val="center"/>
              <w:cnfStyle w:val="100000000000"/>
              <w:rPr>
                <w:rFonts w:ascii="Times New Roman" w:hAnsi="Times New Roman" w:cs="Times New Roman"/>
                <w:sz w:val="24"/>
                <w:szCs w:val="24"/>
              </w:rPr>
            </w:pPr>
            <w:r w:rsidRPr="0079364E">
              <w:rPr>
                <w:rFonts w:ascii="Times New Roman" w:hAnsi="Times New Roman" w:cs="Times New Roman"/>
                <w:sz w:val="24"/>
                <w:szCs w:val="24"/>
              </w:rPr>
              <w:t xml:space="preserve">Cessation des coupures budgétaires au sein des universités </w:t>
            </w:r>
          </w:p>
        </w:tc>
        <w:tc>
          <w:tcPr>
            <w:tcW w:w="3753" w:type="dxa"/>
            <w:shd w:val="clear" w:color="auto" w:fill="C4960C"/>
          </w:tcPr>
          <w:p w:rsidR="008166F6" w:rsidRPr="0079364E" w:rsidRDefault="008166F6" w:rsidP="00FA6C34">
            <w:pPr>
              <w:jc w:val="center"/>
              <w:cnfStyle w:val="100000000000"/>
              <w:rPr>
                <w:rFonts w:ascii="Times New Roman" w:hAnsi="Times New Roman" w:cs="Times New Roman"/>
                <w:sz w:val="24"/>
                <w:szCs w:val="24"/>
              </w:rPr>
            </w:pPr>
            <w:r w:rsidRPr="0079364E">
              <w:rPr>
                <w:rFonts w:ascii="Times New Roman" w:hAnsi="Times New Roman" w:cs="Times New Roman"/>
                <w:sz w:val="24"/>
                <w:szCs w:val="24"/>
              </w:rPr>
              <w:t>Persistance des coupures budgétaires au sein des universités</w:t>
            </w:r>
          </w:p>
        </w:tc>
      </w:tr>
      <w:tr w:rsidR="008166F6" w:rsidRPr="00441F0A" w:rsidTr="00BB6046">
        <w:trPr>
          <w:cnfStyle w:val="000000100000"/>
          <w:trHeight w:val="1033"/>
        </w:trPr>
        <w:tc>
          <w:tcPr>
            <w:cnfStyle w:val="001000000000"/>
            <w:tcW w:w="1900" w:type="dxa"/>
            <w:shd w:val="clear" w:color="auto" w:fill="00703C"/>
          </w:tcPr>
          <w:p w:rsidR="008166F6" w:rsidRPr="0079364E" w:rsidRDefault="008166F6" w:rsidP="00FA6C34">
            <w:pPr>
              <w:jc w:val="center"/>
              <w:rPr>
                <w:rFonts w:ascii="Times New Roman" w:hAnsi="Times New Roman" w:cs="Times New Roman"/>
                <w:sz w:val="24"/>
                <w:szCs w:val="24"/>
              </w:rPr>
            </w:pPr>
            <w:r w:rsidRPr="0079364E">
              <w:rPr>
                <w:rFonts w:ascii="Times New Roman" w:hAnsi="Times New Roman" w:cs="Times New Roman"/>
                <w:sz w:val="24"/>
                <w:szCs w:val="24"/>
              </w:rPr>
              <w:t>Croissance de l’utilisation des technologies éducatives</w:t>
            </w:r>
          </w:p>
        </w:tc>
        <w:tc>
          <w:tcPr>
            <w:tcW w:w="3703" w:type="dxa"/>
          </w:tcPr>
          <w:p w:rsidR="008166F6" w:rsidRPr="00441F0A" w:rsidRDefault="008166F6" w:rsidP="00FA6C34">
            <w:pPr>
              <w:jc w:val="center"/>
              <w:cnfStyle w:val="000000100000"/>
              <w:rPr>
                <w:rFonts w:ascii="Times New Roman" w:hAnsi="Times New Roman" w:cs="Times New Roman"/>
                <w:sz w:val="24"/>
                <w:szCs w:val="24"/>
              </w:rPr>
            </w:pPr>
            <w:r w:rsidRPr="00441F0A">
              <w:rPr>
                <w:rFonts w:ascii="Times New Roman" w:hAnsi="Times New Roman" w:cs="Times New Roman"/>
                <w:sz w:val="24"/>
                <w:szCs w:val="24"/>
              </w:rPr>
              <w:t>Capacités financières rehaussées et utilisation accrue des technologies éducatives</w:t>
            </w:r>
          </w:p>
        </w:tc>
        <w:tc>
          <w:tcPr>
            <w:tcW w:w="3753" w:type="dxa"/>
          </w:tcPr>
          <w:p w:rsidR="008166F6" w:rsidRPr="00441F0A" w:rsidRDefault="008166F6" w:rsidP="00FA6C34">
            <w:pPr>
              <w:jc w:val="center"/>
              <w:cnfStyle w:val="000000100000"/>
              <w:rPr>
                <w:rFonts w:ascii="Times New Roman" w:hAnsi="Times New Roman" w:cs="Times New Roman"/>
                <w:sz w:val="24"/>
                <w:szCs w:val="24"/>
              </w:rPr>
            </w:pPr>
            <w:r w:rsidRPr="00441F0A">
              <w:rPr>
                <w:rFonts w:ascii="Times New Roman" w:hAnsi="Times New Roman" w:cs="Times New Roman"/>
                <w:sz w:val="24"/>
                <w:szCs w:val="24"/>
              </w:rPr>
              <w:t>Capacités financières diminuées et utilisation accrue des technologies éducatives</w:t>
            </w:r>
          </w:p>
        </w:tc>
      </w:tr>
      <w:tr w:rsidR="008166F6" w:rsidRPr="00441F0A" w:rsidTr="00E21E7E">
        <w:trPr>
          <w:trHeight w:val="927"/>
        </w:trPr>
        <w:tc>
          <w:tcPr>
            <w:cnfStyle w:val="001000000000"/>
            <w:tcW w:w="1900" w:type="dxa"/>
            <w:shd w:val="clear" w:color="auto" w:fill="C4960C"/>
          </w:tcPr>
          <w:p w:rsidR="008166F6" w:rsidRPr="0079364E" w:rsidRDefault="008166F6" w:rsidP="00FA6C34">
            <w:pPr>
              <w:jc w:val="center"/>
              <w:rPr>
                <w:rFonts w:ascii="Times New Roman" w:hAnsi="Times New Roman" w:cs="Times New Roman"/>
                <w:sz w:val="24"/>
                <w:szCs w:val="24"/>
              </w:rPr>
            </w:pPr>
            <w:r w:rsidRPr="0079364E">
              <w:rPr>
                <w:rFonts w:ascii="Times New Roman" w:hAnsi="Times New Roman" w:cs="Times New Roman"/>
                <w:sz w:val="24"/>
                <w:szCs w:val="24"/>
              </w:rPr>
              <w:t>Déclin de l’utilisation des technologies éducatives</w:t>
            </w:r>
          </w:p>
        </w:tc>
        <w:tc>
          <w:tcPr>
            <w:tcW w:w="3703" w:type="dxa"/>
          </w:tcPr>
          <w:p w:rsidR="008166F6" w:rsidRPr="00441F0A" w:rsidRDefault="008166F6" w:rsidP="00FA6C34">
            <w:pPr>
              <w:jc w:val="center"/>
              <w:cnfStyle w:val="000000000000"/>
              <w:rPr>
                <w:rFonts w:ascii="Times New Roman" w:hAnsi="Times New Roman" w:cs="Times New Roman"/>
                <w:sz w:val="24"/>
                <w:szCs w:val="24"/>
              </w:rPr>
            </w:pPr>
            <w:r w:rsidRPr="00441F0A">
              <w:rPr>
                <w:rFonts w:ascii="Times New Roman" w:hAnsi="Times New Roman" w:cs="Times New Roman"/>
                <w:sz w:val="24"/>
                <w:szCs w:val="24"/>
              </w:rPr>
              <w:t>Capacités financières rehaussées et utilisation diminuée des technologies éducatives</w:t>
            </w:r>
          </w:p>
        </w:tc>
        <w:tc>
          <w:tcPr>
            <w:tcW w:w="3753" w:type="dxa"/>
          </w:tcPr>
          <w:p w:rsidR="008166F6" w:rsidRPr="00441F0A" w:rsidRDefault="008166F6" w:rsidP="005F298C">
            <w:pPr>
              <w:keepNext/>
              <w:jc w:val="center"/>
              <w:cnfStyle w:val="000000000000"/>
              <w:rPr>
                <w:rFonts w:ascii="Times New Roman" w:hAnsi="Times New Roman" w:cs="Times New Roman"/>
                <w:sz w:val="24"/>
                <w:szCs w:val="24"/>
              </w:rPr>
            </w:pPr>
            <w:r w:rsidRPr="00441F0A">
              <w:rPr>
                <w:rFonts w:ascii="Times New Roman" w:hAnsi="Times New Roman" w:cs="Times New Roman"/>
                <w:sz w:val="24"/>
                <w:szCs w:val="24"/>
              </w:rPr>
              <w:t xml:space="preserve">Capacités financières diminuées et utilisation </w:t>
            </w:r>
            <w:r w:rsidR="003520A0">
              <w:rPr>
                <w:rFonts w:ascii="Times New Roman" w:hAnsi="Times New Roman" w:cs="Times New Roman"/>
                <w:sz w:val="24"/>
                <w:szCs w:val="24"/>
              </w:rPr>
              <w:t>diminuée</w:t>
            </w:r>
            <w:r w:rsidRPr="00441F0A">
              <w:rPr>
                <w:rFonts w:ascii="Times New Roman" w:hAnsi="Times New Roman" w:cs="Times New Roman"/>
                <w:sz w:val="24"/>
                <w:szCs w:val="24"/>
              </w:rPr>
              <w:t xml:space="preserve"> des technologies éducatives</w:t>
            </w:r>
          </w:p>
        </w:tc>
      </w:tr>
    </w:tbl>
    <w:p w:rsidR="00CC6767" w:rsidRDefault="00CC6767" w:rsidP="003A4200">
      <w:pPr>
        <w:rPr>
          <w:rFonts w:ascii="Times New Roman" w:hAnsi="Times New Roman" w:cs="Times New Roman"/>
          <w:sz w:val="24"/>
          <w:szCs w:val="24"/>
        </w:rPr>
      </w:pPr>
    </w:p>
    <w:p w:rsidR="003A4200" w:rsidRPr="00441F0A" w:rsidRDefault="003A4200" w:rsidP="003A4200">
      <w:pPr>
        <w:rPr>
          <w:rFonts w:ascii="Times New Roman" w:hAnsi="Times New Roman" w:cs="Times New Roman"/>
          <w:sz w:val="24"/>
          <w:szCs w:val="24"/>
        </w:rPr>
      </w:pPr>
    </w:p>
    <w:p w:rsidR="00BB6046" w:rsidRPr="00BB6046" w:rsidRDefault="00EE58D6" w:rsidP="00BB6046">
      <w:pPr>
        <w:pStyle w:val="Titre3"/>
        <w:rPr>
          <w:szCs w:val="24"/>
        </w:rPr>
      </w:pPr>
      <w:bookmarkStart w:id="11" w:name="_Toc417486225"/>
      <w:r>
        <w:t>2</w:t>
      </w:r>
      <w:r w:rsidR="00BB6046" w:rsidRPr="00BB6046">
        <w:t xml:space="preserve">.2 </w:t>
      </w:r>
      <w:r w:rsidR="000D0609" w:rsidRPr="00BB6046">
        <w:rPr>
          <w:szCs w:val="24"/>
        </w:rPr>
        <w:t>Industrie</w:t>
      </w:r>
      <w:bookmarkEnd w:id="11"/>
      <w:r w:rsidR="008F217B" w:rsidRPr="00BB6046">
        <w:rPr>
          <w:szCs w:val="24"/>
        </w:rPr>
        <w:t xml:space="preserve"> </w:t>
      </w:r>
    </w:p>
    <w:p w:rsidR="008F217B" w:rsidRPr="00441F0A" w:rsidRDefault="00EE58D6" w:rsidP="00BB6046">
      <w:pPr>
        <w:pStyle w:val="Titre4"/>
        <w:ind w:left="708"/>
      </w:pPr>
      <w:bookmarkStart w:id="12" w:name="_Toc417486226"/>
      <w:r>
        <w:t>2</w:t>
      </w:r>
      <w:r w:rsidR="00BB6046">
        <w:t xml:space="preserve">.2.1 </w:t>
      </w:r>
      <w:r w:rsidR="008F217B" w:rsidRPr="00441F0A">
        <w:t>Le modèle des 5 (+1) forces de Porter</w:t>
      </w:r>
      <w:bookmarkEnd w:id="12"/>
    </w:p>
    <w:p w:rsidR="008F217B" w:rsidRPr="00441F0A" w:rsidRDefault="008F217B" w:rsidP="00781E70">
      <w:pPr>
        <w:spacing w:before="200" w:line="360" w:lineRule="auto"/>
        <w:jc w:val="both"/>
        <w:rPr>
          <w:rFonts w:ascii="Times New Roman" w:hAnsi="Times New Roman" w:cs="Times New Roman"/>
          <w:b/>
          <w:sz w:val="24"/>
          <w:szCs w:val="24"/>
        </w:rPr>
      </w:pPr>
      <w:r w:rsidRPr="00441F0A">
        <w:rPr>
          <w:rFonts w:ascii="Times New Roman" w:hAnsi="Times New Roman" w:cs="Times New Roman"/>
          <w:b/>
          <w:sz w:val="24"/>
          <w:szCs w:val="24"/>
        </w:rPr>
        <w:t xml:space="preserve">La menace d’entrants potentiels : </w:t>
      </w:r>
    </w:p>
    <w:p w:rsidR="008F217B" w:rsidRPr="00441F0A" w:rsidRDefault="008F217B" w:rsidP="00BB6046">
      <w:pPr>
        <w:spacing w:before="200" w:line="360" w:lineRule="auto"/>
        <w:ind w:firstLine="708"/>
        <w:jc w:val="both"/>
        <w:rPr>
          <w:rFonts w:ascii="Times New Roman" w:hAnsi="Times New Roman" w:cs="Times New Roman"/>
          <w:sz w:val="24"/>
          <w:szCs w:val="24"/>
        </w:rPr>
      </w:pPr>
      <w:r w:rsidRPr="00441F0A">
        <w:rPr>
          <w:rFonts w:ascii="Times New Roman" w:hAnsi="Times New Roman" w:cs="Times New Roman"/>
          <w:sz w:val="24"/>
          <w:szCs w:val="24"/>
        </w:rPr>
        <w:t>Habituellement, il faut évaluer la menace des entrants potentiels d’une industrie par rapport aux trois principales barrières à l’entrée : les barrières financières, commerciales ainsi que de ressources et compétences. Évidemment, nous ne parlerons pas de l’évaluation d’une industrie en ce qui concerne les universités, mais plutôt du secteur de l’éducation supérieur. En ce qui a trait à l’intensité capitalistique, il faut mentionner que le capital à investir pour démarrer une nouvelle université est plutôt élevé. De plus, dans les barrières commerciales, la réputation est un facteur prédominant pour le secteur universitaire. En effet, beaucoup d’étudiants basent leurs choix d’université en fonction de la réputation de celle-ci. Or, se créer une bonne réputation pour un nouvel entrant dans ce secteur pourrait prendre des années avec plusieurs risques d’échouer. En ce sens, il ne faut pas oublier que pour construire cette réputation, une nouvelle université aurait besoin de ressources plutôt rares, soit des enseignants reconnus. Étant donné que les plus grandes universités de la province se disputent déjà cette ressource, un nouvel entrant devrait alors être encore plus compétitif que les autres.</w:t>
      </w:r>
    </w:p>
    <w:p w:rsidR="008F217B" w:rsidRPr="00441F0A" w:rsidRDefault="008F217B" w:rsidP="008F217B">
      <w:pPr>
        <w:spacing w:line="360" w:lineRule="auto"/>
        <w:jc w:val="both"/>
        <w:rPr>
          <w:rFonts w:ascii="Times New Roman" w:hAnsi="Times New Roman" w:cs="Times New Roman"/>
          <w:color w:val="000000"/>
          <w:sz w:val="24"/>
          <w:szCs w:val="24"/>
        </w:rPr>
      </w:pPr>
      <w:r w:rsidRPr="00441F0A">
        <w:rPr>
          <w:rFonts w:ascii="Times New Roman" w:hAnsi="Times New Roman" w:cs="Times New Roman"/>
          <w:sz w:val="24"/>
          <w:szCs w:val="24"/>
        </w:rPr>
        <w:lastRenderedPageBreak/>
        <w:t xml:space="preserve">                  Malgré tout, les barrières habituelles décrites ci-haut ne sont pas pertinentes dans le contexte de l’éducation au Québec puisqu’un nouvel entrant devrait avant tout correspondre aux critères établis par le gouvernement provincial.  Dans la </w:t>
      </w:r>
      <w:r w:rsidRPr="00441F0A">
        <w:rPr>
          <w:rFonts w:ascii="Times New Roman" w:hAnsi="Times New Roman" w:cs="Times New Roman"/>
          <w:i/>
          <w:sz w:val="24"/>
          <w:szCs w:val="24"/>
        </w:rPr>
        <w:t>Loi sur les établissements d’enseignement de niveau universitaire</w:t>
      </w:r>
      <w:r w:rsidRPr="00441F0A">
        <w:rPr>
          <w:rFonts w:ascii="Times New Roman" w:hAnsi="Times New Roman" w:cs="Times New Roman"/>
          <w:sz w:val="24"/>
          <w:szCs w:val="24"/>
        </w:rPr>
        <w:t xml:space="preserve">, nous pouvons constater dans l’article 1 que seules les universités déjà présentes sur le territoire québécois ont le droit d’être considérées comme des </w:t>
      </w:r>
      <w:r w:rsidRPr="00441F0A">
        <w:rPr>
          <w:rFonts w:ascii="Times New Roman" w:hAnsi="Times New Roman" w:cs="Times New Roman"/>
          <w:color w:val="000000"/>
          <w:sz w:val="24"/>
          <w:szCs w:val="24"/>
        </w:rPr>
        <w:t>établissements d'enseignement de niveau universitaire. Certains autres établissements régis par des lois d’autres provinces canadiennes pourraient aussi être considérés comme des établissements d’enseignement de niveau universitaire, mais seulement sous l’accord du ministre de l’Éducation. De plus, « Nul ne peut décerner de grade, diplôme, certificat ou autre attestation d'études universitaires, s'il n'est ou ne représente : 1° un établissement visé à l'article 1, 2° une personne morale ou un organisme à qui le pouvoir de décerner des grades, diplômes, certificats ou autres attestations d'études universitaires est conféré par une loi du Parlement</w:t>
      </w:r>
      <w:r w:rsidRPr="00441F0A">
        <w:rPr>
          <w:rStyle w:val="Appelnotedebasdep"/>
          <w:rFonts w:ascii="Times New Roman" w:hAnsi="Times New Roman" w:cs="Times New Roman"/>
          <w:color w:val="000000"/>
          <w:sz w:val="24"/>
          <w:szCs w:val="24"/>
        </w:rPr>
        <w:footnoteReference w:id="36"/>
      </w:r>
      <w:r w:rsidRPr="00441F0A">
        <w:rPr>
          <w:rFonts w:ascii="Times New Roman" w:hAnsi="Times New Roman" w:cs="Times New Roman"/>
          <w:color w:val="000000"/>
          <w:sz w:val="24"/>
          <w:szCs w:val="24"/>
        </w:rPr>
        <w:t xml:space="preserve"> ». Nous pouvons donc constater que les lois sont très contraignantes face à de nouveaux entrants. </w:t>
      </w:r>
    </w:p>
    <w:p w:rsidR="008F217B" w:rsidRPr="00441F0A" w:rsidRDefault="008F217B" w:rsidP="00F77DE6">
      <w:pPr>
        <w:spacing w:after="0" w:line="360" w:lineRule="auto"/>
        <w:jc w:val="both"/>
        <w:rPr>
          <w:rFonts w:ascii="Times New Roman" w:hAnsi="Times New Roman" w:cs="Times New Roman"/>
          <w:color w:val="000000"/>
          <w:sz w:val="24"/>
          <w:szCs w:val="24"/>
        </w:rPr>
      </w:pPr>
      <w:r w:rsidRPr="00441F0A">
        <w:rPr>
          <w:rFonts w:ascii="Times New Roman" w:hAnsi="Times New Roman" w:cs="Times New Roman"/>
          <w:color w:val="000000"/>
          <w:sz w:val="24"/>
          <w:szCs w:val="24"/>
        </w:rPr>
        <w:t xml:space="preserve">          Nous pouvons donc conclure qu’un seul élément est pertinent en ce qui concerne les entrants potentiels du </w:t>
      </w:r>
      <w:r w:rsidRPr="00441F0A">
        <w:rPr>
          <w:rFonts w:ascii="Times New Roman" w:hAnsi="Times New Roman" w:cs="Times New Roman"/>
          <w:sz w:val="24"/>
          <w:szCs w:val="24"/>
        </w:rPr>
        <w:t xml:space="preserve">secteur de l’éducation supérieur au Québec. En revanche, ce facteur affecte considérablement le nombre d’entrants potentiels. Selon le modèle des 5 (+1) forces de Porter, la menace des entrants potentiels est donc presque minimale c’est pourquoi nous lui décernons un 2/10. </w:t>
      </w:r>
    </w:p>
    <w:p w:rsidR="008F217B" w:rsidRPr="00441F0A" w:rsidRDefault="008F217B" w:rsidP="00F77DE6">
      <w:pPr>
        <w:spacing w:after="0" w:line="360" w:lineRule="auto"/>
        <w:jc w:val="both"/>
        <w:rPr>
          <w:rFonts w:ascii="Times New Roman" w:hAnsi="Times New Roman" w:cs="Times New Roman"/>
          <w:sz w:val="24"/>
          <w:szCs w:val="24"/>
        </w:rPr>
      </w:pPr>
      <w:r w:rsidRPr="00441F0A">
        <w:rPr>
          <w:rFonts w:ascii="Times New Roman" w:hAnsi="Times New Roman" w:cs="Times New Roman"/>
          <w:color w:val="000000"/>
          <w:sz w:val="24"/>
          <w:szCs w:val="24"/>
        </w:rPr>
        <w:t xml:space="preserve">                </w:t>
      </w:r>
    </w:p>
    <w:p w:rsidR="008F217B" w:rsidRPr="00441F0A" w:rsidRDefault="008F217B" w:rsidP="00F77DE6">
      <w:pPr>
        <w:spacing w:after="0" w:line="360" w:lineRule="auto"/>
        <w:rPr>
          <w:rFonts w:ascii="Times New Roman" w:hAnsi="Times New Roman" w:cs="Times New Roman"/>
          <w:b/>
          <w:sz w:val="24"/>
          <w:szCs w:val="24"/>
        </w:rPr>
      </w:pPr>
      <w:r w:rsidRPr="00441F0A">
        <w:rPr>
          <w:rFonts w:ascii="Times New Roman" w:hAnsi="Times New Roman" w:cs="Times New Roman"/>
          <w:b/>
          <w:sz w:val="24"/>
          <w:szCs w:val="24"/>
        </w:rPr>
        <w:t>Le pouvoir de négociation des acheteurs :</w:t>
      </w:r>
    </w:p>
    <w:p w:rsidR="008F217B" w:rsidRDefault="008F217B" w:rsidP="00F77DE6">
      <w:pPr>
        <w:spacing w:after="0" w:line="360" w:lineRule="auto"/>
        <w:ind w:firstLine="708"/>
        <w:jc w:val="both"/>
        <w:rPr>
          <w:rFonts w:ascii="Times New Roman" w:hAnsi="Times New Roman" w:cs="Times New Roman"/>
          <w:sz w:val="24"/>
          <w:szCs w:val="24"/>
        </w:rPr>
      </w:pPr>
      <w:r w:rsidRPr="00441F0A">
        <w:rPr>
          <w:rFonts w:ascii="Times New Roman" w:hAnsi="Times New Roman" w:cs="Times New Roman"/>
          <w:sz w:val="24"/>
          <w:szCs w:val="24"/>
        </w:rPr>
        <w:t>« Les acheteurs sont les clients directs d’une organisation […] »</w:t>
      </w:r>
      <w:r w:rsidRPr="00441F0A">
        <w:rPr>
          <w:rStyle w:val="Appelnotedebasdep"/>
          <w:rFonts w:ascii="Times New Roman" w:hAnsi="Times New Roman" w:cs="Times New Roman"/>
          <w:sz w:val="24"/>
          <w:szCs w:val="24"/>
        </w:rPr>
        <w:footnoteReference w:id="37"/>
      </w:r>
      <w:r w:rsidRPr="00441F0A">
        <w:rPr>
          <w:rFonts w:ascii="Times New Roman" w:hAnsi="Times New Roman" w:cs="Times New Roman"/>
          <w:sz w:val="24"/>
          <w:szCs w:val="24"/>
        </w:rPr>
        <w:t xml:space="preserve">. En appliquant cette définition au contexte d’une université, les </w:t>
      </w:r>
      <w:r w:rsidRPr="00441F0A">
        <w:rPr>
          <w:rFonts w:ascii="Times New Roman" w:hAnsi="Times New Roman" w:cs="Times New Roman"/>
          <w:i/>
          <w:sz w:val="24"/>
          <w:szCs w:val="24"/>
        </w:rPr>
        <w:t>acheteurs</w:t>
      </w:r>
      <w:r w:rsidRPr="00441F0A">
        <w:rPr>
          <w:rFonts w:ascii="Times New Roman" w:hAnsi="Times New Roman" w:cs="Times New Roman"/>
          <w:sz w:val="24"/>
          <w:szCs w:val="24"/>
        </w:rPr>
        <w:t xml:space="preserve"> représentent les étudiants. En effet, ceux-ci sont les utilisateurs du service d’éducation que propose l’</w:t>
      </w:r>
      <w:r w:rsidRPr="00441F0A">
        <w:rPr>
          <w:rFonts w:ascii="Times New Roman" w:hAnsi="Times New Roman" w:cs="Times New Roman"/>
          <w:i/>
          <w:sz w:val="24"/>
          <w:szCs w:val="24"/>
        </w:rPr>
        <w:t>organisation</w:t>
      </w:r>
      <w:r w:rsidRPr="00441F0A">
        <w:rPr>
          <w:rFonts w:ascii="Times New Roman" w:hAnsi="Times New Roman" w:cs="Times New Roman"/>
          <w:sz w:val="24"/>
          <w:szCs w:val="24"/>
        </w:rPr>
        <w:t xml:space="preserve"> étant ici l’UQTR. Puisque les étudiants de l’UQTR sont plus de 10 000</w:t>
      </w:r>
      <w:r w:rsidRPr="00441F0A">
        <w:rPr>
          <w:rStyle w:val="Appelnotedebasdep"/>
          <w:rFonts w:ascii="Times New Roman" w:hAnsi="Times New Roman" w:cs="Times New Roman"/>
          <w:sz w:val="24"/>
          <w:szCs w:val="24"/>
        </w:rPr>
        <w:footnoteReference w:id="38"/>
      </w:r>
      <w:r w:rsidRPr="00441F0A">
        <w:rPr>
          <w:rFonts w:ascii="Times New Roman" w:hAnsi="Times New Roman" w:cs="Times New Roman"/>
          <w:sz w:val="24"/>
          <w:szCs w:val="24"/>
        </w:rPr>
        <w:t xml:space="preserve">,  ils exercent un pouvoir de négociation moins concentré, donc moins considérable. De façon individuelle, </w:t>
      </w:r>
      <w:r w:rsidRPr="00441F0A">
        <w:rPr>
          <w:rFonts w:ascii="Times New Roman" w:hAnsi="Times New Roman" w:cs="Times New Roman"/>
          <w:sz w:val="24"/>
          <w:szCs w:val="24"/>
        </w:rPr>
        <w:lastRenderedPageBreak/>
        <w:t>ils ne peuvent donc pas négocier le prix de leur inscription dans un programme quelconque. Par contre, il y a présence de 19 établissements universitaires au Québec</w:t>
      </w:r>
      <w:r w:rsidRPr="00441F0A">
        <w:rPr>
          <w:rStyle w:val="Appelnotedebasdep"/>
          <w:rFonts w:ascii="Times New Roman" w:hAnsi="Times New Roman" w:cs="Times New Roman"/>
          <w:sz w:val="24"/>
          <w:szCs w:val="24"/>
        </w:rPr>
        <w:footnoteReference w:id="39"/>
      </w:r>
      <w:r w:rsidRPr="00441F0A">
        <w:rPr>
          <w:rFonts w:ascii="Times New Roman" w:hAnsi="Times New Roman" w:cs="Times New Roman"/>
          <w:sz w:val="24"/>
          <w:szCs w:val="24"/>
        </w:rPr>
        <w:t>. Ceci donne alors l’opportunité aux étudiants de choisir l’université dans laquelle ils désirent approfondir leur connaissance. De ce fait, ils détiennent le pouvoir de choisir avec quelle établissement ils feront affaire. Malgré qu’ils puissent changer d’institut pour acquérir de nouvelles connaissances au niveau universitaire (coût de transfert moyennement faible), l’étudiant unique ne détient pas le pouvoir d’imposer ses conditions à celle-ci. Cependant, si la population étudiante se mobilise pour faire valoir ses droits, à ce moment, il peut y avoir présence d’un pouvoir de négociation important. Pour ce faire, nous considérons que le pouvoir de négociation des étudiants s’élève à 5/10.</w:t>
      </w:r>
    </w:p>
    <w:p w:rsidR="00BB6046" w:rsidRPr="00441F0A" w:rsidRDefault="00BB6046" w:rsidP="00F77DE6">
      <w:pPr>
        <w:spacing w:after="0" w:line="360" w:lineRule="auto"/>
        <w:ind w:firstLine="708"/>
        <w:jc w:val="both"/>
        <w:rPr>
          <w:rFonts w:ascii="Times New Roman" w:hAnsi="Times New Roman" w:cs="Times New Roman"/>
          <w:sz w:val="24"/>
          <w:szCs w:val="24"/>
        </w:rPr>
      </w:pPr>
    </w:p>
    <w:p w:rsidR="008F217B" w:rsidRPr="00441F0A" w:rsidRDefault="008F217B" w:rsidP="008F217B">
      <w:pPr>
        <w:spacing w:line="360" w:lineRule="auto"/>
        <w:rPr>
          <w:rFonts w:ascii="Times New Roman" w:hAnsi="Times New Roman" w:cs="Times New Roman"/>
          <w:b/>
          <w:sz w:val="24"/>
          <w:szCs w:val="24"/>
        </w:rPr>
      </w:pPr>
      <w:r w:rsidRPr="00441F0A">
        <w:rPr>
          <w:rFonts w:ascii="Times New Roman" w:hAnsi="Times New Roman" w:cs="Times New Roman"/>
          <w:b/>
          <w:sz w:val="24"/>
          <w:szCs w:val="24"/>
        </w:rPr>
        <w:t>Le pouvoir de négociation des fournisseurs :</w:t>
      </w:r>
    </w:p>
    <w:p w:rsidR="008F217B" w:rsidRPr="00441F0A" w:rsidRDefault="008F217B" w:rsidP="008F217B">
      <w:pPr>
        <w:spacing w:line="360" w:lineRule="auto"/>
        <w:ind w:firstLine="708"/>
        <w:jc w:val="both"/>
        <w:rPr>
          <w:rFonts w:ascii="Times New Roman" w:hAnsi="Times New Roman" w:cs="Times New Roman"/>
          <w:sz w:val="24"/>
          <w:szCs w:val="24"/>
        </w:rPr>
      </w:pPr>
      <w:r w:rsidRPr="00441F0A">
        <w:rPr>
          <w:rFonts w:ascii="Times New Roman" w:hAnsi="Times New Roman" w:cs="Times New Roman"/>
          <w:sz w:val="24"/>
          <w:szCs w:val="24"/>
        </w:rPr>
        <w:t>« Les fournisseurs approvisionnent une organisation avec ce dont elle a besoin pour produire ses propres […] services. »</w:t>
      </w:r>
      <w:r w:rsidRPr="00441F0A">
        <w:rPr>
          <w:rStyle w:val="Appelnotedebasdep"/>
          <w:rFonts w:ascii="Times New Roman" w:hAnsi="Times New Roman" w:cs="Times New Roman"/>
          <w:sz w:val="24"/>
          <w:szCs w:val="24"/>
        </w:rPr>
        <w:footnoteReference w:id="40"/>
      </w:r>
      <w:r w:rsidRPr="00441F0A">
        <w:rPr>
          <w:rFonts w:ascii="Times New Roman" w:hAnsi="Times New Roman" w:cs="Times New Roman"/>
          <w:sz w:val="24"/>
          <w:szCs w:val="24"/>
        </w:rPr>
        <w:t xml:space="preserve"> Dans le contexte d’une université, les fournisseurs sont les professeurs ainsi que les chargés de cours qui enseignent leur savoir. Tout comme les étudiants, les enseignants et les chargés de cours ne sont pas concentrés, ce qui réduit leur pouvoir de négociation auprès de l’organisation. Les coûts de transfert d’un professeur peuvent être significatifs en considérant qu’il y aura un coût effectif de changement, par exemple si celui-ci est un spécialiste dans son domaine, il peut être difficilement remplacé. À ce niveau, l’individu unique peut avoir un certain pouvoir de négociation sur l’organisation, mais cela n’aura pas une incidence critique sur la distribution du savoir au sein d’une université.  </w:t>
      </w:r>
    </w:p>
    <w:p w:rsidR="008F217B" w:rsidRPr="00441F0A" w:rsidRDefault="008F217B" w:rsidP="00F77DE6">
      <w:pPr>
        <w:spacing w:after="0" w:line="360" w:lineRule="auto"/>
        <w:ind w:firstLine="708"/>
        <w:jc w:val="both"/>
        <w:rPr>
          <w:rFonts w:ascii="Times New Roman" w:hAnsi="Times New Roman" w:cs="Times New Roman"/>
          <w:sz w:val="24"/>
          <w:szCs w:val="24"/>
        </w:rPr>
      </w:pPr>
      <w:r w:rsidRPr="00441F0A">
        <w:rPr>
          <w:rFonts w:ascii="Times New Roman" w:hAnsi="Times New Roman" w:cs="Times New Roman"/>
          <w:sz w:val="24"/>
          <w:szCs w:val="24"/>
        </w:rPr>
        <w:t xml:space="preserve">Il est impératif de comprendre que les ressources humaines sont le fondement d’une université, puisqu’elle offre le service de formation aux étudiants. Si le corps </w:t>
      </w:r>
      <w:r w:rsidR="003520A0">
        <w:rPr>
          <w:rFonts w:ascii="Times New Roman" w:hAnsi="Times New Roman" w:cs="Times New Roman"/>
          <w:sz w:val="24"/>
          <w:szCs w:val="24"/>
        </w:rPr>
        <w:t>enseignant</w:t>
      </w:r>
      <w:r w:rsidRPr="00441F0A">
        <w:rPr>
          <w:rFonts w:ascii="Times New Roman" w:hAnsi="Times New Roman" w:cs="Times New Roman"/>
          <w:sz w:val="24"/>
          <w:szCs w:val="24"/>
        </w:rPr>
        <w:t xml:space="preserve"> se regroupe, il sera en mesure d’exercer des pressions importantes afin de négociation auprès de l’organisation (nous pouvons penser ici à la formation d’un </w:t>
      </w:r>
      <w:r w:rsidRPr="00441F0A">
        <w:rPr>
          <w:rFonts w:ascii="Times New Roman" w:hAnsi="Times New Roman" w:cs="Times New Roman"/>
          <w:sz w:val="24"/>
          <w:szCs w:val="24"/>
        </w:rPr>
        <w:lastRenderedPageBreak/>
        <w:t>syndicat). Pour ce faire, nous attribuons au pouvoir de négociation des fournisseurs de l’UQTR un 4/10.</w:t>
      </w:r>
    </w:p>
    <w:p w:rsidR="008F217B" w:rsidRPr="00441F0A" w:rsidRDefault="008F217B" w:rsidP="00F77DE6">
      <w:pPr>
        <w:spacing w:after="0" w:line="360" w:lineRule="auto"/>
        <w:ind w:firstLine="708"/>
        <w:jc w:val="both"/>
        <w:rPr>
          <w:rFonts w:ascii="Times New Roman" w:hAnsi="Times New Roman" w:cs="Times New Roman"/>
          <w:sz w:val="24"/>
          <w:szCs w:val="24"/>
        </w:rPr>
      </w:pPr>
    </w:p>
    <w:p w:rsidR="008F217B" w:rsidRPr="00441F0A" w:rsidRDefault="008F217B" w:rsidP="00F77DE6">
      <w:pPr>
        <w:spacing w:after="0" w:line="360" w:lineRule="auto"/>
        <w:rPr>
          <w:rFonts w:ascii="Times New Roman" w:hAnsi="Times New Roman" w:cs="Times New Roman"/>
          <w:b/>
          <w:sz w:val="24"/>
          <w:szCs w:val="24"/>
        </w:rPr>
      </w:pPr>
      <w:r w:rsidRPr="00441F0A">
        <w:rPr>
          <w:rFonts w:ascii="Times New Roman" w:hAnsi="Times New Roman" w:cs="Times New Roman"/>
          <w:b/>
          <w:sz w:val="24"/>
          <w:szCs w:val="24"/>
        </w:rPr>
        <w:t xml:space="preserve">Pouvoir Public : </w:t>
      </w:r>
    </w:p>
    <w:p w:rsidR="008F217B" w:rsidRPr="00441F0A" w:rsidRDefault="008F217B" w:rsidP="00F77DE6">
      <w:pPr>
        <w:spacing w:after="0" w:line="360" w:lineRule="auto"/>
        <w:jc w:val="both"/>
        <w:rPr>
          <w:rFonts w:ascii="Times New Roman" w:hAnsi="Times New Roman" w:cs="Times New Roman"/>
          <w:sz w:val="24"/>
          <w:szCs w:val="24"/>
        </w:rPr>
      </w:pPr>
      <w:r w:rsidRPr="00441F0A">
        <w:rPr>
          <w:rFonts w:ascii="Times New Roman" w:hAnsi="Times New Roman" w:cs="Times New Roman"/>
          <w:sz w:val="24"/>
          <w:szCs w:val="24"/>
        </w:rPr>
        <w:t xml:space="preserve">Puisque l’UQTR est une université dite publique, les autorités publiques ont beaucoup de pouvoir face à l’UQTR. En effet, le ministère de l’éducation décide des exigences pour l’émission de diplômes, des normes d’enseignements, etc. </w:t>
      </w:r>
    </w:p>
    <w:p w:rsidR="008F217B" w:rsidRPr="00441F0A" w:rsidRDefault="008F217B" w:rsidP="008F217B">
      <w:pPr>
        <w:spacing w:line="360" w:lineRule="auto"/>
        <w:jc w:val="both"/>
        <w:rPr>
          <w:rFonts w:ascii="Times New Roman" w:hAnsi="Times New Roman" w:cs="Times New Roman"/>
          <w:sz w:val="24"/>
          <w:szCs w:val="24"/>
        </w:rPr>
      </w:pPr>
      <w:r w:rsidRPr="00441F0A">
        <w:rPr>
          <w:rStyle w:val="Appelnotedebasdep"/>
          <w:rFonts w:ascii="Times New Roman" w:hAnsi="Times New Roman" w:cs="Times New Roman"/>
          <w:sz w:val="24"/>
          <w:szCs w:val="24"/>
        </w:rPr>
        <w:footnoteReference w:id="41"/>
      </w:r>
      <w:r w:rsidRPr="00441F0A">
        <w:rPr>
          <w:rFonts w:ascii="Times New Roman" w:hAnsi="Times New Roman" w:cs="Times New Roman"/>
          <w:sz w:val="24"/>
          <w:szCs w:val="24"/>
        </w:rPr>
        <w:t>Le gouvernement peut décider de couper les subventions aux universités à tout moment, comme il l’a fait l’an dernier, ce qui affecte grandement l’allocation de ressources à travers les différents départements de l’université. L’université doit rédiger</w:t>
      </w:r>
      <w:r w:rsidR="00BA40BD" w:rsidRPr="00441F0A">
        <w:rPr>
          <w:rFonts w:ascii="Times New Roman" w:hAnsi="Times New Roman" w:cs="Times New Roman"/>
          <w:sz w:val="24"/>
          <w:szCs w:val="24"/>
        </w:rPr>
        <w:t xml:space="preserve"> et faire</w:t>
      </w:r>
      <w:r w:rsidRPr="00441F0A">
        <w:rPr>
          <w:rFonts w:ascii="Times New Roman" w:hAnsi="Times New Roman" w:cs="Times New Roman"/>
          <w:sz w:val="24"/>
          <w:szCs w:val="24"/>
        </w:rPr>
        <w:t xml:space="preserve"> accepter par le ministère les nouveaux programmes qu’elle souhaite instaurer et elle doit s’assurer de toujours satisfaire aux exigences du gouvernement.</w:t>
      </w:r>
    </w:p>
    <w:p w:rsidR="008F217B" w:rsidRPr="00441F0A" w:rsidRDefault="008F217B" w:rsidP="00F77DE6">
      <w:pPr>
        <w:spacing w:after="0" w:line="360" w:lineRule="auto"/>
        <w:jc w:val="both"/>
        <w:rPr>
          <w:rFonts w:ascii="Times New Roman" w:hAnsi="Times New Roman" w:cs="Times New Roman"/>
          <w:sz w:val="24"/>
          <w:szCs w:val="24"/>
        </w:rPr>
      </w:pPr>
      <w:r w:rsidRPr="00441F0A">
        <w:rPr>
          <w:rFonts w:ascii="Times New Roman" w:hAnsi="Times New Roman" w:cs="Times New Roman"/>
          <w:sz w:val="24"/>
          <w:szCs w:val="24"/>
        </w:rPr>
        <w:t>De plus, le gouvernement affecte l’université quant aux coûts pour les étudiants étrangers qui veulent venir étudier à l’UQTR. Il a récemment augmenté ceux-ci.</w:t>
      </w:r>
      <w:r w:rsidRPr="00441F0A">
        <w:rPr>
          <w:rStyle w:val="Appelnotedebasdep"/>
          <w:rFonts w:ascii="Times New Roman" w:hAnsi="Times New Roman" w:cs="Times New Roman"/>
          <w:sz w:val="24"/>
          <w:szCs w:val="24"/>
        </w:rPr>
        <w:footnoteReference w:id="42"/>
      </w:r>
    </w:p>
    <w:p w:rsidR="008F217B" w:rsidRPr="00441F0A" w:rsidRDefault="008F217B" w:rsidP="00F77DE6">
      <w:pPr>
        <w:spacing w:after="0" w:line="360" w:lineRule="auto"/>
        <w:jc w:val="both"/>
        <w:rPr>
          <w:rFonts w:ascii="Times New Roman" w:hAnsi="Times New Roman" w:cs="Times New Roman"/>
          <w:b/>
          <w:sz w:val="24"/>
          <w:szCs w:val="24"/>
        </w:rPr>
      </w:pPr>
    </w:p>
    <w:p w:rsidR="008F217B" w:rsidRPr="00441F0A" w:rsidRDefault="008F217B" w:rsidP="00F77DE6">
      <w:pPr>
        <w:spacing w:after="0" w:line="360" w:lineRule="auto"/>
        <w:rPr>
          <w:rFonts w:ascii="Times New Roman" w:hAnsi="Times New Roman" w:cs="Times New Roman"/>
          <w:b/>
          <w:sz w:val="24"/>
          <w:szCs w:val="24"/>
        </w:rPr>
      </w:pPr>
      <w:r w:rsidRPr="00441F0A">
        <w:rPr>
          <w:rFonts w:ascii="Times New Roman" w:hAnsi="Times New Roman" w:cs="Times New Roman"/>
          <w:b/>
          <w:sz w:val="24"/>
          <w:szCs w:val="24"/>
        </w:rPr>
        <w:t>Menace de substituts :</w:t>
      </w:r>
    </w:p>
    <w:p w:rsidR="008F217B" w:rsidRPr="00441F0A" w:rsidRDefault="008F217B" w:rsidP="00BB6046">
      <w:pPr>
        <w:spacing w:after="0" w:line="360" w:lineRule="auto"/>
        <w:ind w:firstLine="708"/>
        <w:jc w:val="both"/>
        <w:rPr>
          <w:rFonts w:ascii="Times New Roman" w:hAnsi="Times New Roman" w:cs="Times New Roman"/>
          <w:sz w:val="24"/>
          <w:szCs w:val="24"/>
        </w:rPr>
      </w:pPr>
      <w:r w:rsidRPr="00441F0A">
        <w:rPr>
          <w:rFonts w:ascii="Times New Roman" w:hAnsi="Times New Roman" w:cs="Times New Roman"/>
          <w:sz w:val="24"/>
          <w:szCs w:val="24"/>
        </w:rPr>
        <w:t xml:space="preserve">Le produit substitut en est un qui «offre un bénéfice </w:t>
      </w:r>
      <w:r w:rsidR="003520A0">
        <w:rPr>
          <w:rFonts w:ascii="Times New Roman" w:hAnsi="Times New Roman" w:cs="Times New Roman"/>
          <w:sz w:val="24"/>
          <w:szCs w:val="24"/>
        </w:rPr>
        <w:t>équivalent,</w:t>
      </w:r>
      <w:r w:rsidRPr="00441F0A">
        <w:rPr>
          <w:rFonts w:ascii="Times New Roman" w:hAnsi="Times New Roman" w:cs="Times New Roman"/>
          <w:sz w:val="24"/>
          <w:szCs w:val="24"/>
        </w:rPr>
        <w:t xml:space="preserve"> mais selon une approche différente</w:t>
      </w:r>
      <w:r w:rsidRPr="00441F0A">
        <w:rPr>
          <w:rStyle w:val="Appelnotedebasdep"/>
          <w:rFonts w:ascii="Times New Roman" w:hAnsi="Times New Roman" w:cs="Times New Roman"/>
          <w:sz w:val="24"/>
          <w:szCs w:val="24"/>
        </w:rPr>
        <w:footnoteReference w:id="43"/>
      </w:r>
      <w:r w:rsidRPr="00441F0A">
        <w:rPr>
          <w:rFonts w:ascii="Times New Roman" w:hAnsi="Times New Roman" w:cs="Times New Roman"/>
          <w:sz w:val="24"/>
          <w:szCs w:val="24"/>
        </w:rPr>
        <w:t>». Dans le contexte de l’industrie de l’éducation supérieure, nous constatons qu’un seul substitut pourrait constituer une menace qui rehausserait l’intensité concurrentielle de cette industrie. Il ne peut s’agir de la présence des écoles de métier, ni des CÉGEPS, puisque ces institutions n’offrent pas une formation (bénéfice) équivalente à un grade universitaire. Il ne peut non plus s’agir d’une nouvelle université qui s’installerait physiquement à Trois-Rivières pour offrir des services d’enseignements comparables et compétitifs. En effet, nous jugeons que la présence de cinq établissements universitaires</w:t>
      </w:r>
      <w:r w:rsidRPr="00441F0A">
        <w:rPr>
          <w:rStyle w:val="Appelnotedebasdep"/>
          <w:rFonts w:ascii="Times New Roman" w:hAnsi="Times New Roman" w:cs="Times New Roman"/>
          <w:sz w:val="24"/>
          <w:szCs w:val="24"/>
        </w:rPr>
        <w:footnoteReference w:id="44"/>
      </w:r>
      <w:r w:rsidRPr="00441F0A">
        <w:rPr>
          <w:rFonts w:ascii="Times New Roman" w:hAnsi="Times New Roman" w:cs="Times New Roman"/>
          <w:sz w:val="24"/>
          <w:szCs w:val="24"/>
        </w:rPr>
        <w:t xml:space="preserve"> à une distance d’une heure et demie de voiture de Trois-Rivières fait de cette région un secteur où l’industrie de l’éducation supérieure a atteint la phase de </w:t>
      </w:r>
      <w:r w:rsidRPr="00441F0A">
        <w:rPr>
          <w:rFonts w:ascii="Times New Roman" w:hAnsi="Times New Roman" w:cs="Times New Roman"/>
          <w:sz w:val="24"/>
          <w:szCs w:val="24"/>
        </w:rPr>
        <w:lastRenderedPageBreak/>
        <w:t>maturité. De ce fait, il est improbable de voir s’installer en Mauricie les bâtiments d’une nouvelle université. Toutefois, la possibilité toute contemporaine d’obtenir de la formation universitaire en ligne vient modifier le contexte dressé jusqu’ici. En effet, un changement significatif a lieu dans les sphères académiques en ce qui concerne les cours en ligne donnés par les universités, alors que nous constatons une croissance significative dans leur utilisation</w:t>
      </w:r>
      <w:r w:rsidRPr="00441F0A">
        <w:rPr>
          <w:rStyle w:val="Appelnotedebasdep"/>
          <w:rFonts w:ascii="Times New Roman" w:hAnsi="Times New Roman" w:cs="Times New Roman"/>
          <w:sz w:val="24"/>
          <w:szCs w:val="24"/>
        </w:rPr>
        <w:footnoteReference w:id="45"/>
      </w:r>
      <w:r w:rsidRPr="00441F0A">
        <w:rPr>
          <w:rFonts w:ascii="Times New Roman" w:hAnsi="Times New Roman" w:cs="Times New Roman"/>
          <w:sz w:val="24"/>
          <w:szCs w:val="24"/>
        </w:rPr>
        <w:t>. Cependant, nous remarquons une remise en question sérieuse quant à leur efficacité actuelle pour remplacer les interactions habituellement offertes dans une salle de classe</w:t>
      </w:r>
      <w:r w:rsidRPr="00441F0A">
        <w:rPr>
          <w:rStyle w:val="Appelnotedebasdep"/>
          <w:rFonts w:ascii="Times New Roman" w:hAnsi="Times New Roman" w:cs="Times New Roman"/>
          <w:sz w:val="24"/>
          <w:szCs w:val="24"/>
        </w:rPr>
        <w:footnoteReference w:id="46"/>
      </w:r>
      <w:r w:rsidR="003520A0">
        <w:rPr>
          <w:rFonts w:ascii="Times New Roman" w:hAnsi="Times New Roman" w:cs="Times New Roman"/>
          <w:sz w:val="24"/>
          <w:szCs w:val="24"/>
          <w:vertAlign w:val="superscript"/>
        </w:rPr>
        <w:t>.</w:t>
      </w:r>
      <w:r w:rsidRPr="00441F0A">
        <w:rPr>
          <w:rFonts w:ascii="Times New Roman" w:hAnsi="Times New Roman" w:cs="Times New Roman"/>
          <w:sz w:val="24"/>
          <w:szCs w:val="24"/>
        </w:rPr>
        <w:t xml:space="preserve"> En effet, une étude récente rapporte «des estimations négatives robustes concernant (1) la persistance des étudiants inscrits dans des cours en ligne et (2) les résultats académiques obtenus</w:t>
      </w:r>
      <w:r w:rsidRPr="00441F0A">
        <w:rPr>
          <w:rStyle w:val="Appelnotedebasdep"/>
          <w:rFonts w:ascii="Times New Roman" w:hAnsi="Times New Roman" w:cs="Times New Roman"/>
          <w:sz w:val="24"/>
          <w:szCs w:val="24"/>
        </w:rPr>
        <w:footnoteReference w:id="47"/>
      </w:r>
      <w:r w:rsidRPr="00441F0A">
        <w:rPr>
          <w:rFonts w:ascii="Times New Roman" w:hAnsi="Times New Roman" w:cs="Times New Roman"/>
          <w:sz w:val="24"/>
          <w:szCs w:val="24"/>
        </w:rPr>
        <w:t>». Cela contredit la notion voulant qu’il n’y ait pas de différence significative entre les résultats obtenus par un étudiant en ligne et un autre œuvrant dans une université physique</w:t>
      </w:r>
      <w:r w:rsidRPr="00441F0A">
        <w:rPr>
          <w:rStyle w:val="Appelnotedebasdep"/>
          <w:rFonts w:ascii="Times New Roman" w:hAnsi="Times New Roman" w:cs="Times New Roman"/>
          <w:sz w:val="24"/>
          <w:szCs w:val="24"/>
        </w:rPr>
        <w:footnoteReference w:id="48"/>
      </w:r>
      <w:r w:rsidRPr="00441F0A">
        <w:rPr>
          <w:rFonts w:ascii="Times New Roman" w:hAnsi="Times New Roman" w:cs="Times New Roman"/>
          <w:sz w:val="24"/>
          <w:szCs w:val="24"/>
        </w:rPr>
        <w:t>. Ceci étant dit, nous estimons que les cours en ligne donnés par les universités constituent une menace de substitut moyennement importante pour l’industrie de l’éducation supérieure. De ce fait, nous décernons un 7/10 à cette force.</w:t>
      </w:r>
    </w:p>
    <w:p w:rsidR="008F217B" w:rsidRPr="00441F0A" w:rsidRDefault="008F217B" w:rsidP="008F217B">
      <w:pPr>
        <w:spacing w:after="0" w:line="360" w:lineRule="auto"/>
        <w:jc w:val="both"/>
        <w:rPr>
          <w:rFonts w:ascii="Times New Roman" w:hAnsi="Times New Roman" w:cs="Times New Roman"/>
          <w:b/>
          <w:sz w:val="24"/>
          <w:szCs w:val="24"/>
        </w:rPr>
      </w:pPr>
    </w:p>
    <w:p w:rsidR="008F217B" w:rsidRPr="00441F0A" w:rsidRDefault="008F217B" w:rsidP="008F217B">
      <w:pPr>
        <w:spacing w:after="0" w:line="360" w:lineRule="auto"/>
        <w:jc w:val="both"/>
        <w:rPr>
          <w:rFonts w:ascii="Times New Roman" w:hAnsi="Times New Roman" w:cs="Times New Roman"/>
          <w:b/>
          <w:sz w:val="24"/>
          <w:szCs w:val="24"/>
        </w:rPr>
      </w:pPr>
      <w:r w:rsidRPr="00441F0A">
        <w:rPr>
          <w:rFonts w:ascii="Times New Roman" w:hAnsi="Times New Roman" w:cs="Times New Roman"/>
          <w:b/>
          <w:sz w:val="24"/>
          <w:szCs w:val="24"/>
        </w:rPr>
        <w:t xml:space="preserve">Intensité </w:t>
      </w:r>
      <w:r w:rsidR="003520A0">
        <w:rPr>
          <w:rFonts w:ascii="Times New Roman" w:hAnsi="Times New Roman" w:cs="Times New Roman"/>
          <w:b/>
          <w:sz w:val="24"/>
          <w:szCs w:val="24"/>
        </w:rPr>
        <w:t>concurrentielle</w:t>
      </w:r>
      <w:r w:rsidRPr="00441F0A">
        <w:rPr>
          <w:rFonts w:ascii="Times New Roman" w:hAnsi="Times New Roman" w:cs="Times New Roman"/>
          <w:b/>
          <w:sz w:val="24"/>
          <w:szCs w:val="24"/>
        </w:rPr>
        <w:t> :</w:t>
      </w:r>
    </w:p>
    <w:p w:rsidR="008F217B" w:rsidRPr="00441F0A" w:rsidRDefault="008F217B" w:rsidP="00BB6046">
      <w:pPr>
        <w:spacing w:after="0" w:line="360" w:lineRule="auto"/>
        <w:ind w:firstLine="708"/>
        <w:jc w:val="both"/>
        <w:rPr>
          <w:rFonts w:ascii="Times New Roman" w:hAnsi="Times New Roman" w:cs="Times New Roman"/>
          <w:sz w:val="24"/>
          <w:szCs w:val="24"/>
        </w:rPr>
      </w:pPr>
      <w:r w:rsidRPr="00441F0A">
        <w:rPr>
          <w:rFonts w:ascii="Times New Roman" w:hAnsi="Times New Roman" w:cs="Times New Roman"/>
          <w:sz w:val="24"/>
          <w:szCs w:val="24"/>
        </w:rPr>
        <w:t xml:space="preserve">Nous ne considérons pas que l’intensité concurrentielle des universités </w:t>
      </w:r>
      <w:proofErr w:type="gramStart"/>
      <w:r w:rsidRPr="00441F0A">
        <w:rPr>
          <w:rFonts w:ascii="Times New Roman" w:hAnsi="Times New Roman" w:cs="Times New Roman"/>
          <w:sz w:val="24"/>
          <w:szCs w:val="24"/>
        </w:rPr>
        <w:t>est</w:t>
      </w:r>
      <w:proofErr w:type="gramEnd"/>
      <w:r w:rsidRPr="00441F0A">
        <w:rPr>
          <w:rFonts w:ascii="Times New Roman" w:hAnsi="Times New Roman" w:cs="Times New Roman"/>
          <w:sz w:val="24"/>
          <w:szCs w:val="24"/>
        </w:rPr>
        <w:t xml:space="preserve"> vive, puisque le pouvoir qu’exerce le gouvernement sur ses établissements est considérable étant donné qu’il s’agit d’établissements publics. En effet, le gouvernement provincial détient un certain pouvoir sur les institutions universitaires de façon à exiger d’eux des critères spécifiques en ce qui a trait, par exemple, à l’obtention de diplôme. De plus, la menace d’entrants potentiels est considérablement faible, car le ministère de l’éducation joue un rôle important sur l’entrée des différentes universités au Québec par l’application de lois contraignantes. Pour ce qu’il en est du pouvoir de négociation des acheteurs et des </w:t>
      </w:r>
      <w:r w:rsidRPr="00441F0A">
        <w:rPr>
          <w:rFonts w:ascii="Times New Roman" w:hAnsi="Times New Roman" w:cs="Times New Roman"/>
          <w:sz w:val="24"/>
          <w:szCs w:val="24"/>
        </w:rPr>
        <w:lastRenderedPageBreak/>
        <w:t xml:space="preserve">fournisseurs, celui-ci est d’intensité moyenne dû principalement à leur faible concentration et à leur grand </w:t>
      </w:r>
      <w:r w:rsidR="00F77DE6" w:rsidRPr="00441F0A">
        <w:rPr>
          <w:rFonts w:ascii="Times New Roman" w:hAnsi="Times New Roman" w:cs="Times New Roman"/>
          <w:sz w:val="24"/>
          <w:szCs w:val="24"/>
        </w:rPr>
        <w:t>nombre. Cependant, leur pouvoir peut être accentué par le principe de</w:t>
      </w:r>
      <w:r w:rsidRPr="00441F0A">
        <w:rPr>
          <w:rFonts w:ascii="Times New Roman" w:hAnsi="Times New Roman" w:cs="Times New Roman"/>
          <w:sz w:val="24"/>
          <w:szCs w:val="24"/>
        </w:rPr>
        <w:t xml:space="preserve"> </w:t>
      </w:r>
      <w:r w:rsidR="00F77DE6" w:rsidRPr="00441F0A">
        <w:rPr>
          <w:rFonts w:ascii="Times New Roman" w:hAnsi="Times New Roman" w:cs="Times New Roman"/>
          <w:sz w:val="24"/>
          <w:szCs w:val="24"/>
        </w:rPr>
        <w:t>mobilisation qui leur permet d’</w:t>
      </w:r>
      <w:r w:rsidRPr="00441F0A">
        <w:rPr>
          <w:rFonts w:ascii="Times New Roman" w:hAnsi="Times New Roman" w:cs="Times New Roman"/>
          <w:sz w:val="24"/>
          <w:szCs w:val="24"/>
        </w:rPr>
        <w:t xml:space="preserve">exercer des pressions plus grandes afin de </w:t>
      </w:r>
      <w:r w:rsidR="00F77DE6" w:rsidRPr="00441F0A">
        <w:rPr>
          <w:rFonts w:ascii="Times New Roman" w:hAnsi="Times New Roman" w:cs="Times New Roman"/>
          <w:sz w:val="24"/>
          <w:szCs w:val="24"/>
        </w:rPr>
        <w:t>favoriser la négociation</w:t>
      </w:r>
      <w:r w:rsidRPr="00441F0A">
        <w:rPr>
          <w:rFonts w:ascii="Times New Roman" w:hAnsi="Times New Roman" w:cs="Times New Roman"/>
          <w:sz w:val="24"/>
          <w:szCs w:val="24"/>
        </w:rPr>
        <w:t xml:space="preserve">. Enfin, la menace des substituts est considérablement importante si nous prenons en compte l’entrée progressive des cours en ligne universitaires. En effet, ceux-ci offrent le même bénéfice que les cours universitaires traditionnels, mais selon une approche différente. </w:t>
      </w:r>
    </w:p>
    <w:p w:rsidR="008F217B" w:rsidRPr="00441F0A" w:rsidRDefault="008F217B" w:rsidP="008F217B">
      <w:pPr>
        <w:spacing w:line="360" w:lineRule="auto"/>
        <w:jc w:val="both"/>
        <w:rPr>
          <w:rFonts w:ascii="Times New Roman" w:hAnsi="Times New Roman" w:cs="Times New Roman"/>
          <w:sz w:val="24"/>
          <w:szCs w:val="24"/>
        </w:rPr>
      </w:pPr>
      <w:r w:rsidRPr="00441F0A">
        <w:rPr>
          <w:rFonts w:ascii="Times New Roman" w:hAnsi="Times New Roman" w:cs="Times New Roman"/>
          <w:sz w:val="24"/>
          <w:szCs w:val="24"/>
        </w:rPr>
        <w:t>Pour ce faire, nous considérons que l’intensité concurrentielle de l’industrie est de force moyenne et nous lui accordons un 5,5/10.</w:t>
      </w:r>
    </w:p>
    <w:p w:rsidR="00A85F79" w:rsidRPr="00441F0A" w:rsidRDefault="00A85F79" w:rsidP="008F217B">
      <w:pPr>
        <w:spacing w:line="360" w:lineRule="auto"/>
        <w:jc w:val="both"/>
        <w:rPr>
          <w:rFonts w:ascii="Times New Roman" w:hAnsi="Times New Roman" w:cs="Times New Roman"/>
          <w:sz w:val="24"/>
          <w:szCs w:val="24"/>
        </w:rPr>
      </w:pPr>
    </w:p>
    <w:p w:rsidR="00A85F79" w:rsidRPr="00441F0A" w:rsidRDefault="00A85F79" w:rsidP="008F217B">
      <w:pPr>
        <w:spacing w:line="360" w:lineRule="auto"/>
        <w:jc w:val="both"/>
        <w:rPr>
          <w:rFonts w:ascii="Times New Roman" w:hAnsi="Times New Roman" w:cs="Times New Roman"/>
          <w:sz w:val="24"/>
          <w:szCs w:val="24"/>
        </w:rPr>
      </w:pPr>
    </w:p>
    <w:p w:rsidR="000D0609" w:rsidRDefault="00893AFC" w:rsidP="00092F08">
      <w:pPr>
        <w:pStyle w:val="Titre4"/>
        <w:jc w:val="center"/>
        <w:rPr>
          <w:rFonts w:ascii="Times New Roman" w:hAnsi="Times New Roman" w:cs="Times New Roman"/>
          <w:color w:val="auto"/>
          <w:sz w:val="24"/>
          <w:szCs w:val="24"/>
        </w:rPr>
      </w:pPr>
      <w:bookmarkStart w:id="13" w:name="_Toc417123220"/>
      <w:r>
        <w:rPr>
          <w:rFonts w:ascii="Times New Roman" w:hAnsi="Times New Roman" w:cs="Times New Roman"/>
          <w:noProof/>
          <w:color w:val="auto"/>
          <w:sz w:val="24"/>
          <w:szCs w:val="24"/>
          <w:lang w:eastAsia="fr-CA"/>
        </w:rPr>
        <w:drawing>
          <wp:inline distT="0" distB="0" distL="0" distR="0">
            <wp:extent cx="5486400" cy="3486150"/>
            <wp:effectExtent l="19050" t="0" r="0" b="0"/>
            <wp:docPr id="32" name="Image 1" descr="C:\Users\Célia\Documents\Administration des affaires\Hiver 2015\Gestion stratégique des entreprises\hexagone sectoriel- UQ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élia\Documents\Administration des affaires\Hiver 2015\Gestion stratégique des entreprises\hexagone sectoriel- UQTR.png"/>
                    <pic:cNvPicPr>
                      <a:picLocks noChangeAspect="1" noChangeArrowheads="1"/>
                    </pic:cNvPicPr>
                  </pic:nvPicPr>
                  <pic:blipFill>
                    <a:blip r:embed="rId11" cstate="print"/>
                    <a:srcRect/>
                    <a:stretch>
                      <a:fillRect/>
                    </a:stretch>
                  </pic:blipFill>
                  <pic:spPr bwMode="auto">
                    <a:xfrm>
                      <a:off x="0" y="0"/>
                      <a:ext cx="5486400" cy="3486150"/>
                    </a:xfrm>
                    <a:prstGeom prst="rect">
                      <a:avLst/>
                    </a:prstGeom>
                    <a:noFill/>
                    <a:ln w="9525">
                      <a:noFill/>
                      <a:miter lim="800000"/>
                      <a:headEnd/>
                      <a:tailEnd/>
                    </a:ln>
                  </pic:spPr>
                </pic:pic>
              </a:graphicData>
            </a:graphic>
          </wp:inline>
        </w:drawing>
      </w:r>
      <w:bookmarkEnd w:id="13"/>
    </w:p>
    <w:p w:rsidR="004C16A0" w:rsidRDefault="004C16A0" w:rsidP="004C16A0"/>
    <w:p w:rsidR="004C16A0" w:rsidRDefault="004C16A0" w:rsidP="004C16A0"/>
    <w:p w:rsidR="003A4200" w:rsidRDefault="003A4200" w:rsidP="004C16A0"/>
    <w:p w:rsidR="003A4200" w:rsidRDefault="003A4200" w:rsidP="004C16A0"/>
    <w:p w:rsidR="003A4200" w:rsidRPr="004C16A0" w:rsidRDefault="003A4200" w:rsidP="004C16A0"/>
    <w:p w:rsidR="00747881" w:rsidRDefault="00EE58D6" w:rsidP="00BB6046">
      <w:pPr>
        <w:pStyle w:val="Titre4"/>
        <w:ind w:left="360"/>
        <w:rPr>
          <w:szCs w:val="24"/>
        </w:rPr>
      </w:pPr>
      <w:bookmarkStart w:id="14" w:name="_Toc417486227"/>
      <w:r>
        <w:lastRenderedPageBreak/>
        <w:t>2</w:t>
      </w:r>
      <w:r w:rsidR="00BB6046" w:rsidRPr="00BB6046">
        <w:t xml:space="preserve">.2.2 </w:t>
      </w:r>
      <w:r w:rsidR="00747881" w:rsidRPr="00BB6046">
        <w:rPr>
          <w:szCs w:val="24"/>
        </w:rPr>
        <w:t>Le cycle de vie de l’industrie</w:t>
      </w:r>
      <w:bookmarkEnd w:id="14"/>
    </w:p>
    <w:p w:rsidR="00BB6046" w:rsidRPr="00BB6046" w:rsidRDefault="00BB6046" w:rsidP="00BB6046"/>
    <w:p w:rsidR="00C43C95" w:rsidRPr="00C43C95" w:rsidRDefault="00C43C95" w:rsidP="00C43C95">
      <w:pPr>
        <w:spacing w:line="360" w:lineRule="auto"/>
        <w:ind w:firstLine="360"/>
        <w:jc w:val="both"/>
        <w:rPr>
          <w:rFonts w:ascii="Times New Roman" w:hAnsi="Times New Roman" w:cs="Times New Roman"/>
          <w:sz w:val="24"/>
          <w:szCs w:val="24"/>
        </w:rPr>
      </w:pPr>
      <w:r w:rsidRPr="00C43C95">
        <w:rPr>
          <w:rFonts w:ascii="Times New Roman" w:hAnsi="Times New Roman" w:cs="Times New Roman"/>
          <w:sz w:val="24"/>
          <w:szCs w:val="24"/>
        </w:rPr>
        <w:t>En ce qui concerne le cycle de vie de l'industrie de l'éducation supérieure au Québec, il devient difficile de classer cette industrie dans une catégorie définitive du modèle proposé par Johnson</w:t>
      </w:r>
      <w:r w:rsidRPr="00C43C95">
        <w:rPr>
          <w:rStyle w:val="Appelnotedebasdep"/>
          <w:rFonts w:ascii="Times New Roman" w:hAnsi="Times New Roman" w:cs="Times New Roman"/>
          <w:sz w:val="24"/>
          <w:szCs w:val="24"/>
        </w:rPr>
        <w:footnoteReference w:id="49"/>
      </w:r>
      <w:r w:rsidRPr="00C43C95">
        <w:rPr>
          <w:rFonts w:ascii="Times New Roman" w:hAnsi="Times New Roman" w:cs="Times New Roman"/>
          <w:sz w:val="24"/>
          <w:szCs w:val="24"/>
        </w:rPr>
        <w:t xml:space="preserve">. </w:t>
      </w:r>
    </w:p>
    <w:p w:rsidR="00C43C95" w:rsidRDefault="00C43C95" w:rsidP="00C43C95">
      <w:pPr>
        <w:spacing w:line="360" w:lineRule="auto"/>
        <w:ind w:firstLine="360"/>
        <w:jc w:val="both"/>
        <w:rPr>
          <w:rFonts w:ascii="Times New Roman" w:hAnsi="Times New Roman" w:cs="Times New Roman"/>
          <w:sz w:val="24"/>
          <w:szCs w:val="24"/>
        </w:rPr>
      </w:pPr>
      <w:r w:rsidRPr="00C43C95">
        <w:rPr>
          <w:rFonts w:ascii="Times New Roman" w:hAnsi="Times New Roman" w:cs="Times New Roman"/>
          <w:sz w:val="24"/>
          <w:szCs w:val="24"/>
        </w:rPr>
        <w:t xml:space="preserve">En effet, en ce qui concerne la croissance, celle-ci sera catégorisée de faible par le modèle présenté. Ce sera effectivement le cas dans l'industrie à l'étude, car peu de campus se développent à travers les régions du Québec, mais tout de même, certains «nouveaux» campus, comme celui de l'UQTR à Drummondville, voient le jour </w:t>
      </w:r>
      <w:r w:rsidR="003520A0">
        <w:rPr>
          <w:rFonts w:ascii="Times New Roman" w:hAnsi="Times New Roman" w:cs="Times New Roman"/>
          <w:sz w:val="24"/>
          <w:szCs w:val="24"/>
        </w:rPr>
        <w:t>de temps à autre</w:t>
      </w:r>
      <w:r w:rsidRPr="00C43C95">
        <w:rPr>
          <w:rFonts w:ascii="Times New Roman" w:hAnsi="Times New Roman" w:cs="Times New Roman"/>
          <w:sz w:val="24"/>
          <w:szCs w:val="24"/>
        </w:rPr>
        <w:t xml:space="preserve">. De plus, au sujet de l'offre, elle n'est toutefois pas standardisée, puisque l'on retrouve le même programme de formation à différents niveaux de «prestige». À titre d'exemple, comparons L'UQAT et HEC, qui se voient </w:t>
      </w:r>
      <w:r w:rsidR="00F85B73">
        <w:rPr>
          <w:rFonts w:ascii="Times New Roman" w:hAnsi="Times New Roman" w:cs="Times New Roman"/>
          <w:sz w:val="24"/>
          <w:szCs w:val="24"/>
        </w:rPr>
        <w:t xml:space="preserve">attribuer respectivement </w:t>
      </w:r>
      <w:proofErr w:type="gramStart"/>
      <w:r w:rsidR="00F85B73">
        <w:rPr>
          <w:rFonts w:ascii="Times New Roman" w:hAnsi="Times New Roman" w:cs="Times New Roman"/>
          <w:sz w:val="24"/>
          <w:szCs w:val="24"/>
        </w:rPr>
        <w:t>les 62</w:t>
      </w:r>
      <w:r w:rsidRPr="00F85B73">
        <w:rPr>
          <w:rFonts w:ascii="Times New Roman" w:hAnsi="Times New Roman" w:cs="Times New Roman"/>
          <w:sz w:val="24"/>
          <w:szCs w:val="24"/>
          <w:vertAlign w:val="superscript"/>
        </w:rPr>
        <w:t>ème</w:t>
      </w:r>
      <w:r w:rsidR="00F85B73">
        <w:rPr>
          <w:rFonts w:ascii="Times New Roman" w:hAnsi="Times New Roman" w:cs="Times New Roman"/>
          <w:sz w:val="24"/>
          <w:szCs w:val="24"/>
        </w:rPr>
        <w:t xml:space="preserve"> </w:t>
      </w:r>
      <w:r w:rsidRPr="00C43C95">
        <w:rPr>
          <w:rFonts w:ascii="Times New Roman" w:hAnsi="Times New Roman" w:cs="Times New Roman"/>
          <w:sz w:val="24"/>
          <w:szCs w:val="24"/>
        </w:rPr>
        <w:t xml:space="preserve"> et 36</w:t>
      </w:r>
      <w:r w:rsidRPr="00F85B73">
        <w:rPr>
          <w:rFonts w:ascii="Times New Roman" w:hAnsi="Times New Roman" w:cs="Times New Roman"/>
          <w:sz w:val="24"/>
          <w:szCs w:val="24"/>
          <w:vertAlign w:val="superscript"/>
        </w:rPr>
        <w:t>ème</w:t>
      </w:r>
      <w:r w:rsidR="00F85B73">
        <w:rPr>
          <w:rFonts w:ascii="Times New Roman" w:hAnsi="Times New Roman" w:cs="Times New Roman"/>
          <w:sz w:val="24"/>
          <w:szCs w:val="24"/>
        </w:rPr>
        <w:t xml:space="preserve"> </w:t>
      </w:r>
      <w:r w:rsidRPr="00C43C95">
        <w:rPr>
          <w:rFonts w:ascii="Times New Roman" w:hAnsi="Times New Roman" w:cs="Times New Roman"/>
          <w:sz w:val="24"/>
          <w:szCs w:val="24"/>
        </w:rPr>
        <w:t xml:space="preserve"> rang</w:t>
      </w:r>
      <w:proofErr w:type="gramEnd"/>
      <w:r w:rsidRPr="00C43C95">
        <w:rPr>
          <w:rFonts w:ascii="Times New Roman" w:hAnsi="Times New Roman" w:cs="Times New Roman"/>
          <w:sz w:val="24"/>
          <w:szCs w:val="24"/>
        </w:rPr>
        <w:t xml:space="preserve">. Il est possible de constater que, </w:t>
      </w:r>
      <w:r w:rsidR="003520A0">
        <w:rPr>
          <w:rFonts w:ascii="Times New Roman" w:hAnsi="Times New Roman" w:cs="Times New Roman"/>
          <w:sz w:val="24"/>
          <w:szCs w:val="24"/>
        </w:rPr>
        <w:t>quoiqu'</w:t>
      </w:r>
      <w:r w:rsidRPr="00C43C95">
        <w:rPr>
          <w:rFonts w:ascii="Times New Roman" w:hAnsi="Times New Roman" w:cs="Times New Roman"/>
          <w:sz w:val="24"/>
          <w:szCs w:val="24"/>
        </w:rPr>
        <w:t xml:space="preserve">il soit vrai que les deux écoles offrent des programmes en gestion, l'offre est clairement différente. L'UQTR offre 8 programmes de baccalauréats; HEC en offre 15. </w:t>
      </w:r>
      <w:r w:rsidR="00BF1DA1">
        <w:rPr>
          <w:rFonts w:ascii="Times New Roman" w:hAnsi="Times New Roman" w:cs="Times New Roman"/>
          <w:sz w:val="24"/>
          <w:szCs w:val="24"/>
        </w:rPr>
        <w:t>Nous avons</w:t>
      </w:r>
      <w:r w:rsidRPr="00C43C95">
        <w:rPr>
          <w:rFonts w:ascii="Times New Roman" w:hAnsi="Times New Roman" w:cs="Times New Roman"/>
          <w:sz w:val="24"/>
          <w:szCs w:val="24"/>
        </w:rPr>
        <w:t xml:space="preserve"> donc affaire à une forte différenciation dans un contexte qui, pourtant, suggère la maturité de l'industrie. Finalement, comme le démontre l'analyse des 5(+1) forces de la concurrence, les barrières à l'entrée sont élevées.</w:t>
      </w:r>
    </w:p>
    <w:p w:rsidR="00C43C95" w:rsidRPr="00C43C95" w:rsidRDefault="00C43C95" w:rsidP="00C43C95">
      <w:pPr>
        <w:spacing w:line="360" w:lineRule="auto"/>
        <w:ind w:firstLine="360"/>
        <w:jc w:val="both"/>
        <w:rPr>
          <w:rFonts w:ascii="Times New Roman" w:hAnsi="Times New Roman" w:cs="Times New Roman"/>
          <w:sz w:val="24"/>
          <w:szCs w:val="24"/>
        </w:rPr>
      </w:pPr>
    </w:p>
    <w:p w:rsidR="00BB6046" w:rsidRPr="00BB6046" w:rsidRDefault="00EE58D6" w:rsidP="00BB6046">
      <w:pPr>
        <w:pStyle w:val="Titre3"/>
      </w:pPr>
      <w:bookmarkStart w:id="15" w:name="_Toc417486228"/>
      <w:r>
        <w:t>2</w:t>
      </w:r>
      <w:r w:rsidR="00BB6046" w:rsidRPr="00BB6046">
        <w:t xml:space="preserve">.3 </w:t>
      </w:r>
      <w:r w:rsidR="000D0609" w:rsidRPr="00BB6046">
        <w:t>La concurrence et les marchés</w:t>
      </w:r>
      <w:bookmarkEnd w:id="15"/>
      <w:r w:rsidR="00BB6046" w:rsidRPr="00BB6046">
        <w:t> </w:t>
      </w:r>
    </w:p>
    <w:p w:rsidR="00BA40BD" w:rsidRDefault="00BD22D0" w:rsidP="00BB6046">
      <w:pPr>
        <w:pStyle w:val="Titre4"/>
        <w:ind w:left="360"/>
      </w:pPr>
      <w:r w:rsidRPr="00441F0A">
        <w:t xml:space="preserve"> </w:t>
      </w:r>
      <w:bookmarkStart w:id="16" w:name="_Toc417486229"/>
      <w:r w:rsidR="00EE58D6">
        <w:t>2</w:t>
      </w:r>
      <w:r w:rsidR="00BB6046">
        <w:t xml:space="preserve">.3.1 </w:t>
      </w:r>
      <w:r w:rsidR="000D0609" w:rsidRPr="00441F0A">
        <w:t>Les groupes stratégiques</w:t>
      </w:r>
      <w:bookmarkEnd w:id="16"/>
      <w:r w:rsidRPr="00441F0A">
        <w:t xml:space="preserve"> </w:t>
      </w:r>
    </w:p>
    <w:p w:rsidR="00C43C95" w:rsidRPr="00C43C95" w:rsidRDefault="00C43C95" w:rsidP="00C43C95"/>
    <w:p w:rsidR="00C43C95" w:rsidRDefault="00C43C95" w:rsidP="00A55D21">
      <w:pPr>
        <w:spacing w:line="360" w:lineRule="auto"/>
        <w:ind w:firstLine="360"/>
        <w:jc w:val="both"/>
        <w:rPr>
          <w:rFonts w:ascii="Times New Roman" w:hAnsi="Times New Roman" w:cs="Times New Roman"/>
          <w:sz w:val="24"/>
          <w:szCs w:val="24"/>
        </w:rPr>
      </w:pPr>
      <w:r w:rsidRPr="00C43C95">
        <w:rPr>
          <w:rFonts w:ascii="Times New Roman" w:hAnsi="Times New Roman" w:cs="Times New Roman"/>
          <w:sz w:val="24"/>
          <w:szCs w:val="24"/>
        </w:rPr>
        <w:t>Les groupes stratégiques ont été déterminés en considérant deux facteurs. D’abord, chaque université s’est vu attribuer un rang d’excellence en ce qui concerne sa performance générale au sein de l’industrie de l’éducation supérieure canadienne</w:t>
      </w:r>
      <w:r w:rsidRPr="00C43C95">
        <w:rPr>
          <w:rStyle w:val="Appelnotedebasdep"/>
          <w:rFonts w:ascii="Times New Roman" w:hAnsi="Times New Roman" w:cs="Times New Roman"/>
          <w:sz w:val="24"/>
          <w:szCs w:val="24"/>
        </w:rPr>
        <w:footnoteReference w:id="50"/>
      </w:r>
      <w:r w:rsidRPr="00C43C95">
        <w:rPr>
          <w:rFonts w:ascii="Times New Roman" w:hAnsi="Times New Roman" w:cs="Times New Roman"/>
          <w:sz w:val="24"/>
          <w:szCs w:val="24"/>
        </w:rPr>
        <w:t xml:space="preserve">. Ensuite, chaque université a été évaluée quant au nombre de campus ou de centre de formations universitaires qu’elle offre. Les données concernant ce deuxième facteur ont été obtenues en consultant la section «campus» ou «nous joindre» des sites web respectifs </w:t>
      </w:r>
      <w:r w:rsidRPr="00C43C95">
        <w:rPr>
          <w:rFonts w:ascii="Times New Roman" w:hAnsi="Times New Roman" w:cs="Times New Roman"/>
          <w:sz w:val="24"/>
          <w:szCs w:val="24"/>
        </w:rPr>
        <w:lastRenderedPageBreak/>
        <w:t>des universités. Le tableau suivant résume les résultats trouvés, ici classé selon le nombre de campus qu’offre chaque institution.</w:t>
      </w:r>
    </w:p>
    <w:p w:rsidR="00C43C95" w:rsidRPr="00C43C95" w:rsidRDefault="00C43C95" w:rsidP="00A55D21">
      <w:pPr>
        <w:spacing w:line="360" w:lineRule="auto"/>
        <w:rPr>
          <w:rFonts w:ascii="Times New Roman" w:hAnsi="Times New Roman" w:cs="Times New Roman"/>
          <w:b/>
          <w:sz w:val="24"/>
          <w:szCs w:val="24"/>
        </w:rPr>
      </w:pPr>
      <w:r w:rsidRPr="00C43C95">
        <w:rPr>
          <w:rFonts w:ascii="Times New Roman" w:hAnsi="Times New Roman" w:cs="Times New Roman"/>
          <w:b/>
          <w:sz w:val="24"/>
          <w:szCs w:val="24"/>
        </w:rPr>
        <w:t>Liste des universités du Québec, leur rang d’excellence et nombre de campus offerts</w:t>
      </w:r>
    </w:p>
    <w:tbl>
      <w:tblPr>
        <w:tblW w:w="11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207"/>
        <w:gridCol w:w="2455"/>
        <w:gridCol w:w="1261"/>
        <w:gridCol w:w="866"/>
        <w:gridCol w:w="5506"/>
      </w:tblGrid>
      <w:tr w:rsidR="00C43C95" w:rsidRPr="00C43C95" w:rsidTr="00893AFC">
        <w:trPr>
          <w:trHeight w:val="290"/>
          <w:jc w:val="center"/>
        </w:trPr>
        <w:tc>
          <w:tcPr>
            <w:tcW w:w="1074" w:type="dxa"/>
            <w:shd w:val="clear" w:color="auto" w:fill="00703C"/>
            <w:vAlign w:val="center"/>
          </w:tcPr>
          <w:p w:rsidR="00C43C95" w:rsidRPr="00893AFC" w:rsidRDefault="00C43C95" w:rsidP="00893AFC">
            <w:pPr>
              <w:spacing w:after="0" w:line="240" w:lineRule="auto"/>
              <w:jc w:val="center"/>
              <w:rPr>
                <w:rFonts w:ascii="Times New Roman" w:eastAsia="Times New Roman" w:hAnsi="Times New Roman" w:cs="Times New Roman"/>
                <w:b/>
                <w:bCs/>
                <w:color w:val="FFFFFF" w:themeColor="background1"/>
                <w:sz w:val="24"/>
                <w:szCs w:val="24"/>
                <w:lang w:eastAsia="fr-CA"/>
              </w:rPr>
            </w:pPr>
            <w:r w:rsidRPr="00893AFC">
              <w:rPr>
                <w:rFonts w:ascii="Times New Roman" w:eastAsia="Times New Roman" w:hAnsi="Times New Roman" w:cs="Times New Roman"/>
                <w:b/>
                <w:bCs/>
                <w:color w:val="FFFFFF" w:themeColor="background1"/>
                <w:sz w:val="24"/>
                <w:szCs w:val="24"/>
                <w:lang w:eastAsia="fr-CA"/>
              </w:rPr>
              <w:t>Acronyme</w:t>
            </w:r>
          </w:p>
        </w:tc>
        <w:tc>
          <w:tcPr>
            <w:tcW w:w="2455" w:type="dxa"/>
            <w:shd w:val="clear" w:color="auto" w:fill="00703C"/>
            <w:noWrap/>
            <w:vAlign w:val="center"/>
            <w:hideMark/>
          </w:tcPr>
          <w:p w:rsidR="00C43C95" w:rsidRPr="00893AFC" w:rsidRDefault="00C43C95" w:rsidP="00893AFC">
            <w:pPr>
              <w:spacing w:after="0" w:line="240" w:lineRule="auto"/>
              <w:jc w:val="center"/>
              <w:rPr>
                <w:rFonts w:ascii="Times New Roman" w:eastAsia="Times New Roman" w:hAnsi="Times New Roman" w:cs="Times New Roman"/>
                <w:b/>
                <w:bCs/>
                <w:color w:val="FFFFFF" w:themeColor="background1"/>
                <w:sz w:val="24"/>
                <w:szCs w:val="24"/>
                <w:lang w:eastAsia="fr-CA"/>
              </w:rPr>
            </w:pPr>
            <w:r w:rsidRPr="00893AFC">
              <w:rPr>
                <w:rFonts w:ascii="Times New Roman" w:eastAsia="Times New Roman" w:hAnsi="Times New Roman" w:cs="Times New Roman"/>
                <w:b/>
                <w:bCs/>
                <w:color w:val="FFFFFF" w:themeColor="background1"/>
                <w:sz w:val="24"/>
                <w:szCs w:val="24"/>
                <w:lang w:eastAsia="fr-CA"/>
              </w:rPr>
              <w:t>Université</w:t>
            </w:r>
          </w:p>
        </w:tc>
        <w:tc>
          <w:tcPr>
            <w:tcW w:w="1261" w:type="dxa"/>
            <w:shd w:val="clear" w:color="auto" w:fill="00703C"/>
            <w:noWrap/>
            <w:vAlign w:val="center"/>
            <w:hideMark/>
          </w:tcPr>
          <w:p w:rsidR="00C43C95" w:rsidRPr="00893AFC" w:rsidRDefault="00C43C95" w:rsidP="00893AFC">
            <w:pPr>
              <w:spacing w:after="0" w:line="240" w:lineRule="auto"/>
              <w:jc w:val="center"/>
              <w:rPr>
                <w:rFonts w:ascii="Times New Roman" w:eastAsia="Times New Roman" w:hAnsi="Times New Roman" w:cs="Times New Roman"/>
                <w:b/>
                <w:bCs/>
                <w:color w:val="FFFFFF" w:themeColor="background1"/>
                <w:sz w:val="24"/>
                <w:szCs w:val="24"/>
                <w:lang w:eastAsia="fr-CA"/>
              </w:rPr>
            </w:pPr>
            <w:r w:rsidRPr="00893AFC">
              <w:rPr>
                <w:rFonts w:ascii="Times New Roman" w:eastAsia="Times New Roman" w:hAnsi="Times New Roman" w:cs="Times New Roman"/>
                <w:b/>
                <w:bCs/>
                <w:color w:val="FFFFFF" w:themeColor="background1"/>
                <w:sz w:val="24"/>
                <w:szCs w:val="24"/>
                <w:lang w:eastAsia="fr-CA"/>
              </w:rPr>
              <w:t>nb. campus</w:t>
            </w:r>
          </w:p>
        </w:tc>
        <w:tc>
          <w:tcPr>
            <w:tcW w:w="866" w:type="dxa"/>
            <w:shd w:val="clear" w:color="auto" w:fill="00703C"/>
            <w:noWrap/>
            <w:vAlign w:val="center"/>
            <w:hideMark/>
          </w:tcPr>
          <w:p w:rsidR="00C43C95" w:rsidRPr="00893AFC" w:rsidRDefault="00C43C95" w:rsidP="00893AFC">
            <w:pPr>
              <w:spacing w:after="0" w:line="240" w:lineRule="auto"/>
              <w:jc w:val="center"/>
              <w:rPr>
                <w:rFonts w:ascii="Times New Roman" w:eastAsia="Times New Roman" w:hAnsi="Times New Roman" w:cs="Times New Roman"/>
                <w:b/>
                <w:color w:val="FFFFFF" w:themeColor="background1"/>
                <w:sz w:val="24"/>
                <w:szCs w:val="24"/>
                <w:lang w:eastAsia="fr-CA"/>
              </w:rPr>
            </w:pPr>
            <w:r w:rsidRPr="00893AFC">
              <w:rPr>
                <w:rFonts w:ascii="Times New Roman" w:eastAsia="Times New Roman" w:hAnsi="Times New Roman" w:cs="Times New Roman"/>
                <w:b/>
                <w:color w:val="FFFFFF" w:themeColor="background1"/>
                <w:sz w:val="24"/>
                <w:szCs w:val="24"/>
                <w:lang w:eastAsia="fr-CA"/>
              </w:rPr>
              <w:t>Rang</w:t>
            </w:r>
          </w:p>
        </w:tc>
        <w:tc>
          <w:tcPr>
            <w:tcW w:w="5506" w:type="dxa"/>
            <w:shd w:val="clear" w:color="auto" w:fill="00703C"/>
            <w:noWrap/>
            <w:vAlign w:val="center"/>
            <w:hideMark/>
          </w:tcPr>
          <w:p w:rsidR="00C43C95" w:rsidRPr="00893AFC" w:rsidRDefault="00C43C95" w:rsidP="00893AFC">
            <w:pPr>
              <w:spacing w:after="0" w:line="240" w:lineRule="auto"/>
              <w:jc w:val="center"/>
              <w:rPr>
                <w:rFonts w:ascii="Times New Roman" w:eastAsia="Times New Roman" w:hAnsi="Times New Roman" w:cs="Times New Roman"/>
                <w:b/>
                <w:bCs/>
                <w:color w:val="FFFFFF" w:themeColor="background1"/>
                <w:sz w:val="24"/>
                <w:szCs w:val="24"/>
                <w:lang w:eastAsia="fr-CA"/>
              </w:rPr>
            </w:pPr>
            <w:r w:rsidRPr="00893AFC">
              <w:rPr>
                <w:rFonts w:ascii="Times New Roman" w:eastAsia="Times New Roman" w:hAnsi="Times New Roman" w:cs="Times New Roman"/>
                <w:b/>
                <w:bCs/>
                <w:color w:val="FFFFFF" w:themeColor="background1"/>
                <w:sz w:val="24"/>
                <w:szCs w:val="24"/>
                <w:lang w:eastAsia="fr-CA"/>
              </w:rPr>
              <w:t>Régions</w:t>
            </w:r>
          </w:p>
        </w:tc>
      </w:tr>
      <w:tr w:rsidR="00C43C95" w:rsidRPr="00C43C95" w:rsidTr="00C43C95">
        <w:trPr>
          <w:trHeight w:val="290"/>
          <w:jc w:val="center"/>
        </w:trPr>
        <w:tc>
          <w:tcPr>
            <w:tcW w:w="1074" w:type="dxa"/>
            <w:vAlign w:val="center"/>
          </w:tcPr>
          <w:p w:rsidR="00C43C95" w:rsidRPr="00C43C95" w:rsidRDefault="00C43C95" w:rsidP="00C43C95">
            <w:pPr>
              <w:spacing w:after="0" w:line="240" w:lineRule="auto"/>
              <w:jc w:val="center"/>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TÉLUQ</w:t>
            </w:r>
          </w:p>
        </w:tc>
        <w:tc>
          <w:tcPr>
            <w:tcW w:w="2455" w:type="dxa"/>
            <w:shd w:val="clear" w:color="auto" w:fill="auto"/>
            <w:noWrap/>
            <w:vAlign w:val="center"/>
            <w:hideMark/>
          </w:tcPr>
          <w:p w:rsidR="00C43C95" w:rsidRPr="00C43C95" w:rsidRDefault="00C43C95" w:rsidP="00C43C95">
            <w:pPr>
              <w:spacing w:after="0" w:line="240" w:lineRule="auto"/>
              <w:jc w:val="center"/>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TÉLUQ</w:t>
            </w:r>
          </w:p>
        </w:tc>
        <w:tc>
          <w:tcPr>
            <w:tcW w:w="1261" w:type="dxa"/>
            <w:shd w:val="clear" w:color="auto" w:fill="auto"/>
            <w:noWrap/>
            <w:vAlign w:val="center"/>
            <w:hideMark/>
          </w:tcPr>
          <w:p w:rsidR="00C43C95" w:rsidRPr="00C43C95" w:rsidRDefault="00C43C95" w:rsidP="00C43C95">
            <w:pPr>
              <w:spacing w:after="0" w:line="240" w:lineRule="auto"/>
              <w:jc w:val="center"/>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0</w:t>
            </w:r>
          </w:p>
        </w:tc>
        <w:tc>
          <w:tcPr>
            <w:tcW w:w="866" w:type="dxa"/>
            <w:shd w:val="clear" w:color="auto" w:fill="auto"/>
            <w:noWrap/>
            <w:vAlign w:val="center"/>
            <w:hideMark/>
          </w:tcPr>
          <w:p w:rsidR="00C43C95" w:rsidRPr="00C43C95" w:rsidRDefault="00C43C95" w:rsidP="00C43C95">
            <w:pPr>
              <w:spacing w:after="0" w:line="240" w:lineRule="auto"/>
              <w:jc w:val="center"/>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0</w:t>
            </w:r>
          </w:p>
        </w:tc>
        <w:tc>
          <w:tcPr>
            <w:tcW w:w="5506" w:type="dxa"/>
            <w:shd w:val="clear" w:color="auto" w:fill="auto"/>
            <w:noWrap/>
            <w:vAlign w:val="center"/>
            <w:hideMark/>
          </w:tcPr>
          <w:p w:rsidR="00C43C95" w:rsidRPr="00C43C95" w:rsidRDefault="00C43C95" w:rsidP="00C43C95">
            <w:pPr>
              <w:spacing w:after="0" w:line="240" w:lineRule="auto"/>
              <w:jc w:val="both"/>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TÉLUQ non considérée car absente du classement</w:t>
            </w:r>
          </w:p>
        </w:tc>
      </w:tr>
      <w:tr w:rsidR="00C43C95" w:rsidRPr="00C43C95" w:rsidTr="00C43C95">
        <w:trPr>
          <w:trHeight w:val="1160"/>
          <w:jc w:val="center"/>
        </w:trPr>
        <w:tc>
          <w:tcPr>
            <w:tcW w:w="1074" w:type="dxa"/>
            <w:vAlign w:val="center"/>
          </w:tcPr>
          <w:p w:rsidR="00C43C95" w:rsidRPr="00C43C95" w:rsidRDefault="00C43C95" w:rsidP="00C43C95">
            <w:pPr>
              <w:spacing w:after="0" w:line="240" w:lineRule="auto"/>
              <w:jc w:val="center"/>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UQAT</w:t>
            </w:r>
          </w:p>
        </w:tc>
        <w:tc>
          <w:tcPr>
            <w:tcW w:w="2455" w:type="dxa"/>
            <w:shd w:val="clear" w:color="auto" w:fill="auto"/>
            <w:noWrap/>
            <w:vAlign w:val="center"/>
            <w:hideMark/>
          </w:tcPr>
          <w:p w:rsidR="00C43C95" w:rsidRPr="00C43C95" w:rsidRDefault="00C43C95" w:rsidP="00C43C95">
            <w:pPr>
              <w:spacing w:after="0" w:line="240" w:lineRule="auto"/>
              <w:jc w:val="center"/>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Université du Québec en Abitibi-</w:t>
            </w:r>
            <w:proofErr w:type="spellStart"/>
            <w:r w:rsidRPr="00C43C95">
              <w:rPr>
                <w:rFonts w:ascii="Times New Roman" w:eastAsia="Times New Roman" w:hAnsi="Times New Roman" w:cs="Times New Roman"/>
                <w:color w:val="000000"/>
                <w:sz w:val="24"/>
                <w:szCs w:val="24"/>
                <w:lang w:eastAsia="fr-CA"/>
              </w:rPr>
              <w:t>Témiscamingue</w:t>
            </w:r>
            <w:proofErr w:type="spellEnd"/>
          </w:p>
        </w:tc>
        <w:tc>
          <w:tcPr>
            <w:tcW w:w="1261" w:type="dxa"/>
            <w:shd w:val="clear" w:color="auto" w:fill="auto"/>
            <w:noWrap/>
            <w:vAlign w:val="center"/>
            <w:hideMark/>
          </w:tcPr>
          <w:p w:rsidR="00C43C95" w:rsidRPr="00C43C95" w:rsidRDefault="00C43C95" w:rsidP="00C43C95">
            <w:pPr>
              <w:spacing w:after="0" w:line="240" w:lineRule="auto"/>
              <w:jc w:val="center"/>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13</w:t>
            </w:r>
          </w:p>
        </w:tc>
        <w:tc>
          <w:tcPr>
            <w:tcW w:w="866" w:type="dxa"/>
            <w:shd w:val="clear" w:color="auto" w:fill="auto"/>
            <w:noWrap/>
            <w:vAlign w:val="center"/>
            <w:hideMark/>
          </w:tcPr>
          <w:p w:rsidR="00C43C95" w:rsidRPr="00C43C95" w:rsidRDefault="00C43C95" w:rsidP="00C43C95">
            <w:pPr>
              <w:spacing w:after="0" w:line="240" w:lineRule="auto"/>
              <w:jc w:val="center"/>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62</w:t>
            </w:r>
          </w:p>
        </w:tc>
        <w:tc>
          <w:tcPr>
            <w:tcW w:w="5506" w:type="dxa"/>
            <w:shd w:val="clear" w:color="auto" w:fill="auto"/>
            <w:vAlign w:val="center"/>
            <w:hideMark/>
          </w:tcPr>
          <w:p w:rsidR="00C43C95" w:rsidRPr="00C43C95" w:rsidRDefault="00C43C95" w:rsidP="00C43C95">
            <w:pPr>
              <w:spacing w:after="0" w:line="240" w:lineRule="auto"/>
              <w:jc w:val="both"/>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 xml:space="preserve">Rouyn-Noranda, </w:t>
            </w:r>
            <w:proofErr w:type="spellStart"/>
            <w:r w:rsidRPr="00C43C95">
              <w:rPr>
                <w:rFonts w:ascii="Times New Roman" w:eastAsia="Times New Roman" w:hAnsi="Times New Roman" w:cs="Times New Roman"/>
                <w:color w:val="000000"/>
                <w:sz w:val="24"/>
                <w:szCs w:val="24"/>
                <w:lang w:eastAsia="fr-CA"/>
              </w:rPr>
              <w:t>Val-d'or</w:t>
            </w:r>
            <w:proofErr w:type="spellEnd"/>
            <w:r w:rsidRPr="00C43C95">
              <w:rPr>
                <w:rFonts w:ascii="Times New Roman" w:eastAsia="Times New Roman" w:hAnsi="Times New Roman" w:cs="Times New Roman"/>
                <w:color w:val="000000"/>
                <w:sz w:val="24"/>
                <w:szCs w:val="24"/>
                <w:lang w:eastAsia="fr-CA"/>
              </w:rPr>
              <w:t>, Amos, Chibougamau, La Sarre, Bel-Sur-</w:t>
            </w:r>
            <w:proofErr w:type="spellStart"/>
            <w:r w:rsidRPr="00C43C95">
              <w:rPr>
                <w:rFonts w:ascii="Times New Roman" w:eastAsia="Times New Roman" w:hAnsi="Times New Roman" w:cs="Times New Roman"/>
                <w:color w:val="000000"/>
                <w:sz w:val="24"/>
                <w:szCs w:val="24"/>
                <w:lang w:eastAsia="fr-CA"/>
              </w:rPr>
              <w:t>Quévillon</w:t>
            </w:r>
            <w:proofErr w:type="spellEnd"/>
            <w:r w:rsidRPr="00C43C95">
              <w:rPr>
                <w:rFonts w:ascii="Times New Roman" w:eastAsia="Times New Roman" w:hAnsi="Times New Roman" w:cs="Times New Roman"/>
                <w:color w:val="000000"/>
                <w:sz w:val="24"/>
                <w:szCs w:val="24"/>
                <w:lang w:eastAsia="fr-CA"/>
              </w:rPr>
              <w:t xml:space="preserve">, </w:t>
            </w:r>
            <w:proofErr w:type="spellStart"/>
            <w:r w:rsidRPr="00C43C95">
              <w:rPr>
                <w:rFonts w:ascii="Times New Roman" w:eastAsia="Times New Roman" w:hAnsi="Times New Roman" w:cs="Times New Roman"/>
                <w:color w:val="000000"/>
                <w:sz w:val="24"/>
                <w:szCs w:val="24"/>
                <w:lang w:eastAsia="fr-CA"/>
              </w:rPr>
              <w:t>Matagami</w:t>
            </w:r>
            <w:proofErr w:type="spellEnd"/>
            <w:r w:rsidRPr="00C43C95">
              <w:rPr>
                <w:rFonts w:ascii="Times New Roman" w:eastAsia="Times New Roman" w:hAnsi="Times New Roman" w:cs="Times New Roman"/>
                <w:color w:val="000000"/>
                <w:sz w:val="24"/>
                <w:szCs w:val="24"/>
                <w:lang w:eastAsia="fr-CA"/>
              </w:rPr>
              <w:t xml:space="preserve">-Radisson, </w:t>
            </w:r>
            <w:proofErr w:type="spellStart"/>
            <w:r w:rsidRPr="00C43C95">
              <w:rPr>
                <w:rFonts w:ascii="Times New Roman" w:eastAsia="Times New Roman" w:hAnsi="Times New Roman" w:cs="Times New Roman"/>
                <w:color w:val="000000"/>
                <w:sz w:val="24"/>
                <w:szCs w:val="24"/>
                <w:lang w:eastAsia="fr-CA"/>
              </w:rPr>
              <w:t>Barraute</w:t>
            </w:r>
            <w:proofErr w:type="spellEnd"/>
            <w:r w:rsidRPr="00C43C95">
              <w:rPr>
                <w:rFonts w:ascii="Times New Roman" w:eastAsia="Times New Roman" w:hAnsi="Times New Roman" w:cs="Times New Roman"/>
                <w:color w:val="000000"/>
                <w:sz w:val="24"/>
                <w:szCs w:val="24"/>
                <w:lang w:eastAsia="fr-CA"/>
              </w:rPr>
              <w:t>-</w:t>
            </w:r>
            <w:proofErr w:type="spellStart"/>
            <w:r w:rsidRPr="00C43C95">
              <w:rPr>
                <w:rFonts w:ascii="Times New Roman" w:eastAsia="Times New Roman" w:hAnsi="Times New Roman" w:cs="Times New Roman"/>
                <w:color w:val="000000"/>
                <w:sz w:val="24"/>
                <w:szCs w:val="24"/>
                <w:lang w:eastAsia="fr-CA"/>
              </w:rPr>
              <w:t>Senneterre</w:t>
            </w:r>
            <w:proofErr w:type="spellEnd"/>
            <w:r w:rsidRPr="00C43C95">
              <w:rPr>
                <w:rFonts w:ascii="Times New Roman" w:eastAsia="Times New Roman" w:hAnsi="Times New Roman" w:cs="Times New Roman"/>
                <w:color w:val="000000"/>
                <w:sz w:val="24"/>
                <w:szCs w:val="24"/>
                <w:lang w:eastAsia="fr-CA"/>
              </w:rPr>
              <w:t>, Ville-Marie-</w:t>
            </w:r>
            <w:proofErr w:type="spellStart"/>
            <w:r w:rsidRPr="00C43C95">
              <w:rPr>
                <w:rFonts w:ascii="Times New Roman" w:eastAsia="Times New Roman" w:hAnsi="Times New Roman" w:cs="Times New Roman"/>
                <w:color w:val="000000"/>
                <w:sz w:val="24"/>
                <w:szCs w:val="24"/>
                <w:lang w:eastAsia="fr-CA"/>
              </w:rPr>
              <w:t>Thémiscaming</w:t>
            </w:r>
            <w:proofErr w:type="spellEnd"/>
            <w:r w:rsidRPr="00C43C95">
              <w:rPr>
                <w:rFonts w:ascii="Times New Roman" w:eastAsia="Times New Roman" w:hAnsi="Times New Roman" w:cs="Times New Roman"/>
                <w:color w:val="000000"/>
                <w:sz w:val="24"/>
                <w:szCs w:val="24"/>
                <w:lang w:eastAsia="fr-CA"/>
              </w:rPr>
              <w:t xml:space="preserve">, Station de Recherche du Lac </w:t>
            </w:r>
            <w:proofErr w:type="spellStart"/>
            <w:r w:rsidRPr="00C43C95">
              <w:rPr>
                <w:rFonts w:ascii="Times New Roman" w:eastAsia="Times New Roman" w:hAnsi="Times New Roman" w:cs="Times New Roman"/>
                <w:color w:val="000000"/>
                <w:sz w:val="24"/>
                <w:szCs w:val="24"/>
                <w:lang w:eastAsia="fr-CA"/>
              </w:rPr>
              <w:t>Duparquet</w:t>
            </w:r>
            <w:proofErr w:type="spellEnd"/>
            <w:r w:rsidRPr="00C43C95">
              <w:rPr>
                <w:rFonts w:ascii="Times New Roman" w:eastAsia="Times New Roman" w:hAnsi="Times New Roman" w:cs="Times New Roman"/>
                <w:color w:val="000000"/>
                <w:sz w:val="24"/>
                <w:szCs w:val="24"/>
                <w:lang w:eastAsia="fr-CA"/>
              </w:rPr>
              <w:t>, Station de recherche agroalimentaire de l'AT, Montréal</w:t>
            </w:r>
          </w:p>
        </w:tc>
      </w:tr>
      <w:tr w:rsidR="00C43C95" w:rsidRPr="00C43C95" w:rsidTr="00C43C95">
        <w:trPr>
          <w:trHeight w:val="290"/>
          <w:jc w:val="center"/>
        </w:trPr>
        <w:tc>
          <w:tcPr>
            <w:tcW w:w="1074" w:type="dxa"/>
            <w:vAlign w:val="center"/>
          </w:tcPr>
          <w:p w:rsidR="00C43C95" w:rsidRPr="00C43C95" w:rsidRDefault="00C43C95" w:rsidP="00C43C95">
            <w:pPr>
              <w:spacing w:after="0" w:line="240" w:lineRule="auto"/>
              <w:jc w:val="center"/>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N/A</w:t>
            </w:r>
          </w:p>
        </w:tc>
        <w:tc>
          <w:tcPr>
            <w:tcW w:w="2455" w:type="dxa"/>
            <w:shd w:val="clear" w:color="auto" w:fill="auto"/>
            <w:noWrap/>
            <w:vAlign w:val="center"/>
            <w:hideMark/>
          </w:tcPr>
          <w:p w:rsidR="00C43C95" w:rsidRPr="00C43C95" w:rsidRDefault="00C43C95" w:rsidP="00C43C95">
            <w:pPr>
              <w:spacing w:after="0" w:line="240" w:lineRule="auto"/>
              <w:jc w:val="center"/>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Université de Montréal</w:t>
            </w:r>
          </w:p>
        </w:tc>
        <w:tc>
          <w:tcPr>
            <w:tcW w:w="1261" w:type="dxa"/>
            <w:shd w:val="clear" w:color="auto" w:fill="auto"/>
            <w:noWrap/>
            <w:vAlign w:val="center"/>
            <w:hideMark/>
          </w:tcPr>
          <w:p w:rsidR="00C43C95" w:rsidRPr="00C43C95" w:rsidRDefault="00C43C95" w:rsidP="00C43C95">
            <w:pPr>
              <w:spacing w:after="0" w:line="240" w:lineRule="auto"/>
              <w:jc w:val="center"/>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6</w:t>
            </w:r>
          </w:p>
        </w:tc>
        <w:tc>
          <w:tcPr>
            <w:tcW w:w="866" w:type="dxa"/>
            <w:shd w:val="clear" w:color="auto" w:fill="auto"/>
            <w:noWrap/>
            <w:vAlign w:val="center"/>
            <w:hideMark/>
          </w:tcPr>
          <w:p w:rsidR="00C43C95" w:rsidRPr="00C43C95" w:rsidRDefault="00C43C95" w:rsidP="00C43C95">
            <w:pPr>
              <w:spacing w:after="0" w:line="240" w:lineRule="auto"/>
              <w:jc w:val="center"/>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11</w:t>
            </w:r>
          </w:p>
        </w:tc>
        <w:tc>
          <w:tcPr>
            <w:tcW w:w="5506" w:type="dxa"/>
            <w:shd w:val="clear" w:color="auto" w:fill="auto"/>
            <w:noWrap/>
            <w:vAlign w:val="center"/>
            <w:hideMark/>
          </w:tcPr>
          <w:p w:rsidR="00C43C95" w:rsidRPr="00C43C95" w:rsidRDefault="00C43C95" w:rsidP="00C43C95">
            <w:pPr>
              <w:spacing w:after="0" w:line="240" w:lineRule="auto"/>
              <w:jc w:val="both"/>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 xml:space="preserve">Montréal, </w:t>
            </w:r>
            <w:proofErr w:type="spellStart"/>
            <w:r w:rsidRPr="00C43C95">
              <w:rPr>
                <w:rFonts w:ascii="Times New Roman" w:eastAsia="Times New Roman" w:hAnsi="Times New Roman" w:cs="Times New Roman"/>
                <w:color w:val="000000"/>
                <w:sz w:val="24"/>
                <w:szCs w:val="24"/>
                <w:lang w:eastAsia="fr-CA"/>
              </w:rPr>
              <w:t>Longueil</w:t>
            </w:r>
            <w:proofErr w:type="spellEnd"/>
            <w:r w:rsidRPr="00C43C95">
              <w:rPr>
                <w:rFonts w:ascii="Times New Roman" w:eastAsia="Times New Roman" w:hAnsi="Times New Roman" w:cs="Times New Roman"/>
                <w:color w:val="000000"/>
                <w:sz w:val="24"/>
                <w:szCs w:val="24"/>
                <w:lang w:eastAsia="fr-CA"/>
              </w:rPr>
              <w:t>, St-Hyacinthe, Lanaudière, Laval, Mauricie</w:t>
            </w:r>
          </w:p>
        </w:tc>
      </w:tr>
      <w:tr w:rsidR="00C43C95" w:rsidRPr="00C43C95" w:rsidTr="00C43C95">
        <w:trPr>
          <w:trHeight w:val="290"/>
          <w:jc w:val="center"/>
        </w:trPr>
        <w:tc>
          <w:tcPr>
            <w:tcW w:w="1074" w:type="dxa"/>
            <w:vAlign w:val="center"/>
          </w:tcPr>
          <w:p w:rsidR="00C43C95" w:rsidRPr="00C43C95" w:rsidRDefault="00C43C95" w:rsidP="00C43C95">
            <w:pPr>
              <w:spacing w:after="0" w:line="240" w:lineRule="auto"/>
              <w:jc w:val="center"/>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UQÀM</w:t>
            </w:r>
          </w:p>
        </w:tc>
        <w:tc>
          <w:tcPr>
            <w:tcW w:w="2455" w:type="dxa"/>
            <w:shd w:val="clear" w:color="auto" w:fill="auto"/>
            <w:noWrap/>
            <w:vAlign w:val="center"/>
            <w:hideMark/>
          </w:tcPr>
          <w:p w:rsidR="00C43C95" w:rsidRPr="00C43C95" w:rsidRDefault="00C43C95" w:rsidP="00C43C95">
            <w:pPr>
              <w:spacing w:after="0" w:line="240" w:lineRule="auto"/>
              <w:jc w:val="center"/>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Université du Québec à Montréal</w:t>
            </w:r>
          </w:p>
        </w:tc>
        <w:tc>
          <w:tcPr>
            <w:tcW w:w="1261" w:type="dxa"/>
            <w:shd w:val="clear" w:color="auto" w:fill="auto"/>
            <w:noWrap/>
            <w:vAlign w:val="center"/>
            <w:hideMark/>
          </w:tcPr>
          <w:p w:rsidR="00C43C95" w:rsidRPr="00C43C95" w:rsidRDefault="00C43C95" w:rsidP="00C43C95">
            <w:pPr>
              <w:spacing w:after="0" w:line="240" w:lineRule="auto"/>
              <w:jc w:val="center"/>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5</w:t>
            </w:r>
          </w:p>
        </w:tc>
        <w:tc>
          <w:tcPr>
            <w:tcW w:w="866" w:type="dxa"/>
            <w:shd w:val="clear" w:color="auto" w:fill="auto"/>
            <w:noWrap/>
            <w:vAlign w:val="center"/>
            <w:hideMark/>
          </w:tcPr>
          <w:p w:rsidR="00C43C95" w:rsidRPr="00C43C95" w:rsidRDefault="00C43C95" w:rsidP="00C43C95">
            <w:pPr>
              <w:spacing w:after="0" w:line="240" w:lineRule="auto"/>
              <w:jc w:val="center"/>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14</w:t>
            </w:r>
          </w:p>
        </w:tc>
        <w:tc>
          <w:tcPr>
            <w:tcW w:w="5506" w:type="dxa"/>
            <w:shd w:val="clear" w:color="auto" w:fill="auto"/>
            <w:noWrap/>
            <w:vAlign w:val="center"/>
            <w:hideMark/>
          </w:tcPr>
          <w:p w:rsidR="00C43C95" w:rsidRPr="00C43C95" w:rsidRDefault="00C43C95" w:rsidP="00C43C95">
            <w:pPr>
              <w:spacing w:after="0" w:line="240" w:lineRule="auto"/>
              <w:jc w:val="both"/>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 xml:space="preserve">Montréal, Lanaudière, Laval, </w:t>
            </w:r>
            <w:proofErr w:type="spellStart"/>
            <w:r w:rsidRPr="00C43C95">
              <w:rPr>
                <w:rFonts w:ascii="Times New Roman" w:eastAsia="Times New Roman" w:hAnsi="Times New Roman" w:cs="Times New Roman"/>
                <w:color w:val="000000"/>
                <w:sz w:val="24"/>
                <w:szCs w:val="24"/>
                <w:lang w:eastAsia="fr-CA"/>
              </w:rPr>
              <w:t>Longueil</w:t>
            </w:r>
            <w:proofErr w:type="spellEnd"/>
            <w:r w:rsidRPr="00C43C95">
              <w:rPr>
                <w:rFonts w:ascii="Times New Roman" w:eastAsia="Times New Roman" w:hAnsi="Times New Roman" w:cs="Times New Roman"/>
                <w:color w:val="000000"/>
                <w:sz w:val="24"/>
                <w:szCs w:val="24"/>
                <w:lang w:eastAsia="fr-CA"/>
              </w:rPr>
              <w:t>, Ouest de l'île de Montréal</w:t>
            </w:r>
          </w:p>
        </w:tc>
      </w:tr>
      <w:tr w:rsidR="00C43C95" w:rsidRPr="00C43C95" w:rsidTr="00C43C95">
        <w:trPr>
          <w:trHeight w:val="580"/>
          <w:jc w:val="center"/>
        </w:trPr>
        <w:tc>
          <w:tcPr>
            <w:tcW w:w="1074" w:type="dxa"/>
            <w:vAlign w:val="center"/>
          </w:tcPr>
          <w:p w:rsidR="00C43C95" w:rsidRPr="00C43C95" w:rsidRDefault="00C43C95" w:rsidP="00C43C95">
            <w:pPr>
              <w:spacing w:after="0" w:line="240" w:lineRule="auto"/>
              <w:jc w:val="center"/>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UQAC</w:t>
            </w:r>
          </w:p>
        </w:tc>
        <w:tc>
          <w:tcPr>
            <w:tcW w:w="2455" w:type="dxa"/>
            <w:shd w:val="clear" w:color="auto" w:fill="auto"/>
            <w:noWrap/>
            <w:vAlign w:val="center"/>
            <w:hideMark/>
          </w:tcPr>
          <w:p w:rsidR="00C43C95" w:rsidRPr="00C43C95" w:rsidRDefault="00C43C95" w:rsidP="00C43C95">
            <w:pPr>
              <w:spacing w:after="0" w:line="240" w:lineRule="auto"/>
              <w:jc w:val="center"/>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Université du Québec à Chicoutimi</w:t>
            </w:r>
          </w:p>
        </w:tc>
        <w:tc>
          <w:tcPr>
            <w:tcW w:w="1261" w:type="dxa"/>
            <w:shd w:val="clear" w:color="auto" w:fill="auto"/>
            <w:noWrap/>
            <w:vAlign w:val="center"/>
            <w:hideMark/>
          </w:tcPr>
          <w:p w:rsidR="00C43C95" w:rsidRPr="00C43C95" w:rsidRDefault="00C43C95" w:rsidP="00C43C95">
            <w:pPr>
              <w:spacing w:after="0" w:line="240" w:lineRule="auto"/>
              <w:jc w:val="center"/>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5</w:t>
            </w:r>
          </w:p>
        </w:tc>
        <w:tc>
          <w:tcPr>
            <w:tcW w:w="866" w:type="dxa"/>
            <w:shd w:val="clear" w:color="auto" w:fill="auto"/>
            <w:noWrap/>
            <w:vAlign w:val="center"/>
            <w:hideMark/>
          </w:tcPr>
          <w:p w:rsidR="00C43C95" w:rsidRPr="00C43C95" w:rsidRDefault="00C43C95" w:rsidP="00C43C95">
            <w:pPr>
              <w:spacing w:after="0" w:line="240" w:lineRule="auto"/>
              <w:jc w:val="center"/>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35</w:t>
            </w:r>
          </w:p>
        </w:tc>
        <w:tc>
          <w:tcPr>
            <w:tcW w:w="5506" w:type="dxa"/>
            <w:shd w:val="clear" w:color="auto" w:fill="auto"/>
            <w:vAlign w:val="center"/>
            <w:hideMark/>
          </w:tcPr>
          <w:p w:rsidR="00C43C95" w:rsidRPr="00C43C95" w:rsidRDefault="00C43C95" w:rsidP="00C43C95">
            <w:pPr>
              <w:spacing w:after="0" w:line="240" w:lineRule="auto"/>
              <w:jc w:val="both"/>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Saguenay, Lac-Saint-Jean-Est (Alma), Haut-Lac-Saint-Jean (Saint-Félicien), Est de la Côte-Nord (Sept-Îles), Charlevoix</w:t>
            </w:r>
          </w:p>
        </w:tc>
      </w:tr>
      <w:tr w:rsidR="00C43C95" w:rsidRPr="00C43C95" w:rsidTr="00C43C95">
        <w:trPr>
          <w:trHeight w:val="290"/>
          <w:jc w:val="center"/>
        </w:trPr>
        <w:tc>
          <w:tcPr>
            <w:tcW w:w="1074" w:type="dxa"/>
            <w:vAlign w:val="center"/>
          </w:tcPr>
          <w:p w:rsidR="00C43C95" w:rsidRPr="00C43C95" w:rsidRDefault="00C43C95" w:rsidP="00C43C95">
            <w:pPr>
              <w:spacing w:after="0" w:line="240" w:lineRule="auto"/>
              <w:jc w:val="center"/>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ENAP</w:t>
            </w:r>
          </w:p>
        </w:tc>
        <w:tc>
          <w:tcPr>
            <w:tcW w:w="2455" w:type="dxa"/>
            <w:shd w:val="clear" w:color="auto" w:fill="auto"/>
            <w:noWrap/>
            <w:vAlign w:val="center"/>
            <w:hideMark/>
          </w:tcPr>
          <w:p w:rsidR="00C43C95" w:rsidRPr="00C43C95" w:rsidRDefault="00C43C95" w:rsidP="00C43C95">
            <w:pPr>
              <w:spacing w:after="0" w:line="240" w:lineRule="auto"/>
              <w:jc w:val="center"/>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École nationale d'administration publique</w:t>
            </w:r>
          </w:p>
        </w:tc>
        <w:tc>
          <w:tcPr>
            <w:tcW w:w="1261" w:type="dxa"/>
            <w:shd w:val="clear" w:color="auto" w:fill="auto"/>
            <w:noWrap/>
            <w:vAlign w:val="center"/>
            <w:hideMark/>
          </w:tcPr>
          <w:p w:rsidR="00C43C95" w:rsidRPr="00C43C95" w:rsidRDefault="00C43C95" w:rsidP="00C43C95">
            <w:pPr>
              <w:spacing w:after="0" w:line="240" w:lineRule="auto"/>
              <w:jc w:val="center"/>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5</w:t>
            </w:r>
          </w:p>
        </w:tc>
        <w:tc>
          <w:tcPr>
            <w:tcW w:w="866" w:type="dxa"/>
            <w:shd w:val="clear" w:color="auto" w:fill="auto"/>
            <w:noWrap/>
            <w:vAlign w:val="center"/>
            <w:hideMark/>
          </w:tcPr>
          <w:p w:rsidR="00C43C95" w:rsidRPr="00C43C95" w:rsidRDefault="00C43C95" w:rsidP="00C43C95">
            <w:pPr>
              <w:spacing w:after="0" w:line="240" w:lineRule="auto"/>
              <w:jc w:val="center"/>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75</w:t>
            </w:r>
          </w:p>
        </w:tc>
        <w:tc>
          <w:tcPr>
            <w:tcW w:w="5506" w:type="dxa"/>
            <w:shd w:val="clear" w:color="auto" w:fill="auto"/>
            <w:noWrap/>
            <w:vAlign w:val="center"/>
            <w:hideMark/>
          </w:tcPr>
          <w:p w:rsidR="00C43C95" w:rsidRPr="00C43C95" w:rsidRDefault="00C43C95" w:rsidP="00C43C95">
            <w:pPr>
              <w:spacing w:after="0" w:line="240" w:lineRule="auto"/>
              <w:jc w:val="both"/>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Québec, Montréal, Outaouais, Saguenay, Trois-Rivières</w:t>
            </w:r>
          </w:p>
        </w:tc>
      </w:tr>
      <w:tr w:rsidR="00C43C95" w:rsidRPr="00C43C95" w:rsidTr="00C43C95">
        <w:trPr>
          <w:trHeight w:val="290"/>
          <w:jc w:val="center"/>
        </w:trPr>
        <w:tc>
          <w:tcPr>
            <w:tcW w:w="1074" w:type="dxa"/>
            <w:vAlign w:val="center"/>
          </w:tcPr>
          <w:p w:rsidR="00C43C95" w:rsidRPr="00C43C95" w:rsidRDefault="00C43C95" w:rsidP="00C43C95">
            <w:pPr>
              <w:spacing w:after="0" w:line="240" w:lineRule="auto"/>
              <w:jc w:val="center"/>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UQAR</w:t>
            </w:r>
          </w:p>
        </w:tc>
        <w:tc>
          <w:tcPr>
            <w:tcW w:w="2455" w:type="dxa"/>
            <w:shd w:val="clear" w:color="auto" w:fill="auto"/>
            <w:noWrap/>
            <w:vAlign w:val="center"/>
            <w:hideMark/>
          </w:tcPr>
          <w:p w:rsidR="00C43C95" w:rsidRPr="00C43C95" w:rsidRDefault="00C43C95" w:rsidP="00C43C95">
            <w:pPr>
              <w:spacing w:after="0" w:line="240" w:lineRule="auto"/>
              <w:jc w:val="center"/>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Université du Québec à Rimouski</w:t>
            </w:r>
          </w:p>
        </w:tc>
        <w:tc>
          <w:tcPr>
            <w:tcW w:w="1261" w:type="dxa"/>
            <w:shd w:val="clear" w:color="auto" w:fill="auto"/>
            <w:noWrap/>
            <w:vAlign w:val="center"/>
            <w:hideMark/>
          </w:tcPr>
          <w:p w:rsidR="00C43C95" w:rsidRPr="00C43C95" w:rsidRDefault="00C43C95" w:rsidP="00C43C95">
            <w:pPr>
              <w:spacing w:after="0" w:line="240" w:lineRule="auto"/>
              <w:jc w:val="center"/>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4</w:t>
            </w:r>
          </w:p>
        </w:tc>
        <w:tc>
          <w:tcPr>
            <w:tcW w:w="866" w:type="dxa"/>
            <w:shd w:val="clear" w:color="auto" w:fill="auto"/>
            <w:noWrap/>
            <w:vAlign w:val="center"/>
            <w:hideMark/>
          </w:tcPr>
          <w:p w:rsidR="00C43C95" w:rsidRPr="00C43C95" w:rsidRDefault="00C43C95" w:rsidP="00C43C95">
            <w:pPr>
              <w:spacing w:after="0" w:line="240" w:lineRule="auto"/>
              <w:jc w:val="center"/>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60</w:t>
            </w:r>
          </w:p>
        </w:tc>
        <w:tc>
          <w:tcPr>
            <w:tcW w:w="5506" w:type="dxa"/>
            <w:shd w:val="clear" w:color="auto" w:fill="auto"/>
            <w:noWrap/>
            <w:vAlign w:val="center"/>
            <w:hideMark/>
          </w:tcPr>
          <w:p w:rsidR="00C43C95" w:rsidRPr="00C43C95" w:rsidRDefault="00C43C95" w:rsidP="00C43C95">
            <w:pPr>
              <w:spacing w:after="0" w:line="240" w:lineRule="auto"/>
              <w:jc w:val="both"/>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Rimouski, Lévis, Gaspé, Rivière-du-Loup</w:t>
            </w:r>
          </w:p>
        </w:tc>
      </w:tr>
      <w:tr w:rsidR="00C43C95" w:rsidRPr="00C43C95" w:rsidTr="00C43C95">
        <w:trPr>
          <w:trHeight w:val="290"/>
          <w:jc w:val="center"/>
        </w:trPr>
        <w:tc>
          <w:tcPr>
            <w:tcW w:w="1074" w:type="dxa"/>
            <w:vAlign w:val="center"/>
          </w:tcPr>
          <w:p w:rsidR="00C43C95" w:rsidRPr="00C43C95" w:rsidRDefault="00C43C95" w:rsidP="00C43C95">
            <w:pPr>
              <w:spacing w:after="0" w:line="240" w:lineRule="auto"/>
              <w:jc w:val="center"/>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N/A</w:t>
            </w:r>
          </w:p>
        </w:tc>
        <w:tc>
          <w:tcPr>
            <w:tcW w:w="2455" w:type="dxa"/>
            <w:shd w:val="clear" w:color="auto" w:fill="auto"/>
            <w:noWrap/>
            <w:vAlign w:val="center"/>
            <w:hideMark/>
          </w:tcPr>
          <w:p w:rsidR="00C43C95" w:rsidRPr="00C43C95" w:rsidRDefault="00C43C95" w:rsidP="00C43C95">
            <w:pPr>
              <w:spacing w:after="0" w:line="240" w:lineRule="auto"/>
              <w:jc w:val="center"/>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Université de Sherbrooke</w:t>
            </w:r>
          </w:p>
        </w:tc>
        <w:tc>
          <w:tcPr>
            <w:tcW w:w="1261" w:type="dxa"/>
            <w:shd w:val="clear" w:color="auto" w:fill="auto"/>
            <w:noWrap/>
            <w:vAlign w:val="center"/>
            <w:hideMark/>
          </w:tcPr>
          <w:p w:rsidR="00C43C95" w:rsidRPr="00C43C95" w:rsidRDefault="00C43C95" w:rsidP="00C43C95">
            <w:pPr>
              <w:spacing w:after="0" w:line="240" w:lineRule="auto"/>
              <w:jc w:val="center"/>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2</w:t>
            </w:r>
          </w:p>
        </w:tc>
        <w:tc>
          <w:tcPr>
            <w:tcW w:w="866" w:type="dxa"/>
            <w:shd w:val="clear" w:color="auto" w:fill="auto"/>
            <w:noWrap/>
            <w:vAlign w:val="center"/>
            <w:hideMark/>
          </w:tcPr>
          <w:p w:rsidR="00C43C95" w:rsidRPr="00C43C95" w:rsidRDefault="00C43C95" w:rsidP="00C43C95">
            <w:pPr>
              <w:spacing w:after="0" w:line="240" w:lineRule="auto"/>
              <w:jc w:val="center"/>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25</w:t>
            </w:r>
          </w:p>
        </w:tc>
        <w:tc>
          <w:tcPr>
            <w:tcW w:w="5506" w:type="dxa"/>
            <w:shd w:val="clear" w:color="auto" w:fill="auto"/>
            <w:noWrap/>
            <w:vAlign w:val="center"/>
            <w:hideMark/>
          </w:tcPr>
          <w:p w:rsidR="00C43C95" w:rsidRPr="00C43C95" w:rsidRDefault="00C43C95" w:rsidP="00C43C95">
            <w:pPr>
              <w:spacing w:after="0" w:line="240" w:lineRule="auto"/>
              <w:jc w:val="both"/>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 xml:space="preserve">Sherbrooke et </w:t>
            </w:r>
            <w:proofErr w:type="spellStart"/>
            <w:r w:rsidRPr="00C43C95">
              <w:rPr>
                <w:rFonts w:ascii="Times New Roman" w:eastAsia="Times New Roman" w:hAnsi="Times New Roman" w:cs="Times New Roman"/>
                <w:color w:val="000000"/>
                <w:sz w:val="24"/>
                <w:szCs w:val="24"/>
                <w:lang w:eastAsia="fr-CA"/>
              </w:rPr>
              <w:t>Longueil</w:t>
            </w:r>
            <w:proofErr w:type="spellEnd"/>
          </w:p>
        </w:tc>
      </w:tr>
      <w:tr w:rsidR="00C43C95" w:rsidRPr="00C43C95" w:rsidTr="00893AFC">
        <w:trPr>
          <w:trHeight w:val="290"/>
          <w:jc w:val="center"/>
        </w:trPr>
        <w:tc>
          <w:tcPr>
            <w:tcW w:w="1074" w:type="dxa"/>
          </w:tcPr>
          <w:p w:rsidR="00C43C95" w:rsidRPr="00C43C95" w:rsidRDefault="00C43C95" w:rsidP="00A83EA8">
            <w:pPr>
              <w:spacing w:after="0" w:line="240" w:lineRule="auto"/>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UQTR</w:t>
            </w:r>
          </w:p>
        </w:tc>
        <w:tc>
          <w:tcPr>
            <w:tcW w:w="2455" w:type="dxa"/>
            <w:shd w:val="clear" w:color="auto" w:fill="auto"/>
            <w:noWrap/>
            <w:vAlign w:val="center"/>
            <w:hideMark/>
          </w:tcPr>
          <w:p w:rsidR="00C43C95" w:rsidRPr="00C43C95" w:rsidRDefault="00C43C95" w:rsidP="00A83EA8">
            <w:pPr>
              <w:spacing w:after="0" w:line="240" w:lineRule="auto"/>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Université du Québec à Trois-Rivières</w:t>
            </w:r>
          </w:p>
        </w:tc>
        <w:tc>
          <w:tcPr>
            <w:tcW w:w="1261" w:type="dxa"/>
            <w:shd w:val="clear" w:color="auto" w:fill="C4960C"/>
            <w:noWrap/>
            <w:vAlign w:val="bottom"/>
            <w:hideMark/>
          </w:tcPr>
          <w:p w:rsidR="00C43C95" w:rsidRPr="00C43C95" w:rsidRDefault="00C43C95" w:rsidP="00A83EA8">
            <w:pPr>
              <w:spacing w:after="0" w:line="240" w:lineRule="auto"/>
              <w:jc w:val="center"/>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10</w:t>
            </w:r>
          </w:p>
        </w:tc>
        <w:tc>
          <w:tcPr>
            <w:tcW w:w="866" w:type="dxa"/>
            <w:shd w:val="clear" w:color="auto" w:fill="C4960C"/>
            <w:noWrap/>
            <w:vAlign w:val="bottom"/>
            <w:hideMark/>
          </w:tcPr>
          <w:p w:rsidR="00C43C95" w:rsidRPr="00C43C95" w:rsidRDefault="00C43C95" w:rsidP="00A83EA8">
            <w:pPr>
              <w:spacing w:after="0" w:line="240" w:lineRule="auto"/>
              <w:jc w:val="center"/>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49</w:t>
            </w:r>
          </w:p>
        </w:tc>
        <w:tc>
          <w:tcPr>
            <w:tcW w:w="5506" w:type="dxa"/>
            <w:shd w:val="clear" w:color="auto" w:fill="auto"/>
            <w:noWrap/>
            <w:vAlign w:val="bottom"/>
            <w:hideMark/>
          </w:tcPr>
          <w:p w:rsidR="00C43C95" w:rsidRPr="00C43C95" w:rsidRDefault="00C43C95" w:rsidP="00A83EA8">
            <w:pPr>
              <w:spacing w:after="0" w:line="240" w:lineRule="auto"/>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 xml:space="preserve">Trois-Rivières, Drummondville, </w:t>
            </w:r>
            <w:proofErr w:type="spellStart"/>
            <w:r w:rsidRPr="00C43C95">
              <w:rPr>
                <w:rFonts w:ascii="Times New Roman" w:eastAsia="Times New Roman" w:hAnsi="Times New Roman" w:cs="Times New Roman"/>
                <w:color w:val="000000"/>
                <w:sz w:val="24"/>
                <w:szCs w:val="24"/>
                <w:lang w:eastAsia="fr-CA"/>
              </w:rPr>
              <w:t>Longueil</w:t>
            </w:r>
            <w:proofErr w:type="spellEnd"/>
            <w:r w:rsidRPr="00C43C95">
              <w:rPr>
                <w:rFonts w:ascii="Times New Roman" w:eastAsia="Times New Roman" w:hAnsi="Times New Roman" w:cs="Times New Roman"/>
                <w:color w:val="000000"/>
                <w:sz w:val="24"/>
                <w:szCs w:val="24"/>
                <w:lang w:eastAsia="fr-CA"/>
              </w:rPr>
              <w:t>, Québec, St-Hyacinthe, Vallée-du-Haut-St-Laurent, Joliette, Victoriaville, Sorel-Tracy, La Tuque</w:t>
            </w:r>
          </w:p>
        </w:tc>
      </w:tr>
      <w:tr w:rsidR="00C43C95" w:rsidRPr="00C43C95" w:rsidTr="00A83EA8">
        <w:trPr>
          <w:trHeight w:val="290"/>
          <w:jc w:val="center"/>
        </w:trPr>
        <w:tc>
          <w:tcPr>
            <w:tcW w:w="1074" w:type="dxa"/>
          </w:tcPr>
          <w:p w:rsidR="00C43C95" w:rsidRPr="00C43C95" w:rsidRDefault="00C43C95" w:rsidP="00A83EA8">
            <w:pPr>
              <w:spacing w:after="0" w:line="240" w:lineRule="auto"/>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UQO</w:t>
            </w:r>
          </w:p>
        </w:tc>
        <w:tc>
          <w:tcPr>
            <w:tcW w:w="2455" w:type="dxa"/>
            <w:shd w:val="clear" w:color="auto" w:fill="auto"/>
            <w:noWrap/>
            <w:vAlign w:val="center"/>
            <w:hideMark/>
          </w:tcPr>
          <w:p w:rsidR="00C43C95" w:rsidRPr="00C43C95" w:rsidRDefault="00C43C95" w:rsidP="00A83EA8">
            <w:pPr>
              <w:spacing w:after="0" w:line="240" w:lineRule="auto"/>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Université du Québec en Outaouais</w:t>
            </w:r>
          </w:p>
        </w:tc>
        <w:tc>
          <w:tcPr>
            <w:tcW w:w="1261" w:type="dxa"/>
            <w:shd w:val="clear" w:color="auto" w:fill="auto"/>
            <w:noWrap/>
            <w:vAlign w:val="bottom"/>
            <w:hideMark/>
          </w:tcPr>
          <w:p w:rsidR="00C43C95" w:rsidRPr="00C43C95" w:rsidRDefault="00C43C95" w:rsidP="00A83EA8">
            <w:pPr>
              <w:spacing w:after="0" w:line="240" w:lineRule="auto"/>
              <w:jc w:val="center"/>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2</w:t>
            </w:r>
          </w:p>
        </w:tc>
        <w:tc>
          <w:tcPr>
            <w:tcW w:w="866" w:type="dxa"/>
            <w:shd w:val="clear" w:color="auto" w:fill="auto"/>
            <w:noWrap/>
            <w:vAlign w:val="bottom"/>
            <w:hideMark/>
          </w:tcPr>
          <w:p w:rsidR="00C43C95" w:rsidRPr="00C43C95" w:rsidRDefault="00C43C95" w:rsidP="00A83EA8">
            <w:pPr>
              <w:spacing w:after="0" w:line="240" w:lineRule="auto"/>
              <w:jc w:val="center"/>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59</w:t>
            </w:r>
          </w:p>
        </w:tc>
        <w:tc>
          <w:tcPr>
            <w:tcW w:w="5506" w:type="dxa"/>
            <w:shd w:val="clear" w:color="auto" w:fill="auto"/>
            <w:noWrap/>
            <w:vAlign w:val="bottom"/>
            <w:hideMark/>
          </w:tcPr>
          <w:p w:rsidR="00C43C95" w:rsidRPr="00C43C95" w:rsidRDefault="00C43C95" w:rsidP="00A83EA8">
            <w:pPr>
              <w:spacing w:after="0" w:line="240" w:lineRule="auto"/>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Gatineau, St-Jérôme</w:t>
            </w:r>
          </w:p>
        </w:tc>
      </w:tr>
      <w:tr w:rsidR="00C43C95" w:rsidRPr="00C43C95" w:rsidTr="00A83EA8">
        <w:trPr>
          <w:trHeight w:val="290"/>
          <w:jc w:val="center"/>
        </w:trPr>
        <w:tc>
          <w:tcPr>
            <w:tcW w:w="1074" w:type="dxa"/>
          </w:tcPr>
          <w:p w:rsidR="00C43C95" w:rsidRPr="00C43C95" w:rsidRDefault="00C43C95" w:rsidP="00A83EA8">
            <w:pPr>
              <w:spacing w:after="0" w:line="240" w:lineRule="auto"/>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N/A</w:t>
            </w:r>
          </w:p>
        </w:tc>
        <w:tc>
          <w:tcPr>
            <w:tcW w:w="2455" w:type="dxa"/>
            <w:shd w:val="clear" w:color="auto" w:fill="auto"/>
            <w:noWrap/>
            <w:vAlign w:val="center"/>
            <w:hideMark/>
          </w:tcPr>
          <w:p w:rsidR="00C43C95" w:rsidRPr="00C43C95" w:rsidRDefault="00C43C95" w:rsidP="00A83EA8">
            <w:pPr>
              <w:spacing w:after="0" w:line="240" w:lineRule="auto"/>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 xml:space="preserve">McGill </w:t>
            </w:r>
            <w:proofErr w:type="spellStart"/>
            <w:r w:rsidRPr="00C43C95">
              <w:rPr>
                <w:rFonts w:ascii="Times New Roman" w:eastAsia="Times New Roman" w:hAnsi="Times New Roman" w:cs="Times New Roman"/>
                <w:color w:val="000000"/>
                <w:sz w:val="24"/>
                <w:szCs w:val="24"/>
                <w:lang w:eastAsia="fr-CA"/>
              </w:rPr>
              <w:t>University</w:t>
            </w:r>
            <w:proofErr w:type="spellEnd"/>
          </w:p>
        </w:tc>
        <w:tc>
          <w:tcPr>
            <w:tcW w:w="1261" w:type="dxa"/>
            <w:shd w:val="clear" w:color="auto" w:fill="auto"/>
            <w:noWrap/>
            <w:vAlign w:val="bottom"/>
            <w:hideMark/>
          </w:tcPr>
          <w:p w:rsidR="00C43C95" w:rsidRPr="00C43C95" w:rsidRDefault="00C43C95" w:rsidP="00A83EA8">
            <w:pPr>
              <w:spacing w:after="0" w:line="240" w:lineRule="auto"/>
              <w:jc w:val="center"/>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1</w:t>
            </w:r>
          </w:p>
        </w:tc>
        <w:tc>
          <w:tcPr>
            <w:tcW w:w="866" w:type="dxa"/>
            <w:shd w:val="clear" w:color="auto" w:fill="auto"/>
            <w:noWrap/>
            <w:vAlign w:val="bottom"/>
            <w:hideMark/>
          </w:tcPr>
          <w:p w:rsidR="00C43C95" w:rsidRPr="00C43C95" w:rsidRDefault="00C43C95" w:rsidP="00A83EA8">
            <w:pPr>
              <w:spacing w:after="0" w:line="240" w:lineRule="auto"/>
              <w:jc w:val="center"/>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6</w:t>
            </w:r>
          </w:p>
        </w:tc>
        <w:tc>
          <w:tcPr>
            <w:tcW w:w="5506" w:type="dxa"/>
            <w:shd w:val="clear" w:color="auto" w:fill="auto"/>
            <w:noWrap/>
            <w:vAlign w:val="bottom"/>
            <w:hideMark/>
          </w:tcPr>
          <w:p w:rsidR="00C43C95" w:rsidRPr="00C43C95" w:rsidRDefault="00C43C95" w:rsidP="00A83EA8">
            <w:pPr>
              <w:spacing w:after="0" w:line="240" w:lineRule="auto"/>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Montréal</w:t>
            </w:r>
          </w:p>
        </w:tc>
      </w:tr>
      <w:tr w:rsidR="00C43C95" w:rsidRPr="00C43C95" w:rsidTr="00A83EA8">
        <w:trPr>
          <w:trHeight w:val="290"/>
          <w:jc w:val="center"/>
        </w:trPr>
        <w:tc>
          <w:tcPr>
            <w:tcW w:w="1074" w:type="dxa"/>
          </w:tcPr>
          <w:p w:rsidR="00C43C95" w:rsidRPr="00C43C95" w:rsidRDefault="00C43C95" w:rsidP="00A83EA8">
            <w:pPr>
              <w:spacing w:after="0" w:line="240" w:lineRule="auto"/>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N/A</w:t>
            </w:r>
          </w:p>
        </w:tc>
        <w:tc>
          <w:tcPr>
            <w:tcW w:w="2455" w:type="dxa"/>
            <w:shd w:val="clear" w:color="auto" w:fill="auto"/>
            <w:noWrap/>
            <w:vAlign w:val="center"/>
            <w:hideMark/>
          </w:tcPr>
          <w:p w:rsidR="00C43C95" w:rsidRPr="00C43C95" w:rsidRDefault="00C43C95" w:rsidP="00A83EA8">
            <w:pPr>
              <w:spacing w:after="0" w:line="240" w:lineRule="auto"/>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Université Laval</w:t>
            </w:r>
          </w:p>
        </w:tc>
        <w:tc>
          <w:tcPr>
            <w:tcW w:w="1261" w:type="dxa"/>
            <w:shd w:val="clear" w:color="auto" w:fill="auto"/>
            <w:noWrap/>
            <w:vAlign w:val="bottom"/>
            <w:hideMark/>
          </w:tcPr>
          <w:p w:rsidR="00C43C95" w:rsidRPr="00C43C95" w:rsidRDefault="00C43C95" w:rsidP="00A83EA8">
            <w:pPr>
              <w:spacing w:after="0" w:line="240" w:lineRule="auto"/>
              <w:jc w:val="center"/>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1</w:t>
            </w:r>
          </w:p>
        </w:tc>
        <w:tc>
          <w:tcPr>
            <w:tcW w:w="866" w:type="dxa"/>
            <w:shd w:val="clear" w:color="auto" w:fill="auto"/>
            <w:noWrap/>
            <w:vAlign w:val="bottom"/>
            <w:hideMark/>
          </w:tcPr>
          <w:p w:rsidR="00C43C95" w:rsidRPr="00C43C95" w:rsidRDefault="00C43C95" w:rsidP="00A83EA8">
            <w:pPr>
              <w:spacing w:after="0" w:line="240" w:lineRule="auto"/>
              <w:jc w:val="center"/>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13</w:t>
            </w:r>
          </w:p>
        </w:tc>
        <w:tc>
          <w:tcPr>
            <w:tcW w:w="5506" w:type="dxa"/>
            <w:shd w:val="clear" w:color="auto" w:fill="auto"/>
            <w:noWrap/>
            <w:vAlign w:val="bottom"/>
            <w:hideMark/>
          </w:tcPr>
          <w:p w:rsidR="00C43C95" w:rsidRPr="00C43C95" w:rsidRDefault="00C43C95" w:rsidP="00A83EA8">
            <w:pPr>
              <w:spacing w:after="0" w:line="240" w:lineRule="auto"/>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Québec</w:t>
            </w:r>
          </w:p>
        </w:tc>
      </w:tr>
      <w:tr w:rsidR="00C43C95" w:rsidRPr="00C43C95" w:rsidTr="00A83EA8">
        <w:trPr>
          <w:trHeight w:val="290"/>
          <w:jc w:val="center"/>
        </w:trPr>
        <w:tc>
          <w:tcPr>
            <w:tcW w:w="1074" w:type="dxa"/>
          </w:tcPr>
          <w:p w:rsidR="00C43C95" w:rsidRPr="00C43C95" w:rsidRDefault="00C43C95" w:rsidP="00A83EA8">
            <w:pPr>
              <w:spacing w:after="0" w:line="240" w:lineRule="auto"/>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N/A</w:t>
            </w:r>
          </w:p>
        </w:tc>
        <w:tc>
          <w:tcPr>
            <w:tcW w:w="2455" w:type="dxa"/>
            <w:shd w:val="clear" w:color="auto" w:fill="auto"/>
            <w:noWrap/>
            <w:vAlign w:val="center"/>
            <w:hideMark/>
          </w:tcPr>
          <w:p w:rsidR="00C43C95" w:rsidRPr="00C43C95" w:rsidRDefault="00C43C95" w:rsidP="00A83EA8">
            <w:pPr>
              <w:spacing w:after="0" w:line="240" w:lineRule="auto"/>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 xml:space="preserve">Concordia </w:t>
            </w:r>
            <w:proofErr w:type="spellStart"/>
            <w:r w:rsidRPr="00C43C95">
              <w:rPr>
                <w:rFonts w:ascii="Times New Roman" w:eastAsia="Times New Roman" w:hAnsi="Times New Roman" w:cs="Times New Roman"/>
                <w:color w:val="000000"/>
                <w:sz w:val="24"/>
                <w:szCs w:val="24"/>
                <w:lang w:eastAsia="fr-CA"/>
              </w:rPr>
              <w:t>University</w:t>
            </w:r>
            <w:proofErr w:type="spellEnd"/>
          </w:p>
        </w:tc>
        <w:tc>
          <w:tcPr>
            <w:tcW w:w="1261" w:type="dxa"/>
            <w:shd w:val="clear" w:color="auto" w:fill="auto"/>
            <w:noWrap/>
            <w:vAlign w:val="bottom"/>
            <w:hideMark/>
          </w:tcPr>
          <w:p w:rsidR="00C43C95" w:rsidRPr="00C43C95" w:rsidRDefault="00C43C95" w:rsidP="00A83EA8">
            <w:pPr>
              <w:spacing w:after="0" w:line="240" w:lineRule="auto"/>
              <w:jc w:val="center"/>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1</w:t>
            </w:r>
          </w:p>
        </w:tc>
        <w:tc>
          <w:tcPr>
            <w:tcW w:w="866" w:type="dxa"/>
            <w:shd w:val="clear" w:color="auto" w:fill="auto"/>
            <w:noWrap/>
            <w:vAlign w:val="bottom"/>
            <w:hideMark/>
          </w:tcPr>
          <w:p w:rsidR="00C43C95" w:rsidRPr="00C43C95" w:rsidRDefault="00C43C95" w:rsidP="00A83EA8">
            <w:pPr>
              <w:spacing w:after="0" w:line="240" w:lineRule="auto"/>
              <w:jc w:val="center"/>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18</w:t>
            </w:r>
          </w:p>
        </w:tc>
        <w:tc>
          <w:tcPr>
            <w:tcW w:w="5506" w:type="dxa"/>
            <w:shd w:val="clear" w:color="auto" w:fill="auto"/>
            <w:noWrap/>
            <w:vAlign w:val="bottom"/>
            <w:hideMark/>
          </w:tcPr>
          <w:p w:rsidR="00C43C95" w:rsidRPr="00C43C95" w:rsidRDefault="00C43C95" w:rsidP="00A83EA8">
            <w:pPr>
              <w:spacing w:after="0" w:line="240" w:lineRule="auto"/>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Montréal</w:t>
            </w:r>
          </w:p>
        </w:tc>
      </w:tr>
      <w:tr w:rsidR="00C43C95" w:rsidRPr="00C43C95" w:rsidTr="00A83EA8">
        <w:trPr>
          <w:trHeight w:val="290"/>
          <w:jc w:val="center"/>
        </w:trPr>
        <w:tc>
          <w:tcPr>
            <w:tcW w:w="1074" w:type="dxa"/>
          </w:tcPr>
          <w:p w:rsidR="00C43C95" w:rsidRPr="00C43C95" w:rsidRDefault="00C43C95" w:rsidP="00A83EA8">
            <w:pPr>
              <w:spacing w:after="0" w:line="240" w:lineRule="auto"/>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N/A</w:t>
            </w:r>
          </w:p>
        </w:tc>
        <w:tc>
          <w:tcPr>
            <w:tcW w:w="2455" w:type="dxa"/>
            <w:shd w:val="clear" w:color="auto" w:fill="auto"/>
            <w:noWrap/>
            <w:vAlign w:val="center"/>
            <w:hideMark/>
          </w:tcPr>
          <w:p w:rsidR="00C43C95" w:rsidRPr="00C43C95" w:rsidRDefault="00C43C95" w:rsidP="00A83EA8">
            <w:pPr>
              <w:spacing w:after="0" w:line="240" w:lineRule="auto"/>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École Polytechnique de Montréal</w:t>
            </w:r>
          </w:p>
        </w:tc>
        <w:tc>
          <w:tcPr>
            <w:tcW w:w="1261" w:type="dxa"/>
            <w:shd w:val="clear" w:color="auto" w:fill="auto"/>
            <w:noWrap/>
            <w:vAlign w:val="bottom"/>
            <w:hideMark/>
          </w:tcPr>
          <w:p w:rsidR="00C43C95" w:rsidRPr="00C43C95" w:rsidRDefault="00C43C95" w:rsidP="00A83EA8">
            <w:pPr>
              <w:spacing w:after="0" w:line="240" w:lineRule="auto"/>
              <w:jc w:val="center"/>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1</w:t>
            </w:r>
          </w:p>
        </w:tc>
        <w:tc>
          <w:tcPr>
            <w:tcW w:w="866" w:type="dxa"/>
            <w:shd w:val="clear" w:color="auto" w:fill="auto"/>
            <w:noWrap/>
            <w:vAlign w:val="bottom"/>
            <w:hideMark/>
          </w:tcPr>
          <w:p w:rsidR="00C43C95" w:rsidRPr="00C43C95" w:rsidRDefault="00C43C95" w:rsidP="00A83EA8">
            <w:pPr>
              <w:spacing w:after="0" w:line="240" w:lineRule="auto"/>
              <w:jc w:val="center"/>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27</w:t>
            </w:r>
          </w:p>
        </w:tc>
        <w:tc>
          <w:tcPr>
            <w:tcW w:w="5506" w:type="dxa"/>
            <w:shd w:val="clear" w:color="auto" w:fill="auto"/>
            <w:noWrap/>
            <w:vAlign w:val="bottom"/>
            <w:hideMark/>
          </w:tcPr>
          <w:p w:rsidR="00C43C95" w:rsidRPr="00C43C95" w:rsidRDefault="00C43C95" w:rsidP="00A83EA8">
            <w:pPr>
              <w:spacing w:after="0" w:line="240" w:lineRule="auto"/>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Montréal</w:t>
            </w:r>
          </w:p>
        </w:tc>
      </w:tr>
      <w:tr w:rsidR="00C43C95" w:rsidRPr="00C43C95" w:rsidTr="00A83EA8">
        <w:trPr>
          <w:trHeight w:val="290"/>
          <w:jc w:val="center"/>
        </w:trPr>
        <w:tc>
          <w:tcPr>
            <w:tcW w:w="1074" w:type="dxa"/>
          </w:tcPr>
          <w:p w:rsidR="00C43C95" w:rsidRPr="00C43C95" w:rsidRDefault="00C43C95" w:rsidP="00A83EA8">
            <w:pPr>
              <w:spacing w:after="0" w:line="240" w:lineRule="auto"/>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HEC</w:t>
            </w:r>
          </w:p>
        </w:tc>
        <w:tc>
          <w:tcPr>
            <w:tcW w:w="2455" w:type="dxa"/>
            <w:shd w:val="clear" w:color="auto" w:fill="auto"/>
            <w:noWrap/>
            <w:vAlign w:val="center"/>
            <w:hideMark/>
          </w:tcPr>
          <w:p w:rsidR="00C43C95" w:rsidRPr="00C43C95" w:rsidRDefault="00C43C95" w:rsidP="00A83EA8">
            <w:pPr>
              <w:spacing w:after="0" w:line="240" w:lineRule="auto"/>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HEC Montréal</w:t>
            </w:r>
          </w:p>
        </w:tc>
        <w:tc>
          <w:tcPr>
            <w:tcW w:w="1261" w:type="dxa"/>
            <w:shd w:val="clear" w:color="auto" w:fill="auto"/>
            <w:noWrap/>
            <w:vAlign w:val="bottom"/>
            <w:hideMark/>
          </w:tcPr>
          <w:p w:rsidR="00C43C95" w:rsidRPr="00C43C95" w:rsidRDefault="00C43C95" w:rsidP="00A83EA8">
            <w:pPr>
              <w:spacing w:after="0" w:line="240" w:lineRule="auto"/>
              <w:jc w:val="center"/>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1</w:t>
            </w:r>
          </w:p>
        </w:tc>
        <w:tc>
          <w:tcPr>
            <w:tcW w:w="866" w:type="dxa"/>
            <w:shd w:val="clear" w:color="auto" w:fill="auto"/>
            <w:noWrap/>
            <w:vAlign w:val="bottom"/>
            <w:hideMark/>
          </w:tcPr>
          <w:p w:rsidR="00C43C95" w:rsidRPr="00C43C95" w:rsidRDefault="00C43C95" w:rsidP="00A83EA8">
            <w:pPr>
              <w:spacing w:after="0" w:line="240" w:lineRule="auto"/>
              <w:jc w:val="center"/>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36</w:t>
            </w:r>
          </w:p>
        </w:tc>
        <w:tc>
          <w:tcPr>
            <w:tcW w:w="5506" w:type="dxa"/>
            <w:shd w:val="clear" w:color="auto" w:fill="auto"/>
            <w:noWrap/>
            <w:vAlign w:val="bottom"/>
            <w:hideMark/>
          </w:tcPr>
          <w:p w:rsidR="00C43C95" w:rsidRPr="00C43C95" w:rsidRDefault="00C43C95" w:rsidP="00A83EA8">
            <w:pPr>
              <w:spacing w:after="0" w:line="240" w:lineRule="auto"/>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Montréal</w:t>
            </w:r>
          </w:p>
        </w:tc>
      </w:tr>
      <w:tr w:rsidR="00C43C95" w:rsidRPr="00C43C95" w:rsidTr="00A83EA8">
        <w:trPr>
          <w:trHeight w:val="290"/>
          <w:jc w:val="center"/>
        </w:trPr>
        <w:tc>
          <w:tcPr>
            <w:tcW w:w="1074" w:type="dxa"/>
          </w:tcPr>
          <w:p w:rsidR="00C43C95" w:rsidRPr="00C43C95" w:rsidRDefault="00C43C95" w:rsidP="00A83EA8">
            <w:pPr>
              <w:spacing w:after="0" w:line="240" w:lineRule="auto"/>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N/A</w:t>
            </w:r>
          </w:p>
        </w:tc>
        <w:tc>
          <w:tcPr>
            <w:tcW w:w="2455" w:type="dxa"/>
            <w:shd w:val="clear" w:color="auto" w:fill="auto"/>
            <w:noWrap/>
            <w:vAlign w:val="center"/>
            <w:hideMark/>
          </w:tcPr>
          <w:p w:rsidR="00C43C95" w:rsidRPr="00C43C95" w:rsidRDefault="00C43C95" w:rsidP="00A83EA8">
            <w:pPr>
              <w:spacing w:after="0" w:line="240" w:lineRule="auto"/>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École de technologie supérieure</w:t>
            </w:r>
          </w:p>
        </w:tc>
        <w:tc>
          <w:tcPr>
            <w:tcW w:w="1261" w:type="dxa"/>
            <w:shd w:val="clear" w:color="auto" w:fill="auto"/>
            <w:noWrap/>
            <w:vAlign w:val="bottom"/>
            <w:hideMark/>
          </w:tcPr>
          <w:p w:rsidR="00C43C95" w:rsidRPr="00C43C95" w:rsidRDefault="00C43C95" w:rsidP="00A83EA8">
            <w:pPr>
              <w:spacing w:after="0" w:line="240" w:lineRule="auto"/>
              <w:jc w:val="center"/>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1</w:t>
            </w:r>
          </w:p>
        </w:tc>
        <w:tc>
          <w:tcPr>
            <w:tcW w:w="866" w:type="dxa"/>
            <w:shd w:val="clear" w:color="auto" w:fill="auto"/>
            <w:noWrap/>
            <w:vAlign w:val="bottom"/>
            <w:hideMark/>
          </w:tcPr>
          <w:p w:rsidR="00C43C95" w:rsidRPr="00C43C95" w:rsidRDefault="00C43C95" w:rsidP="00A83EA8">
            <w:pPr>
              <w:spacing w:after="0" w:line="240" w:lineRule="auto"/>
              <w:jc w:val="center"/>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41</w:t>
            </w:r>
          </w:p>
        </w:tc>
        <w:tc>
          <w:tcPr>
            <w:tcW w:w="5506" w:type="dxa"/>
            <w:shd w:val="clear" w:color="auto" w:fill="auto"/>
            <w:noWrap/>
            <w:vAlign w:val="bottom"/>
            <w:hideMark/>
          </w:tcPr>
          <w:p w:rsidR="00C43C95" w:rsidRPr="00C43C95" w:rsidRDefault="00C43C95" w:rsidP="00A83EA8">
            <w:pPr>
              <w:spacing w:after="0" w:line="240" w:lineRule="auto"/>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Montréal</w:t>
            </w:r>
          </w:p>
        </w:tc>
      </w:tr>
      <w:tr w:rsidR="00C43C95" w:rsidRPr="00C43C95" w:rsidTr="00A83EA8">
        <w:trPr>
          <w:trHeight w:val="290"/>
          <w:jc w:val="center"/>
        </w:trPr>
        <w:tc>
          <w:tcPr>
            <w:tcW w:w="1074" w:type="dxa"/>
          </w:tcPr>
          <w:p w:rsidR="00C43C95" w:rsidRPr="00C43C95" w:rsidRDefault="00C43C95" w:rsidP="00A83EA8">
            <w:pPr>
              <w:spacing w:after="0" w:line="240" w:lineRule="auto"/>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N/A</w:t>
            </w:r>
          </w:p>
        </w:tc>
        <w:tc>
          <w:tcPr>
            <w:tcW w:w="2455" w:type="dxa"/>
            <w:shd w:val="clear" w:color="auto" w:fill="auto"/>
            <w:noWrap/>
            <w:vAlign w:val="center"/>
            <w:hideMark/>
          </w:tcPr>
          <w:p w:rsidR="00C43C95" w:rsidRPr="00C43C95" w:rsidRDefault="00C43C95" w:rsidP="00A83EA8">
            <w:pPr>
              <w:spacing w:after="0" w:line="240" w:lineRule="auto"/>
              <w:rPr>
                <w:rFonts w:ascii="Times New Roman" w:eastAsia="Times New Roman" w:hAnsi="Times New Roman" w:cs="Times New Roman"/>
                <w:color w:val="000000"/>
                <w:sz w:val="24"/>
                <w:szCs w:val="24"/>
                <w:lang w:eastAsia="fr-CA"/>
              </w:rPr>
            </w:pPr>
            <w:proofErr w:type="spellStart"/>
            <w:r w:rsidRPr="00C43C95">
              <w:rPr>
                <w:rFonts w:ascii="Times New Roman" w:eastAsia="Times New Roman" w:hAnsi="Times New Roman" w:cs="Times New Roman"/>
                <w:color w:val="000000"/>
                <w:sz w:val="24"/>
                <w:szCs w:val="24"/>
                <w:lang w:eastAsia="fr-CA"/>
              </w:rPr>
              <w:t>Bishop's</w:t>
            </w:r>
            <w:proofErr w:type="spellEnd"/>
            <w:r w:rsidRPr="00C43C95">
              <w:rPr>
                <w:rFonts w:ascii="Times New Roman" w:eastAsia="Times New Roman" w:hAnsi="Times New Roman" w:cs="Times New Roman"/>
                <w:color w:val="000000"/>
                <w:sz w:val="24"/>
                <w:szCs w:val="24"/>
                <w:lang w:eastAsia="fr-CA"/>
              </w:rPr>
              <w:t xml:space="preserve"> </w:t>
            </w:r>
            <w:proofErr w:type="spellStart"/>
            <w:r w:rsidRPr="00C43C95">
              <w:rPr>
                <w:rFonts w:ascii="Times New Roman" w:eastAsia="Times New Roman" w:hAnsi="Times New Roman" w:cs="Times New Roman"/>
                <w:color w:val="000000"/>
                <w:sz w:val="24"/>
                <w:szCs w:val="24"/>
                <w:lang w:eastAsia="fr-CA"/>
              </w:rPr>
              <w:t>University</w:t>
            </w:r>
            <w:proofErr w:type="spellEnd"/>
          </w:p>
        </w:tc>
        <w:tc>
          <w:tcPr>
            <w:tcW w:w="1261" w:type="dxa"/>
            <w:shd w:val="clear" w:color="auto" w:fill="auto"/>
            <w:noWrap/>
            <w:vAlign w:val="bottom"/>
            <w:hideMark/>
          </w:tcPr>
          <w:p w:rsidR="00C43C95" w:rsidRPr="00C43C95" w:rsidRDefault="00C43C95" w:rsidP="00A83EA8">
            <w:pPr>
              <w:spacing w:after="0" w:line="240" w:lineRule="auto"/>
              <w:jc w:val="center"/>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1</w:t>
            </w:r>
          </w:p>
        </w:tc>
        <w:tc>
          <w:tcPr>
            <w:tcW w:w="866" w:type="dxa"/>
            <w:shd w:val="clear" w:color="auto" w:fill="auto"/>
            <w:noWrap/>
            <w:vAlign w:val="bottom"/>
            <w:hideMark/>
          </w:tcPr>
          <w:p w:rsidR="00C43C95" w:rsidRPr="00C43C95" w:rsidRDefault="00C43C95" w:rsidP="00A83EA8">
            <w:pPr>
              <w:spacing w:after="0" w:line="240" w:lineRule="auto"/>
              <w:jc w:val="center"/>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50</w:t>
            </w:r>
          </w:p>
        </w:tc>
        <w:tc>
          <w:tcPr>
            <w:tcW w:w="5506" w:type="dxa"/>
            <w:shd w:val="clear" w:color="auto" w:fill="auto"/>
            <w:noWrap/>
            <w:vAlign w:val="bottom"/>
            <w:hideMark/>
          </w:tcPr>
          <w:p w:rsidR="00C43C95" w:rsidRPr="00C43C95" w:rsidRDefault="00C43C95" w:rsidP="00A83EA8">
            <w:pPr>
              <w:spacing w:after="0" w:line="240" w:lineRule="auto"/>
              <w:rPr>
                <w:rFonts w:ascii="Times New Roman" w:eastAsia="Times New Roman" w:hAnsi="Times New Roman" w:cs="Times New Roman"/>
                <w:color w:val="000000"/>
                <w:sz w:val="24"/>
                <w:szCs w:val="24"/>
                <w:lang w:eastAsia="fr-CA"/>
              </w:rPr>
            </w:pPr>
            <w:r w:rsidRPr="00C43C95">
              <w:rPr>
                <w:rFonts w:ascii="Times New Roman" w:eastAsia="Times New Roman" w:hAnsi="Times New Roman" w:cs="Times New Roman"/>
                <w:color w:val="000000"/>
                <w:sz w:val="24"/>
                <w:szCs w:val="24"/>
                <w:lang w:eastAsia="fr-CA"/>
              </w:rPr>
              <w:t>Sherbrooke</w:t>
            </w:r>
          </w:p>
        </w:tc>
      </w:tr>
    </w:tbl>
    <w:p w:rsidR="00C43C95" w:rsidRPr="00C43C95" w:rsidRDefault="00C43C95" w:rsidP="00C43C95">
      <w:pPr>
        <w:spacing w:line="360" w:lineRule="auto"/>
        <w:jc w:val="both"/>
        <w:rPr>
          <w:rFonts w:ascii="Times New Roman" w:hAnsi="Times New Roman" w:cs="Times New Roman"/>
          <w:sz w:val="24"/>
          <w:szCs w:val="24"/>
        </w:rPr>
      </w:pPr>
    </w:p>
    <w:p w:rsidR="00C43C95" w:rsidRPr="00C43C95" w:rsidRDefault="00C43C95" w:rsidP="00C43C95">
      <w:pPr>
        <w:spacing w:line="360" w:lineRule="auto"/>
        <w:jc w:val="both"/>
        <w:rPr>
          <w:rFonts w:ascii="Times New Roman" w:hAnsi="Times New Roman" w:cs="Times New Roman"/>
          <w:sz w:val="24"/>
          <w:szCs w:val="24"/>
        </w:rPr>
      </w:pPr>
      <w:r w:rsidRPr="00C43C95">
        <w:rPr>
          <w:rFonts w:ascii="Times New Roman" w:hAnsi="Times New Roman" w:cs="Times New Roman"/>
          <w:sz w:val="24"/>
          <w:szCs w:val="24"/>
        </w:rPr>
        <w:lastRenderedPageBreak/>
        <w:t>Les données du tableau ont ensuite été transférées sur un graphique des groupes stratégiques, que la page suivante illustre. Ce graphique permet de déceler quatre groupes stratégiques, qui seront analysés à la suite de cette section. Notons la position de l’UQTR (10; 49), surlignée en jaune.</w:t>
      </w:r>
    </w:p>
    <w:p w:rsidR="00C43C95" w:rsidRPr="00C43C95" w:rsidRDefault="00C43C95" w:rsidP="00C43C9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fr-CA"/>
        </w:rPr>
        <w:drawing>
          <wp:anchor distT="0" distB="0" distL="114300" distR="114300" simplePos="0" relativeHeight="251653632" behindDoc="0" locked="0" layoutInCell="1" allowOverlap="1">
            <wp:simplePos x="0" y="0"/>
            <wp:positionH relativeFrom="column">
              <wp:posOffset>-257175</wp:posOffset>
            </wp:positionH>
            <wp:positionV relativeFrom="paragraph">
              <wp:posOffset>0</wp:posOffset>
            </wp:positionV>
            <wp:extent cx="5772150" cy="4295775"/>
            <wp:effectExtent l="19050" t="0" r="0" b="0"/>
            <wp:wrapThrough wrapText="bothSides">
              <wp:wrapPolygon edited="0">
                <wp:start x="-71" y="0"/>
                <wp:lineTo x="-71" y="21552"/>
                <wp:lineTo x="21600" y="21552"/>
                <wp:lineTo x="21600" y="0"/>
                <wp:lineTo x="-71" y="0"/>
              </wp:wrapPolygon>
            </wp:wrapThrough>
            <wp:docPr id="16" name="Image 2" descr="C:\Users\Célia\Documents\Administration des affaires\Hiver 2015\Gestion stratégique des entreprises\Groupes stratégiqu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élia\Documents\Administration des affaires\Hiver 2015\Gestion stratégique des entreprises\Groupes stratégiques.png"/>
                    <pic:cNvPicPr>
                      <a:picLocks noChangeAspect="1" noChangeArrowheads="1"/>
                    </pic:cNvPicPr>
                  </pic:nvPicPr>
                  <pic:blipFill>
                    <a:blip r:embed="rId12" cstate="print"/>
                    <a:srcRect/>
                    <a:stretch>
                      <a:fillRect/>
                    </a:stretch>
                  </pic:blipFill>
                  <pic:spPr bwMode="auto">
                    <a:xfrm>
                      <a:off x="0" y="0"/>
                      <a:ext cx="5772150" cy="4295775"/>
                    </a:xfrm>
                    <a:prstGeom prst="rect">
                      <a:avLst/>
                    </a:prstGeom>
                    <a:noFill/>
                    <a:ln w="9525">
                      <a:noFill/>
                      <a:miter lim="800000"/>
                      <a:headEnd/>
                      <a:tailEnd/>
                    </a:ln>
                  </pic:spPr>
                </pic:pic>
              </a:graphicData>
            </a:graphic>
          </wp:anchor>
        </w:drawing>
      </w:r>
    </w:p>
    <w:p w:rsidR="00C43C95" w:rsidRPr="00C43C95" w:rsidRDefault="00C43C95" w:rsidP="00C43C95">
      <w:pPr>
        <w:spacing w:line="360" w:lineRule="auto"/>
        <w:jc w:val="both"/>
        <w:rPr>
          <w:rFonts w:ascii="Times New Roman" w:hAnsi="Times New Roman" w:cs="Times New Roman"/>
          <w:sz w:val="24"/>
          <w:szCs w:val="24"/>
        </w:rPr>
      </w:pPr>
      <w:r>
        <w:rPr>
          <w:rFonts w:ascii="Times New Roman" w:hAnsi="Times New Roman" w:cs="Times New Roman"/>
          <w:sz w:val="24"/>
          <w:szCs w:val="24"/>
        </w:rPr>
        <w:t>Il est possible de voir</w:t>
      </w:r>
      <w:r w:rsidRPr="00C43C95">
        <w:rPr>
          <w:rFonts w:ascii="Times New Roman" w:hAnsi="Times New Roman" w:cs="Times New Roman"/>
          <w:sz w:val="24"/>
          <w:szCs w:val="24"/>
        </w:rPr>
        <w:t xml:space="preserve"> sur le graphique ci-joint, une forte concentration d'universités œuvre selon un modèle classique, offrant un seul campus qui concentre tous les effectifs académiques et administratifs au même endroit. On parle ici d’universités que nous appellerons les universités locales (identifiées en rouge) vu la couverture géographique qu’elles offrent, étant réservée à un seul endroit. On remarquera que, dans tous les cas, le rang d’excellence de chaque université, puisque trop volatile d’une université à l’autre, ne sera pas considéré pour déterminer les étiquettes regroupant les universités entre elles. Pour les universités locales, nous parlons des McGill, Laval, Concordia, de l'école Polytechnique de Montréal, HEC Montréal, de l'</w:t>
      </w:r>
      <w:r w:rsidR="003520A0">
        <w:rPr>
          <w:rFonts w:ascii="Times New Roman" w:hAnsi="Times New Roman" w:cs="Times New Roman"/>
          <w:sz w:val="24"/>
          <w:szCs w:val="24"/>
        </w:rPr>
        <w:t>École de technologie supérieure</w:t>
      </w:r>
      <w:r w:rsidRPr="00C43C95">
        <w:rPr>
          <w:rFonts w:ascii="Times New Roman" w:hAnsi="Times New Roman" w:cs="Times New Roman"/>
          <w:sz w:val="24"/>
          <w:szCs w:val="24"/>
        </w:rPr>
        <w:t xml:space="preserve"> et de </w:t>
      </w:r>
      <w:proofErr w:type="spellStart"/>
      <w:r w:rsidRPr="00C43C95">
        <w:rPr>
          <w:rFonts w:ascii="Times New Roman" w:hAnsi="Times New Roman" w:cs="Times New Roman"/>
          <w:sz w:val="24"/>
          <w:szCs w:val="24"/>
        </w:rPr>
        <w:lastRenderedPageBreak/>
        <w:t>Bishop's</w:t>
      </w:r>
      <w:proofErr w:type="spellEnd"/>
      <w:r w:rsidRPr="00C43C95">
        <w:rPr>
          <w:rFonts w:ascii="Times New Roman" w:hAnsi="Times New Roman" w:cs="Times New Roman"/>
          <w:sz w:val="24"/>
          <w:szCs w:val="24"/>
        </w:rPr>
        <w:t xml:space="preserve">. Un deuxième groupe inclura les universités à couverture régionale faible, présentant deux campus. Il s’agit des universités Sherbrooke et UQO. Un troisième groupe inclura les écoles à couverture régionale étendue, présentant de quatre à six campus. </w:t>
      </w:r>
      <w:r w:rsidR="00BF1DA1">
        <w:rPr>
          <w:rFonts w:ascii="Times New Roman" w:hAnsi="Times New Roman" w:cs="Times New Roman"/>
          <w:sz w:val="24"/>
          <w:szCs w:val="24"/>
        </w:rPr>
        <w:t>Nous parlons</w:t>
      </w:r>
      <w:r w:rsidRPr="00C43C95">
        <w:rPr>
          <w:rFonts w:ascii="Times New Roman" w:hAnsi="Times New Roman" w:cs="Times New Roman"/>
          <w:sz w:val="24"/>
          <w:szCs w:val="24"/>
        </w:rPr>
        <w:t xml:space="preserve"> ici de l’université de Montréal ainsi que de l’UQÀM, UQAC, l'ENAP et l'UQAR. Finalement, un quatrième groupe concerne deux universités, l’UQTR et l’UQAT, qui offre une couverture régionale très étendue, avec respectivement 10 et 13 campus et surtout des centres universitaires.</w:t>
      </w:r>
    </w:p>
    <w:p w:rsidR="00C43C95" w:rsidRPr="00C43C95" w:rsidRDefault="00C43C95" w:rsidP="00C43C95">
      <w:pPr>
        <w:spacing w:line="360" w:lineRule="auto"/>
        <w:jc w:val="both"/>
        <w:rPr>
          <w:rFonts w:ascii="Times New Roman" w:hAnsi="Times New Roman" w:cs="Times New Roman"/>
          <w:b/>
          <w:sz w:val="24"/>
          <w:szCs w:val="24"/>
        </w:rPr>
      </w:pPr>
      <w:r w:rsidRPr="00C43C95">
        <w:rPr>
          <w:rFonts w:ascii="Times New Roman" w:hAnsi="Times New Roman" w:cs="Times New Roman"/>
          <w:b/>
          <w:sz w:val="24"/>
          <w:szCs w:val="24"/>
        </w:rPr>
        <w:t>L’UQTR et le mandat de l’UQ</w:t>
      </w:r>
    </w:p>
    <w:p w:rsidR="00C43C95" w:rsidRPr="00C43C95" w:rsidRDefault="00C43C95" w:rsidP="00C43C95">
      <w:pPr>
        <w:spacing w:line="360" w:lineRule="auto"/>
        <w:jc w:val="both"/>
        <w:rPr>
          <w:rFonts w:ascii="Times New Roman" w:hAnsi="Times New Roman" w:cs="Times New Roman"/>
          <w:sz w:val="24"/>
          <w:szCs w:val="24"/>
        </w:rPr>
      </w:pPr>
      <w:r w:rsidRPr="00C43C95">
        <w:rPr>
          <w:rFonts w:ascii="Times New Roman" w:hAnsi="Times New Roman" w:cs="Times New Roman"/>
          <w:sz w:val="24"/>
          <w:szCs w:val="24"/>
        </w:rPr>
        <w:t>Rappelons que l’UQ, à travers ses campus, dont celui de Trois-Rivières, vise à remplir trois missions distinctes, soit :</w:t>
      </w:r>
    </w:p>
    <w:p w:rsidR="00C43C95" w:rsidRPr="00C43C95" w:rsidRDefault="00C43C95" w:rsidP="00540A65">
      <w:pPr>
        <w:pStyle w:val="Paragraphedeliste"/>
        <w:numPr>
          <w:ilvl w:val="0"/>
          <w:numId w:val="5"/>
        </w:numPr>
        <w:spacing w:after="200" w:line="360" w:lineRule="auto"/>
        <w:jc w:val="both"/>
        <w:rPr>
          <w:rFonts w:ascii="Times New Roman" w:hAnsi="Times New Roman" w:cs="Times New Roman"/>
          <w:sz w:val="24"/>
          <w:szCs w:val="24"/>
        </w:rPr>
      </w:pPr>
      <w:r w:rsidRPr="00C43C95">
        <w:rPr>
          <w:rFonts w:ascii="Times New Roman" w:hAnsi="Times New Roman" w:cs="Times New Roman"/>
          <w:sz w:val="24"/>
          <w:szCs w:val="24"/>
        </w:rPr>
        <w:t xml:space="preserve">favoriser l’accessibilité à la formation universitaire aux trois cycles, </w:t>
      </w:r>
    </w:p>
    <w:p w:rsidR="00C43C95" w:rsidRPr="00C43C95" w:rsidRDefault="00C43C95" w:rsidP="00540A65">
      <w:pPr>
        <w:pStyle w:val="Paragraphedeliste"/>
        <w:numPr>
          <w:ilvl w:val="0"/>
          <w:numId w:val="5"/>
        </w:numPr>
        <w:spacing w:after="200" w:line="360" w:lineRule="auto"/>
        <w:jc w:val="both"/>
        <w:rPr>
          <w:rFonts w:ascii="Times New Roman" w:hAnsi="Times New Roman" w:cs="Times New Roman"/>
          <w:sz w:val="24"/>
          <w:szCs w:val="24"/>
        </w:rPr>
      </w:pPr>
      <w:r w:rsidRPr="00C43C95">
        <w:rPr>
          <w:rFonts w:ascii="Times New Roman" w:hAnsi="Times New Roman" w:cs="Times New Roman"/>
          <w:sz w:val="24"/>
          <w:szCs w:val="24"/>
        </w:rPr>
        <w:t xml:space="preserve">contribuer par la recherche au développement scientifique du Québec et </w:t>
      </w:r>
    </w:p>
    <w:p w:rsidR="00C43C95" w:rsidRPr="00C43C95" w:rsidRDefault="00C43C95" w:rsidP="00540A65">
      <w:pPr>
        <w:pStyle w:val="Paragraphedeliste"/>
        <w:numPr>
          <w:ilvl w:val="0"/>
          <w:numId w:val="5"/>
        </w:numPr>
        <w:spacing w:after="200" w:line="360" w:lineRule="auto"/>
        <w:jc w:val="both"/>
        <w:rPr>
          <w:rFonts w:ascii="Times New Roman" w:hAnsi="Times New Roman" w:cs="Times New Roman"/>
          <w:sz w:val="24"/>
          <w:szCs w:val="24"/>
        </w:rPr>
      </w:pPr>
      <w:r w:rsidRPr="00C43C95">
        <w:rPr>
          <w:rFonts w:ascii="Times New Roman" w:hAnsi="Times New Roman" w:cs="Times New Roman"/>
          <w:sz w:val="24"/>
          <w:szCs w:val="24"/>
        </w:rPr>
        <w:t xml:space="preserve">participer au développement des régions du Québec. </w:t>
      </w:r>
    </w:p>
    <w:p w:rsidR="00C43C95" w:rsidRPr="00C43C95" w:rsidRDefault="00C43C95" w:rsidP="00C43C95">
      <w:pPr>
        <w:spacing w:line="360" w:lineRule="auto"/>
        <w:jc w:val="both"/>
        <w:rPr>
          <w:rFonts w:ascii="Times New Roman" w:hAnsi="Times New Roman" w:cs="Times New Roman"/>
          <w:sz w:val="24"/>
          <w:szCs w:val="24"/>
        </w:rPr>
      </w:pPr>
      <w:r w:rsidRPr="00C43C95">
        <w:rPr>
          <w:rFonts w:ascii="Times New Roman" w:hAnsi="Times New Roman" w:cs="Times New Roman"/>
          <w:sz w:val="24"/>
          <w:szCs w:val="24"/>
        </w:rPr>
        <w:t xml:space="preserve">Il est à noter que l’UQTR se donne donc un mandat qu’elle calque sur l’UQ, qu’elle verbalise différemment certes dans ses documents, mais qui est fondamentalement d’une même visée. Nous constatons que, par le campus trifluvien et les 9 centres universitaires que l’UQTR a </w:t>
      </w:r>
      <w:r w:rsidR="003520A0">
        <w:rPr>
          <w:rFonts w:ascii="Times New Roman" w:hAnsi="Times New Roman" w:cs="Times New Roman"/>
          <w:sz w:val="24"/>
          <w:szCs w:val="24"/>
        </w:rPr>
        <w:t>développés</w:t>
      </w:r>
      <w:r w:rsidRPr="00C43C95">
        <w:rPr>
          <w:rFonts w:ascii="Times New Roman" w:hAnsi="Times New Roman" w:cs="Times New Roman"/>
          <w:sz w:val="24"/>
          <w:szCs w:val="24"/>
        </w:rPr>
        <w:t xml:space="preserve"> à travers la province, l’école </w:t>
      </w:r>
      <w:r w:rsidR="003520A0">
        <w:rPr>
          <w:rFonts w:ascii="Times New Roman" w:hAnsi="Times New Roman" w:cs="Times New Roman"/>
          <w:sz w:val="24"/>
          <w:szCs w:val="24"/>
        </w:rPr>
        <w:t>accomplit</w:t>
      </w:r>
      <w:r w:rsidRPr="00C43C95">
        <w:rPr>
          <w:rFonts w:ascii="Times New Roman" w:hAnsi="Times New Roman" w:cs="Times New Roman"/>
          <w:sz w:val="24"/>
          <w:szCs w:val="24"/>
        </w:rPr>
        <w:t xml:space="preserve"> adéquatement le mandat conséquent au fait d’être partie </w:t>
      </w:r>
      <w:r w:rsidR="003520A0">
        <w:rPr>
          <w:rFonts w:ascii="Times New Roman" w:hAnsi="Times New Roman" w:cs="Times New Roman"/>
          <w:sz w:val="24"/>
          <w:szCs w:val="24"/>
        </w:rPr>
        <w:t>intégral</w:t>
      </w:r>
      <w:r w:rsidRPr="00C43C95">
        <w:rPr>
          <w:rFonts w:ascii="Times New Roman" w:hAnsi="Times New Roman" w:cs="Times New Roman"/>
          <w:sz w:val="24"/>
          <w:szCs w:val="24"/>
        </w:rPr>
        <w:t xml:space="preserve"> de la famille de l’UQ. </w:t>
      </w:r>
    </w:p>
    <w:p w:rsidR="00A55D21" w:rsidRDefault="00A55D21" w:rsidP="00C43C95">
      <w:pPr>
        <w:spacing w:line="360" w:lineRule="auto"/>
        <w:jc w:val="both"/>
        <w:rPr>
          <w:rFonts w:ascii="Times New Roman" w:hAnsi="Times New Roman" w:cs="Times New Roman"/>
          <w:b/>
          <w:sz w:val="24"/>
          <w:szCs w:val="24"/>
        </w:rPr>
      </w:pPr>
    </w:p>
    <w:p w:rsidR="00C43C95" w:rsidRPr="00C43C95" w:rsidRDefault="00C43C95" w:rsidP="00C43C95">
      <w:pPr>
        <w:spacing w:line="360" w:lineRule="auto"/>
        <w:jc w:val="both"/>
        <w:rPr>
          <w:rFonts w:ascii="Times New Roman" w:hAnsi="Times New Roman" w:cs="Times New Roman"/>
          <w:b/>
          <w:sz w:val="24"/>
          <w:szCs w:val="24"/>
        </w:rPr>
      </w:pPr>
      <w:r w:rsidRPr="00C43C95">
        <w:rPr>
          <w:rFonts w:ascii="Times New Roman" w:hAnsi="Times New Roman" w:cs="Times New Roman"/>
          <w:b/>
          <w:sz w:val="24"/>
          <w:szCs w:val="24"/>
        </w:rPr>
        <w:t>Les stratégies de croissance possibles</w:t>
      </w:r>
    </w:p>
    <w:p w:rsidR="00C43C95" w:rsidRPr="00C43C95" w:rsidRDefault="00C43C95" w:rsidP="00C43C95">
      <w:pPr>
        <w:spacing w:line="360" w:lineRule="auto"/>
        <w:jc w:val="both"/>
        <w:rPr>
          <w:rFonts w:ascii="Times New Roman" w:hAnsi="Times New Roman" w:cs="Times New Roman"/>
          <w:sz w:val="24"/>
          <w:szCs w:val="24"/>
        </w:rPr>
      </w:pPr>
      <w:r w:rsidRPr="00C43C95">
        <w:rPr>
          <w:rFonts w:ascii="Times New Roman" w:hAnsi="Times New Roman" w:cs="Times New Roman"/>
          <w:sz w:val="24"/>
          <w:szCs w:val="24"/>
        </w:rPr>
        <w:t>Dans tous les cas, l’UQTR aura deux options possibles quad viendra le temps de choisir une orientation de développement à long terme :</w:t>
      </w:r>
    </w:p>
    <w:p w:rsidR="00C43C95" w:rsidRPr="00C43C95" w:rsidRDefault="00C43C95" w:rsidP="00540A65">
      <w:pPr>
        <w:pStyle w:val="Paragraphedeliste"/>
        <w:numPr>
          <w:ilvl w:val="0"/>
          <w:numId w:val="6"/>
        </w:numPr>
        <w:spacing w:after="200" w:line="360" w:lineRule="auto"/>
        <w:jc w:val="both"/>
        <w:rPr>
          <w:rFonts w:ascii="Times New Roman" w:hAnsi="Times New Roman" w:cs="Times New Roman"/>
          <w:b/>
          <w:sz w:val="24"/>
          <w:szCs w:val="24"/>
        </w:rPr>
      </w:pPr>
      <w:r w:rsidRPr="00C43C95">
        <w:rPr>
          <w:rFonts w:ascii="Times New Roman" w:hAnsi="Times New Roman" w:cs="Times New Roman"/>
          <w:b/>
          <w:sz w:val="24"/>
          <w:szCs w:val="24"/>
        </w:rPr>
        <w:t xml:space="preserve">Développement horizontal : </w:t>
      </w:r>
      <w:r w:rsidRPr="00C43C95">
        <w:rPr>
          <w:rFonts w:ascii="Times New Roman" w:hAnsi="Times New Roman" w:cs="Times New Roman"/>
          <w:sz w:val="24"/>
          <w:szCs w:val="24"/>
        </w:rPr>
        <w:t xml:space="preserve">développer plusieurs autres campus ou </w:t>
      </w:r>
      <w:r w:rsidR="003520A0">
        <w:rPr>
          <w:rFonts w:ascii="Times New Roman" w:hAnsi="Times New Roman" w:cs="Times New Roman"/>
          <w:sz w:val="24"/>
          <w:szCs w:val="24"/>
        </w:rPr>
        <w:t>centres</w:t>
      </w:r>
      <w:r w:rsidRPr="00C43C95">
        <w:rPr>
          <w:rFonts w:ascii="Times New Roman" w:hAnsi="Times New Roman" w:cs="Times New Roman"/>
          <w:sz w:val="24"/>
          <w:szCs w:val="24"/>
        </w:rPr>
        <w:t xml:space="preserve"> universitaires pour étendre sa présence dans la province</w:t>
      </w:r>
    </w:p>
    <w:p w:rsidR="00C43C95" w:rsidRPr="00C43C95" w:rsidRDefault="00C43C95" w:rsidP="00C43C95">
      <w:pPr>
        <w:spacing w:line="360" w:lineRule="auto"/>
        <w:jc w:val="both"/>
        <w:rPr>
          <w:rFonts w:ascii="Times New Roman" w:hAnsi="Times New Roman" w:cs="Times New Roman"/>
          <w:sz w:val="24"/>
          <w:szCs w:val="24"/>
        </w:rPr>
      </w:pPr>
      <w:r w:rsidRPr="00C43C95">
        <w:rPr>
          <w:rFonts w:ascii="Times New Roman" w:hAnsi="Times New Roman" w:cs="Times New Roman"/>
          <w:sz w:val="24"/>
          <w:szCs w:val="24"/>
        </w:rPr>
        <w:t xml:space="preserve">Pour considérer cette option, nous référons aux quatre scénarios bâtis suite à l’analyse PESTEL plus tôt dans ce travail. Selon deux scénarios, le réseau universitaire québécois connaitra une croissance dans l’utilisation des technologies éducatives. Par conséquent, le </w:t>
      </w:r>
      <w:r w:rsidRPr="00C43C95">
        <w:rPr>
          <w:rFonts w:ascii="Times New Roman" w:hAnsi="Times New Roman" w:cs="Times New Roman"/>
          <w:sz w:val="24"/>
          <w:szCs w:val="24"/>
        </w:rPr>
        <w:lastRenderedPageBreak/>
        <w:t>développement de plusieurs campus pourrait se concrétiser par l’édification de campus physiques à travers la province, qui sont toutefois coûteux et laborieux à mettre en place. Une nouvelle option s’offre à l’UQTR si l’utilisation des technologies éducatives se popularise et gagne en efficacité. En effet, le développement de centres universitaires de télédiffusion, plus petits, moins coûteux et offrant des cours télédiffusés à partir d’un bâtiment principal, devient possible. Cela obligerait l’UQTR à faire face à 8 compétiteurs et à sélectionner ses régions d’expansion en excluant celles déjà acquises par d’autres universités. Parmi les régions non-exploitées, pensons par exemple à Chaudière-Appalaches et au Centre-du-Québec.</w:t>
      </w:r>
    </w:p>
    <w:p w:rsidR="00C43C95" w:rsidRPr="00C43C95" w:rsidRDefault="00C43C95" w:rsidP="00540A65">
      <w:pPr>
        <w:pStyle w:val="Paragraphedeliste"/>
        <w:numPr>
          <w:ilvl w:val="0"/>
          <w:numId w:val="6"/>
        </w:numPr>
        <w:spacing w:after="200" w:line="360" w:lineRule="auto"/>
        <w:jc w:val="both"/>
        <w:rPr>
          <w:rFonts w:ascii="Times New Roman" w:hAnsi="Times New Roman" w:cs="Times New Roman"/>
          <w:b/>
          <w:sz w:val="24"/>
          <w:szCs w:val="24"/>
        </w:rPr>
      </w:pPr>
      <w:r w:rsidRPr="00C43C95">
        <w:rPr>
          <w:rFonts w:ascii="Times New Roman" w:hAnsi="Times New Roman" w:cs="Times New Roman"/>
          <w:b/>
          <w:sz w:val="24"/>
          <w:szCs w:val="24"/>
        </w:rPr>
        <w:t xml:space="preserve">Développement vertical : </w:t>
      </w:r>
      <w:r w:rsidRPr="00C43C95">
        <w:rPr>
          <w:rFonts w:ascii="Times New Roman" w:hAnsi="Times New Roman" w:cs="Times New Roman"/>
          <w:sz w:val="24"/>
          <w:szCs w:val="24"/>
        </w:rPr>
        <w:t>développer la réputation de l’UQTR et améliorer la valeur offerte de ses programmes pour grimper le classement des meilleures universités canadiennes.</w:t>
      </w:r>
    </w:p>
    <w:p w:rsidR="00C43C95" w:rsidRPr="00A55D21" w:rsidRDefault="00C43C95" w:rsidP="00C43C95">
      <w:pPr>
        <w:spacing w:line="360" w:lineRule="auto"/>
        <w:jc w:val="both"/>
        <w:rPr>
          <w:rFonts w:ascii="Times New Roman" w:hAnsi="Times New Roman" w:cs="Times New Roman"/>
          <w:sz w:val="24"/>
          <w:szCs w:val="24"/>
        </w:rPr>
      </w:pPr>
      <w:r w:rsidRPr="00C43C95">
        <w:rPr>
          <w:rFonts w:ascii="Times New Roman" w:hAnsi="Times New Roman" w:cs="Times New Roman"/>
          <w:sz w:val="24"/>
          <w:szCs w:val="24"/>
        </w:rPr>
        <w:t xml:space="preserve">Cette stratégie permettrait à l’UQTR d’offrir des services éducatifs distinctifs cde l’UQAT en visant un prestige augmenté. De cette façon, l’UQTR atteindrait </w:t>
      </w:r>
      <w:r w:rsidR="003520A0">
        <w:rPr>
          <w:rFonts w:ascii="Times New Roman" w:hAnsi="Times New Roman" w:cs="Times New Roman"/>
          <w:sz w:val="24"/>
          <w:szCs w:val="24"/>
        </w:rPr>
        <w:t>en quelque sorte</w:t>
      </w:r>
      <w:r w:rsidRPr="00C43C95">
        <w:rPr>
          <w:rFonts w:ascii="Times New Roman" w:hAnsi="Times New Roman" w:cs="Times New Roman"/>
          <w:sz w:val="24"/>
          <w:szCs w:val="24"/>
        </w:rPr>
        <w:t xml:space="preserve"> le «meilleur des deux mondes», alors qu’elle proposerait une offre pourvue d’un plus haut rang d’excellence, et donc d’une meilleure réputation, tout en assurant une présence significative à travers la province québécoise. Toutefois, la persistance des coupures budgétaires au sein des universités </w:t>
      </w:r>
      <w:r w:rsidR="003520A0">
        <w:rPr>
          <w:rFonts w:ascii="Times New Roman" w:hAnsi="Times New Roman" w:cs="Times New Roman"/>
          <w:sz w:val="24"/>
          <w:szCs w:val="24"/>
        </w:rPr>
        <w:t>pourrait</w:t>
      </w:r>
      <w:r w:rsidRPr="00C43C95">
        <w:rPr>
          <w:rFonts w:ascii="Times New Roman" w:hAnsi="Times New Roman" w:cs="Times New Roman"/>
          <w:sz w:val="24"/>
          <w:szCs w:val="24"/>
        </w:rPr>
        <w:t xml:space="preserve"> nuire à un tel développement. Cela obligerait aussi l’université à faire face à 12 compétiteurs se partageant les rangs 50 à 6 du classement et dont certains, comme McGill et HEC, connaissent déjà une </w:t>
      </w:r>
      <w:r w:rsidR="00A55D21">
        <w:rPr>
          <w:rFonts w:ascii="Times New Roman" w:hAnsi="Times New Roman" w:cs="Times New Roman"/>
          <w:sz w:val="24"/>
          <w:szCs w:val="24"/>
        </w:rPr>
        <w:t>grande renommée</w:t>
      </w:r>
    </w:p>
    <w:p w:rsidR="003A4200" w:rsidRDefault="003A4200">
      <w:r>
        <w:br w:type="page"/>
      </w:r>
    </w:p>
    <w:p w:rsidR="00E13C97" w:rsidRPr="00A55D21" w:rsidRDefault="00EE58D6" w:rsidP="00A55D21">
      <w:pPr>
        <w:rPr>
          <w:rStyle w:val="Titre4Car"/>
          <w:rFonts w:ascii="Times New Roman" w:eastAsiaTheme="minorHAnsi" w:hAnsi="Times New Roman" w:cs="Times New Roman"/>
          <w:bCs w:val="0"/>
          <w:i w:val="0"/>
          <w:iCs w:val="0"/>
          <w:color w:val="auto"/>
          <w:sz w:val="24"/>
          <w:szCs w:val="24"/>
        </w:rPr>
      </w:pPr>
      <w:bookmarkStart w:id="17" w:name="_Toc417486230"/>
      <w:r>
        <w:rPr>
          <w:rStyle w:val="Titre4Car"/>
        </w:rPr>
        <w:lastRenderedPageBreak/>
        <w:t>2</w:t>
      </w:r>
      <w:r w:rsidR="00BB6046">
        <w:rPr>
          <w:rStyle w:val="Titre4Car"/>
        </w:rPr>
        <w:t xml:space="preserve">.3.2 </w:t>
      </w:r>
      <w:r w:rsidR="001756D5" w:rsidRPr="00BB6046">
        <w:rPr>
          <w:rStyle w:val="Titre4Car"/>
        </w:rPr>
        <w:t>Approche océan bleu</w:t>
      </w:r>
      <w:bookmarkEnd w:id="17"/>
      <w:r w:rsidR="001756D5" w:rsidRPr="00BB6046">
        <w:rPr>
          <w:rStyle w:val="Titre4Car"/>
        </w:rPr>
        <w:t xml:space="preserve"> </w:t>
      </w:r>
    </w:p>
    <w:p w:rsidR="001756D5" w:rsidRPr="00E13C97" w:rsidRDefault="00E13C97" w:rsidP="00BB6046">
      <w:pPr>
        <w:pStyle w:val="Paragraphedeliste"/>
        <w:spacing w:line="360" w:lineRule="auto"/>
        <w:rPr>
          <w:rFonts w:ascii="Times New Roman" w:hAnsi="Times New Roman" w:cs="Times New Roman"/>
          <w:i/>
          <w:color w:val="00703C"/>
          <w:sz w:val="24"/>
          <w:szCs w:val="24"/>
        </w:rPr>
      </w:pPr>
      <w:r w:rsidRPr="00E13C97">
        <w:rPr>
          <w:rFonts w:ascii="Times New Roman" w:hAnsi="Times New Roman" w:cs="Times New Roman"/>
          <w:i/>
          <w:color w:val="00703C"/>
          <w:sz w:val="24"/>
          <w:szCs w:val="24"/>
        </w:rPr>
        <w:t>M</w:t>
      </w:r>
      <w:r w:rsidR="001756D5" w:rsidRPr="00E13C97">
        <w:rPr>
          <w:rFonts w:ascii="Times New Roman" w:hAnsi="Times New Roman" w:cs="Times New Roman"/>
          <w:i/>
          <w:color w:val="00703C"/>
          <w:sz w:val="24"/>
          <w:szCs w:val="24"/>
        </w:rPr>
        <w:t>éthodologie de travail et de compilation des données</w:t>
      </w:r>
    </w:p>
    <w:p w:rsidR="001756D5" w:rsidRPr="001756D5" w:rsidRDefault="001756D5" w:rsidP="001756D5">
      <w:pPr>
        <w:spacing w:line="360" w:lineRule="auto"/>
        <w:jc w:val="both"/>
        <w:rPr>
          <w:rFonts w:ascii="Times New Roman" w:hAnsi="Times New Roman" w:cs="Times New Roman"/>
          <w:sz w:val="24"/>
          <w:szCs w:val="24"/>
        </w:rPr>
      </w:pPr>
      <w:r w:rsidRPr="001756D5">
        <w:rPr>
          <w:rFonts w:ascii="Times New Roman" w:hAnsi="Times New Roman" w:cs="Times New Roman"/>
          <w:sz w:val="24"/>
          <w:szCs w:val="24"/>
        </w:rPr>
        <w:t>Pour l’ensemble des 141 étudiants provenant de 43 universités réparties à travers le monde, la méthodologie suivante a été appliquée pour bâtir l’approche océan bleu.</w:t>
      </w:r>
    </w:p>
    <w:p w:rsidR="001756D5" w:rsidRPr="001756D5" w:rsidRDefault="001756D5" w:rsidP="00540A65">
      <w:pPr>
        <w:pStyle w:val="Paragraphedeliste"/>
        <w:numPr>
          <w:ilvl w:val="0"/>
          <w:numId w:val="7"/>
        </w:numPr>
        <w:spacing w:after="200" w:line="360" w:lineRule="auto"/>
        <w:jc w:val="both"/>
        <w:rPr>
          <w:rFonts w:ascii="Times New Roman" w:hAnsi="Times New Roman" w:cs="Times New Roman"/>
          <w:sz w:val="24"/>
          <w:szCs w:val="24"/>
        </w:rPr>
      </w:pPr>
      <w:r w:rsidRPr="001756D5">
        <w:rPr>
          <w:rFonts w:ascii="Times New Roman" w:hAnsi="Times New Roman" w:cs="Times New Roman"/>
          <w:sz w:val="24"/>
          <w:szCs w:val="24"/>
        </w:rPr>
        <w:t>Compilation des réponses à la question «Parmi ces choix, quelle caractéristique a été la plus importante lors du choix de votre université?».</w:t>
      </w:r>
    </w:p>
    <w:p w:rsidR="001756D5" w:rsidRPr="001756D5" w:rsidRDefault="001756D5" w:rsidP="00540A65">
      <w:pPr>
        <w:pStyle w:val="Paragraphedeliste"/>
        <w:numPr>
          <w:ilvl w:val="0"/>
          <w:numId w:val="7"/>
        </w:numPr>
        <w:spacing w:after="200" w:line="360" w:lineRule="auto"/>
        <w:rPr>
          <w:rFonts w:ascii="Times New Roman" w:hAnsi="Times New Roman" w:cs="Times New Roman"/>
          <w:sz w:val="24"/>
          <w:szCs w:val="24"/>
        </w:rPr>
      </w:pPr>
      <w:r w:rsidRPr="001756D5">
        <w:rPr>
          <w:rFonts w:ascii="Times New Roman" w:hAnsi="Times New Roman" w:cs="Times New Roman"/>
          <w:sz w:val="24"/>
          <w:szCs w:val="24"/>
        </w:rPr>
        <w:t>Classification des réponses en cinq catégories</w:t>
      </w:r>
      <w:r w:rsidRPr="001756D5">
        <w:rPr>
          <w:rStyle w:val="Appelnotedebasdep"/>
          <w:rFonts w:ascii="Times New Roman" w:hAnsi="Times New Roman" w:cs="Times New Roman"/>
          <w:sz w:val="24"/>
          <w:szCs w:val="24"/>
        </w:rPr>
        <w:footnoteReference w:id="51"/>
      </w:r>
      <w:r w:rsidRPr="001756D5">
        <w:rPr>
          <w:rFonts w:ascii="Times New Roman" w:hAnsi="Times New Roman" w:cs="Times New Roman"/>
          <w:sz w:val="24"/>
          <w:szCs w:val="24"/>
        </w:rPr>
        <w:t> :</w:t>
      </w:r>
    </w:p>
    <w:tbl>
      <w:tblPr>
        <w:tblW w:w="6451" w:type="dxa"/>
        <w:tblInd w:w="1095" w:type="dxa"/>
        <w:tblCellMar>
          <w:left w:w="70" w:type="dxa"/>
          <w:right w:w="70" w:type="dxa"/>
        </w:tblCellMar>
        <w:tblLook w:val="04A0"/>
      </w:tblPr>
      <w:tblGrid>
        <w:gridCol w:w="6451"/>
      </w:tblGrid>
      <w:tr w:rsidR="001756D5" w:rsidRPr="001756D5" w:rsidTr="00CE4EB5">
        <w:trPr>
          <w:trHeight w:val="422"/>
        </w:trPr>
        <w:tc>
          <w:tcPr>
            <w:tcW w:w="6451" w:type="dxa"/>
            <w:tcBorders>
              <w:top w:val="nil"/>
              <w:left w:val="nil"/>
              <w:bottom w:val="nil"/>
              <w:right w:val="nil"/>
            </w:tcBorders>
            <w:shd w:val="clear" w:color="auto" w:fill="auto"/>
            <w:vAlign w:val="center"/>
            <w:hideMark/>
          </w:tcPr>
          <w:p w:rsidR="001756D5" w:rsidRPr="001756D5" w:rsidRDefault="001756D5" w:rsidP="00540A65">
            <w:pPr>
              <w:pStyle w:val="Paragraphedeliste"/>
              <w:numPr>
                <w:ilvl w:val="0"/>
                <w:numId w:val="8"/>
              </w:numPr>
              <w:spacing w:after="0" w:line="360" w:lineRule="auto"/>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Installations sportives</w:t>
            </w:r>
          </w:p>
        </w:tc>
      </w:tr>
      <w:tr w:rsidR="001756D5" w:rsidRPr="001756D5" w:rsidTr="00CE4EB5">
        <w:trPr>
          <w:trHeight w:val="422"/>
        </w:trPr>
        <w:tc>
          <w:tcPr>
            <w:tcW w:w="6451" w:type="dxa"/>
            <w:tcBorders>
              <w:top w:val="nil"/>
              <w:left w:val="nil"/>
              <w:bottom w:val="nil"/>
              <w:right w:val="nil"/>
            </w:tcBorders>
            <w:shd w:val="clear" w:color="auto" w:fill="auto"/>
            <w:vAlign w:val="center"/>
            <w:hideMark/>
          </w:tcPr>
          <w:p w:rsidR="001756D5" w:rsidRPr="001756D5" w:rsidRDefault="001756D5" w:rsidP="00540A65">
            <w:pPr>
              <w:pStyle w:val="Paragraphedeliste"/>
              <w:numPr>
                <w:ilvl w:val="0"/>
                <w:numId w:val="8"/>
              </w:numPr>
              <w:spacing w:after="0" w:line="360" w:lineRule="auto"/>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Réputation de la vie étudiante</w:t>
            </w:r>
          </w:p>
        </w:tc>
      </w:tr>
      <w:tr w:rsidR="001756D5" w:rsidRPr="001756D5" w:rsidTr="00CE4EB5">
        <w:trPr>
          <w:trHeight w:val="422"/>
        </w:trPr>
        <w:tc>
          <w:tcPr>
            <w:tcW w:w="6451" w:type="dxa"/>
            <w:tcBorders>
              <w:top w:val="nil"/>
              <w:left w:val="nil"/>
              <w:bottom w:val="nil"/>
              <w:right w:val="nil"/>
            </w:tcBorders>
            <w:shd w:val="clear" w:color="auto" w:fill="auto"/>
            <w:vAlign w:val="center"/>
            <w:hideMark/>
          </w:tcPr>
          <w:p w:rsidR="001756D5" w:rsidRPr="001756D5" w:rsidRDefault="001756D5" w:rsidP="00540A65">
            <w:pPr>
              <w:pStyle w:val="Paragraphedeliste"/>
              <w:numPr>
                <w:ilvl w:val="0"/>
                <w:numId w:val="8"/>
              </w:numPr>
              <w:spacing w:after="0" w:line="360" w:lineRule="auto"/>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Existence d’un programme d’enseignement spécifique pas présent dans d’autres universités à proximité</w:t>
            </w:r>
          </w:p>
        </w:tc>
      </w:tr>
      <w:tr w:rsidR="001756D5" w:rsidRPr="001756D5" w:rsidTr="00CE4EB5">
        <w:trPr>
          <w:trHeight w:val="422"/>
        </w:trPr>
        <w:tc>
          <w:tcPr>
            <w:tcW w:w="6451" w:type="dxa"/>
            <w:tcBorders>
              <w:top w:val="nil"/>
              <w:left w:val="nil"/>
              <w:bottom w:val="nil"/>
              <w:right w:val="nil"/>
            </w:tcBorders>
            <w:shd w:val="clear" w:color="auto" w:fill="auto"/>
            <w:vAlign w:val="center"/>
            <w:hideMark/>
          </w:tcPr>
          <w:p w:rsidR="001756D5" w:rsidRPr="001756D5" w:rsidRDefault="001756D5" w:rsidP="00540A65">
            <w:pPr>
              <w:pStyle w:val="Paragraphedeliste"/>
              <w:numPr>
                <w:ilvl w:val="0"/>
                <w:numId w:val="8"/>
              </w:numPr>
              <w:spacing w:after="0" w:line="360" w:lineRule="auto"/>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Réputation du programme choisi et des enseignants</w:t>
            </w:r>
          </w:p>
        </w:tc>
      </w:tr>
      <w:tr w:rsidR="001756D5" w:rsidRPr="001756D5" w:rsidTr="00CE4EB5">
        <w:trPr>
          <w:trHeight w:val="422"/>
        </w:trPr>
        <w:tc>
          <w:tcPr>
            <w:tcW w:w="6451" w:type="dxa"/>
            <w:tcBorders>
              <w:top w:val="nil"/>
              <w:left w:val="nil"/>
              <w:bottom w:val="nil"/>
              <w:right w:val="nil"/>
            </w:tcBorders>
            <w:shd w:val="clear" w:color="auto" w:fill="auto"/>
            <w:vAlign w:val="center"/>
            <w:hideMark/>
          </w:tcPr>
          <w:p w:rsidR="001756D5" w:rsidRPr="001756D5" w:rsidRDefault="001756D5" w:rsidP="00540A65">
            <w:pPr>
              <w:pStyle w:val="Paragraphedeliste"/>
              <w:numPr>
                <w:ilvl w:val="0"/>
                <w:numId w:val="8"/>
              </w:numPr>
              <w:spacing w:after="0" w:line="360" w:lineRule="auto"/>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Proximité de l’établissement</w:t>
            </w:r>
          </w:p>
        </w:tc>
      </w:tr>
    </w:tbl>
    <w:p w:rsidR="001756D5" w:rsidRPr="001756D5" w:rsidRDefault="001756D5" w:rsidP="00540A65">
      <w:pPr>
        <w:pStyle w:val="Paragraphedeliste"/>
        <w:numPr>
          <w:ilvl w:val="0"/>
          <w:numId w:val="7"/>
        </w:numPr>
        <w:spacing w:after="200" w:line="360" w:lineRule="auto"/>
        <w:jc w:val="both"/>
        <w:rPr>
          <w:rFonts w:ascii="Times New Roman" w:hAnsi="Times New Roman" w:cs="Times New Roman"/>
          <w:sz w:val="24"/>
          <w:szCs w:val="24"/>
        </w:rPr>
      </w:pPr>
      <w:r w:rsidRPr="001756D5">
        <w:rPr>
          <w:rFonts w:ascii="Times New Roman" w:hAnsi="Times New Roman" w:cs="Times New Roman"/>
          <w:sz w:val="24"/>
          <w:szCs w:val="24"/>
        </w:rPr>
        <w:t xml:space="preserve">Compilation des résultats pour chaque catégorie. Un total </w:t>
      </w:r>
      <w:r w:rsidRPr="00893AFC">
        <w:rPr>
          <w:rFonts w:ascii="Times New Roman" w:hAnsi="Times New Roman" w:cs="Times New Roman"/>
          <w:sz w:val="24"/>
          <w:szCs w:val="24"/>
        </w:rPr>
        <w:t xml:space="preserve">de </w:t>
      </w:r>
      <w:r w:rsidRPr="00893AFC">
        <w:rPr>
          <w:rFonts w:ascii="Times New Roman" w:hAnsi="Times New Roman" w:cs="Times New Roman"/>
          <w:sz w:val="24"/>
          <w:szCs w:val="24"/>
          <w:u w:val="single"/>
        </w:rPr>
        <w:t>14 réponses</w:t>
      </w:r>
      <w:r w:rsidRPr="001756D5">
        <w:rPr>
          <w:rFonts w:ascii="Times New Roman" w:hAnsi="Times New Roman" w:cs="Times New Roman"/>
          <w:sz w:val="24"/>
          <w:szCs w:val="24"/>
        </w:rPr>
        <w:t xml:space="preserve"> a été exclu, puisqu’elles s’inscrivent dans la catégorie «autres</w:t>
      </w:r>
      <w:r w:rsidR="003520A0">
        <w:rPr>
          <w:rFonts w:ascii="Times New Roman" w:hAnsi="Times New Roman" w:cs="Times New Roman"/>
          <w:sz w:val="24"/>
          <w:szCs w:val="24"/>
        </w:rPr>
        <w:t>» et elles</w:t>
      </w:r>
      <w:r w:rsidRPr="001756D5">
        <w:rPr>
          <w:rFonts w:ascii="Times New Roman" w:hAnsi="Times New Roman" w:cs="Times New Roman"/>
          <w:sz w:val="24"/>
          <w:szCs w:val="24"/>
        </w:rPr>
        <w:t xml:space="preserve"> offre</w:t>
      </w:r>
      <w:r w:rsidR="003520A0">
        <w:rPr>
          <w:rFonts w:ascii="Times New Roman" w:hAnsi="Times New Roman" w:cs="Times New Roman"/>
          <w:sz w:val="24"/>
          <w:szCs w:val="24"/>
        </w:rPr>
        <w:t>nt</w:t>
      </w:r>
      <w:r w:rsidRPr="001756D5">
        <w:rPr>
          <w:rFonts w:ascii="Times New Roman" w:hAnsi="Times New Roman" w:cs="Times New Roman"/>
          <w:sz w:val="24"/>
          <w:szCs w:val="24"/>
        </w:rPr>
        <w:t xml:space="preserve"> une trop grande diversité de réponse pour être </w:t>
      </w:r>
      <w:r w:rsidR="003520A0">
        <w:rPr>
          <w:rFonts w:ascii="Times New Roman" w:hAnsi="Times New Roman" w:cs="Times New Roman"/>
          <w:sz w:val="24"/>
          <w:szCs w:val="24"/>
        </w:rPr>
        <w:t>compilées</w:t>
      </w:r>
      <w:r w:rsidRPr="001756D5">
        <w:rPr>
          <w:rFonts w:ascii="Times New Roman" w:hAnsi="Times New Roman" w:cs="Times New Roman"/>
          <w:sz w:val="24"/>
          <w:szCs w:val="24"/>
        </w:rPr>
        <w:t xml:space="preserve"> dans une catégorie déterminée.</w:t>
      </w:r>
    </w:p>
    <w:tbl>
      <w:tblPr>
        <w:tblW w:w="6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064"/>
        <w:gridCol w:w="2312"/>
      </w:tblGrid>
      <w:tr w:rsidR="001756D5" w:rsidRPr="001756D5" w:rsidTr="00893AFC">
        <w:trPr>
          <w:trHeight w:val="422"/>
          <w:jc w:val="center"/>
        </w:trPr>
        <w:tc>
          <w:tcPr>
            <w:tcW w:w="4064" w:type="dxa"/>
            <w:shd w:val="clear" w:color="auto" w:fill="00703C"/>
            <w:vAlign w:val="center"/>
          </w:tcPr>
          <w:p w:rsidR="001756D5" w:rsidRPr="00893AFC" w:rsidRDefault="001756D5" w:rsidP="001756D5">
            <w:pPr>
              <w:spacing w:after="0" w:line="360" w:lineRule="auto"/>
              <w:jc w:val="center"/>
              <w:rPr>
                <w:rFonts w:ascii="Times New Roman" w:eastAsia="Times New Roman" w:hAnsi="Times New Roman" w:cs="Times New Roman"/>
                <w:b/>
                <w:color w:val="FFFFFF" w:themeColor="background1"/>
                <w:sz w:val="24"/>
                <w:szCs w:val="24"/>
                <w:lang w:eastAsia="fr-CA"/>
              </w:rPr>
            </w:pPr>
            <w:r w:rsidRPr="00893AFC">
              <w:rPr>
                <w:rFonts w:ascii="Times New Roman" w:eastAsia="Times New Roman" w:hAnsi="Times New Roman" w:cs="Times New Roman"/>
                <w:b/>
                <w:color w:val="FFFFFF" w:themeColor="background1"/>
                <w:sz w:val="24"/>
                <w:szCs w:val="24"/>
                <w:lang w:eastAsia="fr-CA"/>
              </w:rPr>
              <w:t>Catégorie</w:t>
            </w:r>
          </w:p>
        </w:tc>
        <w:tc>
          <w:tcPr>
            <w:tcW w:w="2312" w:type="dxa"/>
            <w:shd w:val="clear" w:color="auto" w:fill="00703C"/>
          </w:tcPr>
          <w:p w:rsidR="001756D5" w:rsidRPr="00893AFC" w:rsidRDefault="001756D5" w:rsidP="001756D5">
            <w:pPr>
              <w:spacing w:after="0" w:line="360" w:lineRule="auto"/>
              <w:jc w:val="center"/>
              <w:rPr>
                <w:rFonts w:ascii="Times New Roman" w:eastAsia="Times New Roman" w:hAnsi="Times New Roman" w:cs="Times New Roman"/>
                <w:b/>
                <w:color w:val="FFFFFF" w:themeColor="background1"/>
                <w:sz w:val="24"/>
                <w:szCs w:val="24"/>
                <w:lang w:eastAsia="fr-CA"/>
              </w:rPr>
            </w:pPr>
            <w:r w:rsidRPr="00893AFC">
              <w:rPr>
                <w:rFonts w:ascii="Times New Roman" w:eastAsia="Times New Roman" w:hAnsi="Times New Roman" w:cs="Times New Roman"/>
                <w:b/>
                <w:color w:val="FFFFFF" w:themeColor="background1"/>
                <w:sz w:val="24"/>
                <w:szCs w:val="24"/>
                <w:lang w:eastAsia="fr-CA"/>
              </w:rPr>
              <w:t>Résultat (</w:t>
            </w:r>
            <w:r w:rsidRPr="00893AFC">
              <w:rPr>
                <w:rFonts w:ascii="Times New Roman" w:eastAsia="Times New Roman" w:hAnsi="Times New Roman" w:cs="Times New Roman"/>
                <w:b/>
                <w:i/>
                <w:color w:val="FFFFFF" w:themeColor="background1"/>
                <w:sz w:val="24"/>
                <w:szCs w:val="24"/>
                <w:lang w:eastAsia="fr-CA"/>
              </w:rPr>
              <w:t>x</w:t>
            </w:r>
            <w:r w:rsidRPr="00893AFC">
              <w:rPr>
                <w:rFonts w:ascii="Times New Roman" w:eastAsia="Times New Roman" w:hAnsi="Times New Roman" w:cs="Times New Roman"/>
                <w:b/>
                <w:color w:val="FFFFFF" w:themeColor="background1"/>
                <w:sz w:val="24"/>
                <w:szCs w:val="24"/>
                <w:lang w:eastAsia="fr-CA"/>
              </w:rPr>
              <w:t>/126)</w:t>
            </w:r>
          </w:p>
        </w:tc>
      </w:tr>
      <w:tr w:rsidR="001756D5" w:rsidRPr="001756D5" w:rsidTr="001756D5">
        <w:trPr>
          <w:trHeight w:val="422"/>
          <w:jc w:val="center"/>
        </w:trPr>
        <w:tc>
          <w:tcPr>
            <w:tcW w:w="4064" w:type="dxa"/>
            <w:shd w:val="clear" w:color="auto" w:fill="auto"/>
            <w:vAlign w:val="center"/>
            <w:hideMark/>
          </w:tcPr>
          <w:p w:rsidR="001756D5" w:rsidRPr="001756D5" w:rsidRDefault="001756D5" w:rsidP="001756D5">
            <w:pPr>
              <w:spacing w:after="0" w:line="240" w:lineRule="auto"/>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Installations sportives</w:t>
            </w:r>
          </w:p>
        </w:tc>
        <w:tc>
          <w:tcPr>
            <w:tcW w:w="2312" w:type="dxa"/>
          </w:tcPr>
          <w:p w:rsidR="001756D5" w:rsidRPr="001756D5" w:rsidRDefault="001756D5" w:rsidP="001756D5">
            <w:pPr>
              <w:spacing w:after="0" w:line="24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4</w:t>
            </w:r>
          </w:p>
        </w:tc>
      </w:tr>
      <w:tr w:rsidR="001756D5" w:rsidRPr="001756D5" w:rsidTr="001756D5">
        <w:trPr>
          <w:trHeight w:val="422"/>
          <w:jc w:val="center"/>
        </w:trPr>
        <w:tc>
          <w:tcPr>
            <w:tcW w:w="4064" w:type="dxa"/>
            <w:shd w:val="clear" w:color="auto" w:fill="auto"/>
            <w:vAlign w:val="center"/>
            <w:hideMark/>
          </w:tcPr>
          <w:p w:rsidR="001756D5" w:rsidRPr="001756D5" w:rsidRDefault="001756D5" w:rsidP="001756D5">
            <w:pPr>
              <w:spacing w:after="0" w:line="240" w:lineRule="auto"/>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Réputation de la vie étudiante</w:t>
            </w:r>
          </w:p>
        </w:tc>
        <w:tc>
          <w:tcPr>
            <w:tcW w:w="2312" w:type="dxa"/>
          </w:tcPr>
          <w:p w:rsidR="001756D5" w:rsidRPr="001756D5" w:rsidRDefault="001756D5" w:rsidP="001756D5">
            <w:pPr>
              <w:spacing w:after="0" w:line="24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8</w:t>
            </w:r>
          </w:p>
        </w:tc>
      </w:tr>
      <w:tr w:rsidR="001756D5" w:rsidRPr="001756D5" w:rsidTr="001756D5">
        <w:trPr>
          <w:trHeight w:val="422"/>
          <w:jc w:val="center"/>
        </w:trPr>
        <w:tc>
          <w:tcPr>
            <w:tcW w:w="4064" w:type="dxa"/>
            <w:shd w:val="clear" w:color="auto" w:fill="auto"/>
            <w:vAlign w:val="center"/>
            <w:hideMark/>
          </w:tcPr>
          <w:p w:rsidR="001756D5" w:rsidRPr="001756D5" w:rsidRDefault="001756D5" w:rsidP="001756D5">
            <w:pPr>
              <w:spacing w:after="0" w:line="240" w:lineRule="auto"/>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Existence d’un programme d’enseignement spécifique non présent dans d’autres universités à proximité</w:t>
            </w:r>
          </w:p>
        </w:tc>
        <w:tc>
          <w:tcPr>
            <w:tcW w:w="2312" w:type="dxa"/>
          </w:tcPr>
          <w:p w:rsidR="001756D5" w:rsidRPr="001756D5" w:rsidRDefault="001756D5" w:rsidP="001756D5">
            <w:pPr>
              <w:spacing w:after="0" w:line="24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29</w:t>
            </w:r>
          </w:p>
        </w:tc>
      </w:tr>
      <w:tr w:rsidR="001756D5" w:rsidRPr="001756D5" w:rsidTr="001756D5">
        <w:trPr>
          <w:trHeight w:val="422"/>
          <w:jc w:val="center"/>
        </w:trPr>
        <w:tc>
          <w:tcPr>
            <w:tcW w:w="4064" w:type="dxa"/>
            <w:shd w:val="clear" w:color="auto" w:fill="auto"/>
            <w:vAlign w:val="center"/>
            <w:hideMark/>
          </w:tcPr>
          <w:p w:rsidR="001756D5" w:rsidRPr="001756D5" w:rsidRDefault="001756D5" w:rsidP="001756D5">
            <w:pPr>
              <w:spacing w:after="0" w:line="240" w:lineRule="auto"/>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Réputation du programme choisi et des enseignants</w:t>
            </w:r>
          </w:p>
        </w:tc>
        <w:tc>
          <w:tcPr>
            <w:tcW w:w="2312" w:type="dxa"/>
          </w:tcPr>
          <w:p w:rsidR="001756D5" w:rsidRPr="001756D5" w:rsidRDefault="001756D5" w:rsidP="001756D5">
            <w:pPr>
              <w:spacing w:after="0" w:line="24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36</w:t>
            </w:r>
          </w:p>
        </w:tc>
      </w:tr>
      <w:tr w:rsidR="001756D5" w:rsidRPr="001756D5" w:rsidTr="001756D5">
        <w:trPr>
          <w:trHeight w:val="422"/>
          <w:jc w:val="center"/>
        </w:trPr>
        <w:tc>
          <w:tcPr>
            <w:tcW w:w="4064" w:type="dxa"/>
            <w:shd w:val="clear" w:color="auto" w:fill="auto"/>
            <w:vAlign w:val="center"/>
            <w:hideMark/>
          </w:tcPr>
          <w:p w:rsidR="001756D5" w:rsidRPr="001756D5" w:rsidRDefault="001756D5" w:rsidP="001756D5">
            <w:pPr>
              <w:spacing w:after="0" w:line="240" w:lineRule="auto"/>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Proximité de l’établissement</w:t>
            </w:r>
          </w:p>
        </w:tc>
        <w:tc>
          <w:tcPr>
            <w:tcW w:w="2312" w:type="dxa"/>
          </w:tcPr>
          <w:p w:rsidR="001756D5" w:rsidRPr="001756D5" w:rsidRDefault="001756D5" w:rsidP="001756D5">
            <w:pPr>
              <w:spacing w:after="0" w:line="24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49</w:t>
            </w:r>
          </w:p>
        </w:tc>
      </w:tr>
      <w:tr w:rsidR="001756D5" w:rsidRPr="001756D5" w:rsidTr="00893AFC">
        <w:trPr>
          <w:trHeight w:val="422"/>
          <w:jc w:val="center"/>
        </w:trPr>
        <w:tc>
          <w:tcPr>
            <w:tcW w:w="4064" w:type="dxa"/>
            <w:shd w:val="clear" w:color="auto" w:fill="C4960C"/>
            <w:vAlign w:val="center"/>
          </w:tcPr>
          <w:p w:rsidR="001756D5" w:rsidRPr="001756D5" w:rsidRDefault="001756D5" w:rsidP="001756D5">
            <w:pPr>
              <w:spacing w:after="0" w:line="24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TOTAL</w:t>
            </w:r>
          </w:p>
        </w:tc>
        <w:tc>
          <w:tcPr>
            <w:tcW w:w="2312" w:type="dxa"/>
            <w:shd w:val="clear" w:color="auto" w:fill="C4960C"/>
          </w:tcPr>
          <w:p w:rsidR="001756D5" w:rsidRPr="001756D5" w:rsidRDefault="001756D5" w:rsidP="001756D5">
            <w:pPr>
              <w:spacing w:after="0" w:line="24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126 réponses</w:t>
            </w:r>
          </w:p>
          <w:p w:rsidR="001756D5" w:rsidRPr="001756D5" w:rsidRDefault="001756D5" w:rsidP="001756D5">
            <w:pPr>
              <w:spacing w:after="0" w:line="24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(sur 141 réponses initiales)</w:t>
            </w:r>
          </w:p>
        </w:tc>
      </w:tr>
    </w:tbl>
    <w:p w:rsidR="001756D5" w:rsidRPr="001756D5" w:rsidRDefault="001756D5" w:rsidP="00540A65">
      <w:pPr>
        <w:pStyle w:val="Paragraphedeliste"/>
        <w:numPr>
          <w:ilvl w:val="0"/>
          <w:numId w:val="7"/>
        </w:numPr>
        <w:spacing w:after="200" w:line="360" w:lineRule="auto"/>
        <w:jc w:val="both"/>
        <w:rPr>
          <w:rFonts w:ascii="Times New Roman" w:hAnsi="Times New Roman" w:cs="Times New Roman"/>
          <w:sz w:val="24"/>
          <w:szCs w:val="24"/>
        </w:rPr>
      </w:pPr>
      <w:r w:rsidRPr="001756D5">
        <w:rPr>
          <w:rFonts w:ascii="Times New Roman" w:hAnsi="Times New Roman" w:cs="Times New Roman"/>
          <w:sz w:val="24"/>
          <w:szCs w:val="24"/>
        </w:rPr>
        <w:lastRenderedPageBreak/>
        <w:t>Ajustement des résultats pour former une pondération sur 100 points. Chaque catégorie est pondérée sur un total de 100 points selon son importance pour les étudiants interrogés. La formule suivante a été utilisée pour ajuster les résultats, soit une règle de trois :</w:t>
      </w:r>
    </w:p>
    <w:p w:rsidR="001756D5" w:rsidRPr="001756D5" w:rsidRDefault="001756D5" w:rsidP="001756D5">
      <w:pPr>
        <w:pStyle w:val="Paragraphedeliste"/>
        <w:spacing w:line="360" w:lineRule="auto"/>
        <w:rPr>
          <w:rFonts w:ascii="Times New Roman" w:hAnsi="Times New Roman" w:cs="Times New Roman"/>
          <w:sz w:val="24"/>
          <w:szCs w:val="24"/>
        </w:rPr>
      </w:pPr>
    </w:p>
    <w:p w:rsidR="001756D5" w:rsidRPr="001756D5" w:rsidRDefault="00B05C0A" w:rsidP="001756D5">
      <w:pPr>
        <w:pStyle w:val="Paragraphedeliste"/>
        <w:spacing w:line="360" w:lineRule="auto"/>
        <w:rPr>
          <w:rFonts w:ascii="Times New Roman" w:eastAsiaTheme="minorEastAsia" w:hAnsi="Times New Roman" w:cs="Times New Roman"/>
          <w:sz w:val="24"/>
          <w:szCs w:val="24"/>
        </w:rPr>
      </w:pPr>
      <m:oMathPara>
        <m:oMath>
          <m:f>
            <m:fPr>
              <m:ctrlPr>
                <w:rPr>
                  <w:rFonts w:ascii="Cambria Math" w:hAnsi="Times New Roman" w:cs="Times New Roman"/>
                  <w:i/>
                  <w:sz w:val="24"/>
                  <w:szCs w:val="24"/>
                </w:rPr>
              </m:ctrlPr>
            </m:fPr>
            <m:num>
              <m:r>
                <w:rPr>
                  <w:rFonts w:ascii="Cambria Math" w:hAnsi="Cambria Math" w:cs="Times New Roman"/>
                  <w:sz w:val="24"/>
                  <w:szCs w:val="24"/>
                </w:rPr>
                <m:t>x</m:t>
              </m:r>
            </m:num>
            <m:den>
              <m:r>
                <w:rPr>
                  <w:rFonts w:ascii="Cambria Math" w:hAnsi="Times New Roman" w:cs="Times New Roman"/>
                  <w:sz w:val="24"/>
                  <w:szCs w:val="24"/>
                </w:rPr>
                <m:t>126</m:t>
              </m:r>
            </m:den>
          </m:f>
          <m:r>
            <w:rPr>
              <w:rFonts w:ascii="Times New Roman" w:hAnsi="Cambria Math" w:cs="Times New Roman"/>
              <w:sz w:val="24"/>
              <w:szCs w:val="24"/>
            </w:rPr>
            <m:t>*</m:t>
          </m:r>
          <m:r>
            <w:rPr>
              <w:rFonts w:ascii="Cambria Math" w:hAnsi="Times New Roman" w:cs="Times New Roman"/>
              <w:sz w:val="24"/>
              <w:szCs w:val="24"/>
            </w:rPr>
            <m:t>100=</m:t>
          </m:r>
          <m:r>
            <w:rPr>
              <w:rFonts w:ascii="Cambria Math" w:hAnsi="Cambria Math" w:cs="Times New Roman"/>
              <w:sz w:val="24"/>
              <w:szCs w:val="24"/>
            </w:rPr>
            <m:t>r</m:t>
          </m:r>
          <m:r>
            <w:rPr>
              <w:rFonts w:ascii="Cambria Math" w:hAnsi="Times New Roman" w:cs="Times New Roman"/>
              <w:sz w:val="24"/>
              <w:szCs w:val="24"/>
            </w:rPr>
            <m:t>é</m:t>
          </m:r>
          <m:r>
            <w:rPr>
              <w:rFonts w:ascii="Cambria Math" w:hAnsi="Cambria Math" w:cs="Times New Roman"/>
              <w:sz w:val="24"/>
              <w:szCs w:val="24"/>
            </w:rPr>
            <m:t>sultat</m:t>
          </m:r>
          <m:r>
            <w:rPr>
              <w:rFonts w:ascii="Cambria Math" w:hAnsi="Times New Roman" w:cs="Times New Roman"/>
              <w:sz w:val="24"/>
              <w:szCs w:val="24"/>
            </w:rPr>
            <m:t xml:space="preserve"> </m:t>
          </m:r>
          <m:r>
            <w:rPr>
              <w:rFonts w:ascii="Cambria Math" w:hAnsi="Cambria Math" w:cs="Times New Roman"/>
              <w:sz w:val="24"/>
              <w:szCs w:val="24"/>
            </w:rPr>
            <m:t>pond</m:t>
          </m:r>
          <m:r>
            <w:rPr>
              <w:rFonts w:ascii="Cambria Math" w:hAnsi="Times New Roman" w:cs="Times New Roman"/>
              <w:sz w:val="24"/>
              <w:szCs w:val="24"/>
            </w:rPr>
            <m:t>é</m:t>
          </m:r>
          <m:r>
            <w:rPr>
              <w:rFonts w:ascii="Cambria Math" w:hAnsi="Cambria Math" w:cs="Times New Roman"/>
              <w:sz w:val="24"/>
              <w:szCs w:val="24"/>
            </w:rPr>
            <m:t>r</m:t>
          </m:r>
          <m:r>
            <w:rPr>
              <w:rFonts w:ascii="Cambria Math" w:hAnsi="Times New Roman" w:cs="Times New Roman"/>
              <w:sz w:val="24"/>
              <w:szCs w:val="24"/>
            </w:rPr>
            <m:t>é</m:t>
          </m:r>
          <m:r>
            <w:rPr>
              <w:rFonts w:ascii="Cambria Math" w:hAnsi="Times New Roman" w:cs="Times New Roman"/>
              <w:sz w:val="24"/>
              <w:szCs w:val="24"/>
            </w:rPr>
            <m:t xml:space="preserve"> </m:t>
          </m:r>
          <m:r>
            <w:rPr>
              <w:rFonts w:ascii="Cambria Math" w:hAnsi="Cambria Math" w:cs="Times New Roman"/>
              <w:sz w:val="24"/>
              <w:szCs w:val="24"/>
            </w:rPr>
            <m:t>sur</m:t>
          </m:r>
          <m:r>
            <w:rPr>
              <w:rFonts w:ascii="Cambria Math" w:hAnsi="Times New Roman" w:cs="Times New Roman"/>
              <w:sz w:val="24"/>
              <w:szCs w:val="24"/>
            </w:rPr>
            <m:t xml:space="preserve"> 100 </m:t>
          </m:r>
          <m:r>
            <w:rPr>
              <w:rFonts w:ascii="Cambria Math" w:hAnsi="Cambria Math" w:cs="Times New Roman"/>
              <w:sz w:val="24"/>
              <w:szCs w:val="24"/>
            </w:rPr>
            <m:t>points</m:t>
          </m:r>
        </m:oMath>
      </m:oMathPara>
    </w:p>
    <w:p w:rsidR="001756D5" w:rsidRPr="001756D5" w:rsidRDefault="001756D5" w:rsidP="001756D5">
      <w:pPr>
        <w:pStyle w:val="Paragraphedeliste"/>
        <w:spacing w:line="360" w:lineRule="auto"/>
        <w:rPr>
          <w:rFonts w:ascii="Times New Roman" w:eastAsiaTheme="minorEastAsia" w:hAnsi="Times New Roman" w:cs="Times New Roman"/>
          <w:sz w:val="24"/>
          <w:szCs w:val="24"/>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642"/>
        <w:gridCol w:w="1603"/>
        <w:gridCol w:w="1559"/>
        <w:gridCol w:w="2268"/>
      </w:tblGrid>
      <w:tr w:rsidR="001756D5" w:rsidRPr="001756D5" w:rsidTr="00893AFC">
        <w:trPr>
          <w:trHeight w:val="422"/>
        </w:trPr>
        <w:tc>
          <w:tcPr>
            <w:tcW w:w="3642" w:type="dxa"/>
            <w:shd w:val="clear" w:color="auto" w:fill="00703C"/>
            <w:vAlign w:val="center"/>
          </w:tcPr>
          <w:p w:rsidR="001756D5" w:rsidRPr="00893AFC" w:rsidRDefault="001756D5" w:rsidP="00893AFC">
            <w:pPr>
              <w:spacing w:after="0" w:line="240" w:lineRule="auto"/>
              <w:jc w:val="center"/>
              <w:rPr>
                <w:rFonts w:ascii="Times New Roman" w:eastAsia="Times New Roman" w:hAnsi="Times New Roman" w:cs="Times New Roman"/>
                <w:b/>
                <w:color w:val="FFFFFF" w:themeColor="background1"/>
                <w:sz w:val="24"/>
                <w:szCs w:val="24"/>
                <w:lang w:eastAsia="fr-CA"/>
              </w:rPr>
            </w:pPr>
            <w:r w:rsidRPr="00893AFC">
              <w:rPr>
                <w:rFonts w:ascii="Times New Roman" w:eastAsia="Times New Roman" w:hAnsi="Times New Roman" w:cs="Times New Roman"/>
                <w:b/>
                <w:color w:val="FFFFFF" w:themeColor="background1"/>
                <w:sz w:val="24"/>
                <w:szCs w:val="24"/>
                <w:lang w:eastAsia="fr-CA"/>
              </w:rPr>
              <w:t>Catégorie</w:t>
            </w:r>
          </w:p>
        </w:tc>
        <w:tc>
          <w:tcPr>
            <w:tcW w:w="1603" w:type="dxa"/>
            <w:shd w:val="clear" w:color="auto" w:fill="00703C"/>
            <w:vAlign w:val="center"/>
          </w:tcPr>
          <w:p w:rsidR="001756D5" w:rsidRPr="00893AFC" w:rsidRDefault="001756D5" w:rsidP="00893AFC">
            <w:pPr>
              <w:spacing w:after="0" w:line="240" w:lineRule="auto"/>
              <w:jc w:val="center"/>
              <w:rPr>
                <w:rFonts w:ascii="Times New Roman" w:eastAsia="Times New Roman" w:hAnsi="Times New Roman" w:cs="Times New Roman"/>
                <w:b/>
                <w:color w:val="FFFFFF" w:themeColor="background1"/>
                <w:sz w:val="24"/>
                <w:szCs w:val="24"/>
                <w:lang w:eastAsia="fr-CA"/>
              </w:rPr>
            </w:pPr>
            <w:r w:rsidRPr="00893AFC">
              <w:rPr>
                <w:rFonts w:ascii="Times New Roman" w:eastAsia="Times New Roman" w:hAnsi="Times New Roman" w:cs="Times New Roman"/>
                <w:b/>
                <w:color w:val="FFFFFF" w:themeColor="background1"/>
                <w:sz w:val="24"/>
                <w:szCs w:val="24"/>
                <w:lang w:eastAsia="fr-CA"/>
              </w:rPr>
              <w:t>Résultat (</w:t>
            </w:r>
            <w:r w:rsidRPr="00893AFC">
              <w:rPr>
                <w:rFonts w:ascii="Times New Roman" w:eastAsia="Times New Roman" w:hAnsi="Times New Roman" w:cs="Times New Roman"/>
                <w:b/>
                <w:i/>
                <w:color w:val="FFFFFF" w:themeColor="background1"/>
                <w:sz w:val="24"/>
                <w:szCs w:val="24"/>
                <w:lang w:eastAsia="fr-CA"/>
              </w:rPr>
              <w:t>x</w:t>
            </w:r>
            <w:r w:rsidRPr="00893AFC">
              <w:rPr>
                <w:rFonts w:ascii="Times New Roman" w:eastAsia="Times New Roman" w:hAnsi="Times New Roman" w:cs="Times New Roman"/>
                <w:b/>
                <w:color w:val="FFFFFF" w:themeColor="background1"/>
                <w:sz w:val="24"/>
                <w:szCs w:val="24"/>
                <w:lang w:eastAsia="fr-CA"/>
              </w:rPr>
              <w:t>/126)</w:t>
            </w:r>
          </w:p>
        </w:tc>
        <w:tc>
          <w:tcPr>
            <w:tcW w:w="1559" w:type="dxa"/>
            <w:shd w:val="clear" w:color="auto" w:fill="00703C"/>
            <w:vAlign w:val="center"/>
          </w:tcPr>
          <w:p w:rsidR="001756D5" w:rsidRPr="00893AFC" w:rsidRDefault="001756D5" w:rsidP="00893AFC">
            <w:pPr>
              <w:spacing w:after="0" w:line="240" w:lineRule="auto"/>
              <w:jc w:val="center"/>
              <w:rPr>
                <w:rFonts w:ascii="Times New Roman" w:eastAsia="Times New Roman" w:hAnsi="Times New Roman" w:cs="Times New Roman"/>
                <w:b/>
                <w:color w:val="FFFFFF" w:themeColor="background1"/>
                <w:sz w:val="24"/>
                <w:szCs w:val="24"/>
                <w:lang w:eastAsia="fr-CA"/>
              </w:rPr>
            </w:pPr>
            <w:r w:rsidRPr="00893AFC">
              <w:rPr>
                <w:rFonts w:ascii="Times New Roman" w:eastAsia="Times New Roman" w:hAnsi="Times New Roman" w:cs="Times New Roman"/>
                <w:b/>
                <w:color w:val="FFFFFF" w:themeColor="background1"/>
                <w:sz w:val="24"/>
                <w:szCs w:val="24"/>
                <w:lang w:eastAsia="fr-CA"/>
              </w:rPr>
              <w:t>Procédé</w:t>
            </w:r>
          </w:p>
        </w:tc>
        <w:tc>
          <w:tcPr>
            <w:tcW w:w="2268" w:type="dxa"/>
            <w:shd w:val="clear" w:color="auto" w:fill="00703C"/>
            <w:vAlign w:val="center"/>
          </w:tcPr>
          <w:p w:rsidR="001756D5" w:rsidRPr="00893AFC" w:rsidRDefault="001756D5" w:rsidP="00893AFC">
            <w:pPr>
              <w:spacing w:after="0" w:line="240" w:lineRule="auto"/>
              <w:jc w:val="center"/>
              <w:rPr>
                <w:rFonts w:ascii="Times New Roman" w:eastAsia="Times New Roman" w:hAnsi="Times New Roman" w:cs="Times New Roman"/>
                <w:b/>
                <w:color w:val="FFFFFF" w:themeColor="background1"/>
                <w:sz w:val="24"/>
                <w:szCs w:val="24"/>
                <w:lang w:eastAsia="fr-CA"/>
              </w:rPr>
            </w:pPr>
            <w:r w:rsidRPr="00893AFC">
              <w:rPr>
                <w:rFonts w:ascii="Times New Roman" w:eastAsia="Times New Roman" w:hAnsi="Times New Roman" w:cs="Times New Roman"/>
                <w:b/>
                <w:color w:val="FFFFFF" w:themeColor="background1"/>
                <w:sz w:val="24"/>
                <w:szCs w:val="24"/>
                <w:lang w:eastAsia="fr-CA"/>
              </w:rPr>
              <w:t>Pondération ajustée sur 100 points</w:t>
            </w:r>
          </w:p>
        </w:tc>
      </w:tr>
      <w:tr w:rsidR="001756D5" w:rsidRPr="001756D5" w:rsidTr="001756D5">
        <w:trPr>
          <w:trHeight w:val="422"/>
        </w:trPr>
        <w:tc>
          <w:tcPr>
            <w:tcW w:w="3642" w:type="dxa"/>
            <w:shd w:val="clear" w:color="auto" w:fill="auto"/>
            <w:vAlign w:val="center"/>
            <w:hideMark/>
          </w:tcPr>
          <w:p w:rsidR="001756D5" w:rsidRPr="001756D5" w:rsidRDefault="001756D5" w:rsidP="001756D5">
            <w:pPr>
              <w:spacing w:after="0" w:line="240" w:lineRule="auto"/>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Installations sportives</w:t>
            </w:r>
          </w:p>
        </w:tc>
        <w:tc>
          <w:tcPr>
            <w:tcW w:w="1603" w:type="dxa"/>
          </w:tcPr>
          <w:p w:rsidR="001756D5" w:rsidRPr="001756D5" w:rsidRDefault="001756D5" w:rsidP="001756D5">
            <w:pPr>
              <w:spacing w:after="0" w:line="24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4</w:t>
            </w:r>
          </w:p>
        </w:tc>
        <w:tc>
          <w:tcPr>
            <w:tcW w:w="1559" w:type="dxa"/>
          </w:tcPr>
          <w:p w:rsidR="001756D5" w:rsidRPr="001756D5" w:rsidRDefault="00B05C0A" w:rsidP="001756D5">
            <w:pPr>
              <w:spacing w:after="0" w:line="240" w:lineRule="auto"/>
              <w:rPr>
                <w:rFonts w:ascii="Times New Roman" w:eastAsia="Times New Roman" w:hAnsi="Times New Roman" w:cs="Times New Roman"/>
                <w:color w:val="000000"/>
                <w:sz w:val="24"/>
                <w:szCs w:val="24"/>
                <w:lang w:eastAsia="fr-CA"/>
              </w:rPr>
            </w:pPr>
            <m:oMathPara>
              <m:oMath>
                <m:f>
                  <m:fPr>
                    <m:ctrlPr>
                      <w:rPr>
                        <w:rFonts w:ascii="Cambria Math" w:eastAsia="Times New Roman" w:hAnsi="Times New Roman" w:cs="Times New Roman"/>
                        <w:i/>
                        <w:color w:val="000000"/>
                        <w:sz w:val="24"/>
                        <w:szCs w:val="24"/>
                        <w:lang w:eastAsia="fr-CA"/>
                      </w:rPr>
                    </m:ctrlPr>
                  </m:fPr>
                  <m:num>
                    <m:r>
                      <w:rPr>
                        <w:rFonts w:ascii="Cambria Math" w:eastAsia="Times New Roman" w:hAnsi="Times New Roman" w:cs="Times New Roman"/>
                        <w:color w:val="000000"/>
                        <w:sz w:val="24"/>
                        <w:szCs w:val="24"/>
                        <w:lang w:eastAsia="fr-CA"/>
                      </w:rPr>
                      <m:t>4</m:t>
                    </m:r>
                  </m:num>
                  <m:den>
                    <m:r>
                      <w:rPr>
                        <w:rFonts w:ascii="Cambria Math" w:eastAsia="Times New Roman" w:hAnsi="Times New Roman" w:cs="Times New Roman"/>
                        <w:color w:val="000000"/>
                        <w:sz w:val="24"/>
                        <w:szCs w:val="24"/>
                        <w:lang w:eastAsia="fr-CA"/>
                      </w:rPr>
                      <m:t>126</m:t>
                    </m:r>
                  </m:den>
                </m:f>
                <m:r>
                  <w:rPr>
                    <w:rFonts w:ascii="Cambria Math" w:eastAsia="Times New Roman" w:hAnsi="Cambria Math" w:cs="Times New Roman"/>
                    <w:color w:val="000000"/>
                    <w:sz w:val="24"/>
                    <w:szCs w:val="24"/>
                    <w:lang w:eastAsia="fr-CA"/>
                  </w:rPr>
                  <m:t>*</m:t>
                </m:r>
                <m:r>
                  <w:rPr>
                    <w:rFonts w:ascii="Cambria Math" w:eastAsia="Times New Roman" w:hAnsi="Times New Roman" w:cs="Times New Roman"/>
                    <w:color w:val="000000"/>
                    <w:sz w:val="24"/>
                    <w:szCs w:val="24"/>
                    <w:lang w:eastAsia="fr-CA"/>
                  </w:rPr>
                  <m:t>100</m:t>
                </m:r>
              </m:oMath>
            </m:oMathPara>
          </w:p>
          <w:p w:rsidR="001756D5" w:rsidRPr="001756D5" w:rsidRDefault="001756D5" w:rsidP="001756D5">
            <w:pPr>
              <w:spacing w:after="0" w:line="240" w:lineRule="auto"/>
              <w:rPr>
                <w:rFonts w:ascii="Times New Roman" w:eastAsia="Times New Roman" w:hAnsi="Times New Roman" w:cs="Times New Roman"/>
                <w:color w:val="000000"/>
                <w:sz w:val="24"/>
                <w:szCs w:val="24"/>
                <w:lang w:eastAsia="fr-CA"/>
              </w:rPr>
            </w:pPr>
          </w:p>
        </w:tc>
        <w:tc>
          <w:tcPr>
            <w:tcW w:w="2268" w:type="dxa"/>
          </w:tcPr>
          <w:p w:rsidR="001756D5" w:rsidRPr="001756D5" w:rsidRDefault="001756D5" w:rsidP="001756D5">
            <w:pPr>
              <w:spacing w:after="0" w:line="240" w:lineRule="auto"/>
              <w:jc w:val="center"/>
              <w:rPr>
                <w:rFonts w:ascii="Times New Roman" w:eastAsia="Calibri" w:hAnsi="Times New Roman" w:cs="Times New Roman"/>
                <w:color w:val="000000"/>
                <w:sz w:val="24"/>
                <w:szCs w:val="24"/>
                <w:lang w:eastAsia="fr-CA"/>
              </w:rPr>
            </w:pPr>
            <w:r w:rsidRPr="001756D5">
              <w:rPr>
                <w:rFonts w:ascii="Times New Roman" w:eastAsia="Calibri" w:hAnsi="Times New Roman" w:cs="Times New Roman"/>
                <w:color w:val="000000"/>
                <w:sz w:val="24"/>
                <w:szCs w:val="24"/>
                <w:lang w:eastAsia="fr-CA"/>
              </w:rPr>
              <w:t>3</w:t>
            </w:r>
          </w:p>
        </w:tc>
      </w:tr>
      <w:tr w:rsidR="001756D5" w:rsidRPr="001756D5" w:rsidTr="001756D5">
        <w:trPr>
          <w:trHeight w:val="422"/>
        </w:trPr>
        <w:tc>
          <w:tcPr>
            <w:tcW w:w="3642" w:type="dxa"/>
            <w:shd w:val="clear" w:color="auto" w:fill="auto"/>
            <w:vAlign w:val="center"/>
            <w:hideMark/>
          </w:tcPr>
          <w:p w:rsidR="001756D5" w:rsidRPr="001756D5" w:rsidRDefault="001756D5" w:rsidP="001756D5">
            <w:pPr>
              <w:spacing w:after="0" w:line="240" w:lineRule="auto"/>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Réputation de la vie étudiante</w:t>
            </w:r>
          </w:p>
        </w:tc>
        <w:tc>
          <w:tcPr>
            <w:tcW w:w="1603" w:type="dxa"/>
          </w:tcPr>
          <w:p w:rsidR="001756D5" w:rsidRPr="001756D5" w:rsidRDefault="001756D5" w:rsidP="001756D5">
            <w:pPr>
              <w:spacing w:after="0" w:line="24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8</w:t>
            </w:r>
          </w:p>
        </w:tc>
        <w:tc>
          <w:tcPr>
            <w:tcW w:w="1559" w:type="dxa"/>
          </w:tcPr>
          <w:p w:rsidR="001756D5" w:rsidRPr="001756D5" w:rsidRDefault="00B05C0A" w:rsidP="001756D5">
            <w:pPr>
              <w:spacing w:after="0" w:line="240" w:lineRule="auto"/>
              <w:rPr>
                <w:rFonts w:ascii="Times New Roman" w:eastAsia="Times New Roman" w:hAnsi="Times New Roman" w:cs="Times New Roman"/>
                <w:color w:val="000000"/>
                <w:sz w:val="24"/>
                <w:szCs w:val="24"/>
                <w:lang w:eastAsia="fr-CA"/>
              </w:rPr>
            </w:pPr>
            <m:oMathPara>
              <m:oMath>
                <m:f>
                  <m:fPr>
                    <m:ctrlPr>
                      <w:rPr>
                        <w:rFonts w:ascii="Cambria Math" w:eastAsia="Times New Roman" w:hAnsi="Times New Roman" w:cs="Times New Roman"/>
                        <w:i/>
                        <w:color w:val="000000"/>
                        <w:sz w:val="24"/>
                        <w:szCs w:val="24"/>
                        <w:lang w:eastAsia="fr-CA"/>
                      </w:rPr>
                    </m:ctrlPr>
                  </m:fPr>
                  <m:num>
                    <m:r>
                      <w:rPr>
                        <w:rFonts w:ascii="Cambria Math" w:eastAsia="Times New Roman" w:hAnsi="Times New Roman" w:cs="Times New Roman"/>
                        <w:color w:val="000000"/>
                        <w:sz w:val="24"/>
                        <w:szCs w:val="24"/>
                        <w:lang w:eastAsia="fr-CA"/>
                      </w:rPr>
                      <m:t>8</m:t>
                    </m:r>
                  </m:num>
                  <m:den>
                    <m:r>
                      <w:rPr>
                        <w:rFonts w:ascii="Cambria Math" w:eastAsia="Times New Roman" w:hAnsi="Times New Roman" w:cs="Times New Roman"/>
                        <w:color w:val="000000"/>
                        <w:sz w:val="24"/>
                        <w:szCs w:val="24"/>
                        <w:lang w:eastAsia="fr-CA"/>
                      </w:rPr>
                      <m:t>126</m:t>
                    </m:r>
                  </m:den>
                </m:f>
                <m:r>
                  <w:rPr>
                    <w:rFonts w:ascii="Cambria Math" w:eastAsia="Times New Roman" w:hAnsi="Cambria Math" w:cs="Times New Roman"/>
                    <w:color w:val="000000"/>
                    <w:sz w:val="24"/>
                    <w:szCs w:val="24"/>
                    <w:lang w:eastAsia="fr-CA"/>
                  </w:rPr>
                  <m:t>*</m:t>
                </m:r>
                <m:r>
                  <w:rPr>
                    <w:rFonts w:ascii="Cambria Math" w:eastAsia="Times New Roman" w:hAnsi="Times New Roman" w:cs="Times New Roman"/>
                    <w:color w:val="000000"/>
                    <w:sz w:val="24"/>
                    <w:szCs w:val="24"/>
                    <w:lang w:eastAsia="fr-CA"/>
                  </w:rPr>
                  <m:t>100</m:t>
                </m:r>
              </m:oMath>
            </m:oMathPara>
          </w:p>
          <w:p w:rsidR="001756D5" w:rsidRPr="001756D5" w:rsidRDefault="001756D5" w:rsidP="001756D5">
            <w:pPr>
              <w:spacing w:after="0" w:line="240" w:lineRule="auto"/>
              <w:rPr>
                <w:rFonts w:ascii="Times New Roman" w:eastAsia="Times New Roman" w:hAnsi="Times New Roman" w:cs="Times New Roman"/>
                <w:color w:val="000000"/>
                <w:sz w:val="24"/>
                <w:szCs w:val="24"/>
                <w:lang w:eastAsia="fr-CA"/>
              </w:rPr>
            </w:pPr>
          </w:p>
        </w:tc>
        <w:tc>
          <w:tcPr>
            <w:tcW w:w="2268" w:type="dxa"/>
          </w:tcPr>
          <w:p w:rsidR="001756D5" w:rsidRPr="001756D5" w:rsidRDefault="001756D5" w:rsidP="001756D5">
            <w:pPr>
              <w:spacing w:after="0" w:line="24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6</w:t>
            </w:r>
          </w:p>
        </w:tc>
      </w:tr>
      <w:tr w:rsidR="001756D5" w:rsidRPr="001756D5" w:rsidTr="001756D5">
        <w:trPr>
          <w:trHeight w:val="422"/>
        </w:trPr>
        <w:tc>
          <w:tcPr>
            <w:tcW w:w="3642" w:type="dxa"/>
            <w:shd w:val="clear" w:color="auto" w:fill="auto"/>
            <w:vAlign w:val="center"/>
            <w:hideMark/>
          </w:tcPr>
          <w:p w:rsidR="001756D5" w:rsidRPr="001756D5" w:rsidRDefault="001756D5" w:rsidP="001756D5">
            <w:pPr>
              <w:spacing w:after="0" w:line="240" w:lineRule="auto"/>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Existence d’un programme d’enseignement spécifique pas présent dans d’autres universités à proximité</w:t>
            </w:r>
          </w:p>
        </w:tc>
        <w:tc>
          <w:tcPr>
            <w:tcW w:w="1603" w:type="dxa"/>
          </w:tcPr>
          <w:p w:rsidR="001756D5" w:rsidRPr="001756D5" w:rsidRDefault="001756D5" w:rsidP="001756D5">
            <w:pPr>
              <w:spacing w:after="0" w:line="24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29</w:t>
            </w:r>
          </w:p>
        </w:tc>
        <w:tc>
          <w:tcPr>
            <w:tcW w:w="1559" w:type="dxa"/>
          </w:tcPr>
          <w:p w:rsidR="001756D5" w:rsidRPr="001756D5" w:rsidRDefault="00B05C0A" w:rsidP="001756D5">
            <w:pPr>
              <w:spacing w:after="0" w:line="240" w:lineRule="auto"/>
              <w:rPr>
                <w:rFonts w:ascii="Times New Roman" w:eastAsia="Times New Roman" w:hAnsi="Times New Roman" w:cs="Times New Roman"/>
                <w:color w:val="000000"/>
                <w:sz w:val="24"/>
                <w:szCs w:val="24"/>
                <w:lang w:eastAsia="fr-CA"/>
              </w:rPr>
            </w:pPr>
            <m:oMathPara>
              <m:oMath>
                <m:f>
                  <m:fPr>
                    <m:ctrlPr>
                      <w:rPr>
                        <w:rFonts w:ascii="Cambria Math" w:eastAsia="Times New Roman" w:hAnsi="Times New Roman" w:cs="Times New Roman"/>
                        <w:i/>
                        <w:color w:val="000000"/>
                        <w:sz w:val="24"/>
                        <w:szCs w:val="24"/>
                        <w:lang w:eastAsia="fr-CA"/>
                      </w:rPr>
                    </m:ctrlPr>
                  </m:fPr>
                  <m:num>
                    <m:r>
                      <w:rPr>
                        <w:rFonts w:ascii="Cambria Math" w:eastAsia="Times New Roman" w:hAnsi="Times New Roman" w:cs="Times New Roman"/>
                        <w:color w:val="000000"/>
                        <w:sz w:val="24"/>
                        <w:szCs w:val="24"/>
                        <w:lang w:eastAsia="fr-CA"/>
                      </w:rPr>
                      <m:t>29</m:t>
                    </m:r>
                  </m:num>
                  <m:den>
                    <m:r>
                      <w:rPr>
                        <w:rFonts w:ascii="Cambria Math" w:eastAsia="Times New Roman" w:hAnsi="Times New Roman" w:cs="Times New Roman"/>
                        <w:color w:val="000000"/>
                        <w:sz w:val="24"/>
                        <w:szCs w:val="24"/>
                        <w:lang w:eastAsia="fr-CA"/>
                      </w:rPr>
                      <m:t>126</m:t>
                    </m:r>
                  </m:den>
                </m:f>
                <m:r>
                  <w:rPr>
                    <w:rFonts w:ascii="Cambria Math" w:eastAsia="Times New Roman" w:hAnsi="Cambria Math" w:cs="Times New Roman"/>
                    <w:color w:val="000000"/>
                    <w:sz w:val="24"/>
                    <w:szCs w:val="24"/>
                    <w:lang w:eastAsia="fr-CA"/>
                  </w:rPr>
                  <m:t>*</m:t>
                </m:r>
                <m:r>
                  <w:rPr>
                    <w:rFonts w:ascii="Cambria Math" w:eastAsia="Times New Roman" w:hAnsi="Times New Roman" w:cs="Times New Roman"/>
                    <w:color w:val="000000"/>
                    <w:sz w:val="24"/>
                    <w:szCs w:val="24"/>
                    <w:lang w:eastAsia="fr-CA"/>
                  </w:rPr>
                  <m:t>100</m:t>
                </m:r>
              </m:oMath>
            </m:oMathPara>
          </w:p>
        </w:tc>
        <w:tc>
          <w:tcPr>
            <w:tcW w:w="2268" w:type="dxa"/>
          </w:tcPr>
          <w:p w:rsidR="001756D5" w:rsidRPr="001756D5" w:rsidRDefault="001756D5" w:rsidP="001756D5">
            <w:pPr>
              <w:spacing w:after="0" w:line="24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23</w:t>
            </w:r>
          </w:p>
        </w:tc>
      </w:tr>
      <w:tr w:rsidR="001756D5" w:rsidRPr="001756D5" w:rsidTr="001756D5">
        <w:trPr>
          <w:trHeight w:val="422"/>
        </w:trPr>
        <w:tc>
          <w:tcPr>
            <w:tcW w:w="3642" w:type="dxa"/>
            <w:shd w:val="clear" w:color="auto" w:fill="auto"/>
            <w:vAlign w:val="center"/>
            <w:hideMark/>
          </w:tcPr>
          <w:p w:rsidR="001756D5" w:rsidRPr="001756D5" w:rsidRDefault="001756D5" w:rsidP="001756D5">
            <w:pPr>
              <w:spacing w:after="0" w:line="240" w:lineRule="auto"/>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Réputation du programme choisi et des enseignants</w:t>
            </w:r>
          </w:p>
        </w:tc>
        <w:tc>
          <w:tcPr>
            <w:tcW w:w="1603" w:type="dxa"/>
          </w:tcPr>
          <w:p w:rsidR="001756D5" w:rsidRPr="001756D5" w:rsidRDefault="001756D5" w:rsidP="001756D5">
            <w:pPr>
              <w:spacing w:after="0" w:line="24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36</w:t>
            </w:r>
          </w:p>
        </w:tc>
        <w:tc>
          <w:tcPr>
            <w:tcW w:w="1559" w:type="dxa"/>
          </w:tcPr>
          <w:p w:rsidR="001756D5" w:rsidRPr="001756D5" w:rsidRDefault="00B05C0A" w:rsidP="001756D5">
            <w:pPr>
              <w:spacing w:after="0" w:line="240" w:lineRule="auto"/>
              <w:rPr>
                <w:rFonts w:ascii="Times New Roman" w:eastAsia="Times New Roman" w:hAnsi="Times New Roman" w:cs="Times New Roman"/>
                <w:color w:val="000000"/>
                <w:sz w:val="24"/>
                <w:szCs w:val="24"/>
                <w:lang w:eastAsia="fr-CA"/>
              </w:rPr>
            </w:pPr>
            <m:oMathPara>
              <m:oMath>
                <m:f>
                  <m:fPr>
                    <m:ctrlPr>
                      <w:rPr>
                        <w:rFonts w:ascii="Cambria Math" w:eastAsia="Times New Roman" w:hAnsi="Times New Roman" w:cs="Times New Roman"/>
                        <w:i/>
                        <w:color w:val="000000"/>
                        <w:sz w:val="24"/>
                        <w:szCs w:val="24"/>
                        <w:lang w:eastAsia="fr-CA"/>
                      </w:rPr>
                    </m:ctrlPr>
                  </m:fPr>
                  <m:num>
                    <m:r>
                      <w:rPr>
                        <w:rFonts w:ascii="Cambria Math" w:eastAsia="Times New Roman" w:hAnsi="Times New Roman" w:cs="Times New Roman"/>
                        <w:color w:val="000000"/>
                        <w:sz w:val="24"/>
                        <w:szCs w:val="24"/>
                        <w:lang w:eastAsia="fr-CA"/>
                      </w:rPr>
                      <m:t>36</m:t>
                    </m:r>
                  </m:num>
                  <m:den>
                    <m:r>
                      <w:rPr>
                        <w:rFonts w:ascii="Cambria Math" w:eastAsia="Times New Roman" w:hAnsi="Times New Roman" w:cs="Times New Roman"/>
                        <w:color w:val="000000"/>
                        <w:sz w:val="24"/>
                        <w:szCs w:val="24"/>
                        <w:lang w:eastAsia="fr-CA"/>
                      </w:rPr>
                      <m:t>126</m:t>
                    </m:r>
                  </m:den>
                </m:f>
                <m:r>
                  <w:rPr>
                    <w:rFonts w:ascii="Cambria Math" w:eastAsia="Times New Roman" w:hAnsi="Cambria Math" w:cs="Times New Roman"/>
                    <w:color w:val="000000"/>
                    <w:sz w:val="24"/>
                    <w:szCs w:val="24"/>
                    <w:lang w:eastAsia="fr-CA"/>
                  </w:rPr>
                  <m:t>*</m:t>
                </m:r>
                <m:r>
                  <w:rPr>
                    <w:rFonts w:ascii="Cambria Math" w:eastAsia="Times New Roman" w:hAnsi="Times New Roman" w:cs="Times New Roman"/>
                    <w:color w:val="000000"/>
                    <w:sz w:val="24"/>
                    <w:szCs w:val="24"/>
                    <w:lang w:eastAsia="fr-CA"/>
                  </w:rPr>
                  <m:t>100</m:t>
                </m:r>
              </m:oMath>
            </m:oMathPara>
          </w:p>
          <w:p w:rsidR="001756D5" w:rsidRPr="001756D5" w:rsidRDefault="001756D5" w:rsidP="001756D5">
            <w:pPr>
              <w:spacing w:after="0" w:line="240" w:lineRule="auto"/>
              <w:rPr>
                <w:rFonts w:ascii="Times New Roman" w:eastAsia="Times New Roman" w:hAnsi="Times New Roman" w:cs="Times New Roman"/>
                <w:color w:val="000000"/>
                <w:sz w:val="24"/>
                <w:szCs w:val="24"/>
                <w:lang w:eastAsia="fr-CA"/>
              </w:rPr>
            </w:pPr>
          </w:p>
        </w:tc>
        <w:tc>
          <w:tcPr>
            <w:tcW w:w="2268" w:type="dxa"/>
          </w:tcPr>
          <w:p w:rsidR="001756D5" w:rsidRPr="001756D5" w:rsidRDefault="001756D5" w:rsidP="001756D5">
            <w:pPr>
              <w:spacing w:after="0" w:line="24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29</w:t>
            </w:r>
          </w:p>
        </w:tc>
      </w:tr>
      <w:tr w:rsidR="001756D5" w:rsidRPr="001756D5" w:rsidTr="001756D5">
        <w:trPr>
          <w:trHeight w:val="422"/>
        </w:trPr>
        <w:tc>
          <w:tcPr>
            <w:tcW w:w="3642" w:type="dxa"/>
            <w:shd w:val="clear" w:color="auto" w:fill="auto"/>
            <w:vAlign w:val="center"/>
            <w:hideMark/>
          </w:tcPr>
          <w:p w:rsidR="001756D5" w:rsidRPr="001756D5" w:rsidRDefault="001756D5" w:rsidP="001756D5">
            <w:pPr>
              <w:spacing w:after="0" w:line="240" w:lineRule="auto"/>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Proximité de l’établissement</w:t>
            </w:r>
          </w:p>
        </w:tc>
        <w:tc>
          <w:tcPr>
            <w:tcW w:w="1603" w:type="dxa"/>
          </w:tcPr>
          <w:p w:rsidR="001756D5" w:rsidRPr="001756D5" w:rsidRDefault="001756D5" w:rsidP="001756D5">
            <w:pPr>
              <w:spacing w:after="0" w:line="24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49</w:t>
            </w:r>
          </w:p>
        </w:tc>
        <w:tc>
          <w:tcPr>
            <w:tcW w:w="1559" w:type="dxa"/>
          </w:tcPr>
          <w:p w:rsidR="001756D5" w:rsidRPr="001756D5" w:rsidRDefault="00B05C0A" w:rsidP="001756D5">
            <w:pPr>
              <w:spacing w:after="0" w:line="240" w:lineRule="auto"/>
              <w:rPr>
                <w:rFonts w:ascii="Times New Roman" w:eastAsia="Times New Roman" w:hAnsi="Times New Roman" w:cs="Times New Roman"/>
                <w:color w:val="000000"/>
                <w:sz w:val="24"/>
                <w:szCs w:val="24"/>
                <w:lang w:eastAsia="fr-CA"/>
              </w:rPr>
            </w:pPr>
            <m:oMathPara>
              <m:oMath>
                <m:f>
                  <m:fPr>
                    <m:ctrlPr>
                      <w:rPr>
                        <w:rFonts w:ascii="Cambria Math" w:eastAsia="Times New Roman" w:hAnsi="Times New Roman" w:cs="Times New Roman"/>
                        <w:i/>
                        <w:color w:val="000000"/>
                        <w:sz w:val="24"/>
                        <w:szCs w:val="24"/>
                        <w:lang w:eastAsia="fr-CA"/>
                      </w:rPr>
                    </m:ctrlPr>
                  </m:fPr>
                  <m:num>
                    <m:r>
                      <w:rPr>
                        <w:rFonts w:ascii="Cambria Math" w:eastAsia="Times New Roman" w:hAnsi="Times New Roman" w:cs="Times New Roman"/>
                        <w:color w:val="000000"/>
                        <w:sz w:val="24"/>
                        <w:szCs w:val="24"/>
                        <w:lang w:eastAsia="fr-CA"/>
                      </w:rPr>
                      <m:t>49</m:t>
                    </m:r>
                  </m:num>
                  <m:den>
                    <m:r>
                      <w:rPr>
                        <w:rFonts w:ascii="Cambria Math" w:eastAsia="Times New Roman" w:hAnsi="Times New Roman" w:cs="Times New Roman"/>
                        <w:color w:val="000000"/>
                        <w:sz w:val="24"/>
                        <w:szCs w:val="24"/>
                        <w:lang w:eastAsia="fr-CA"/>
                      </w:rPr>
                      <m:t>126</m:t>
                    </m:r>
                  </m:den>
                </m:f>
                <m:r>
                  <w:rPr>
                    <w:rFonts w:ascii="Cambria Math" w:eastAsia="Times New Roman" w:hAnsi="Cambria Math" w:cs="Times New Roman"/>
                    <w:color w:val="000000"/>
                    <w:sz w:val="24"/>
                    <w:szCs w:val="24"/>
                    <w:lang w:eastAsia="fr-CA"/>
                  </w:rPr>
                  <m:t>*</m:t>
                </m:r>
                <m:r>
                  <w:rPr>
                    <w:rFonts w:ascii="Cambria Math" w:eastAsia="Times New Roman" w:hAnsi="Times New Roman" w:cs="Times New Roman"/>
                    <w:color w:val="000000"/>
                    <w:sz w:val="24"/>
                    <w:szCs w:val="24"/>
                    <w:lang w:eastAsia="fr-CA"/>
                  </w:rPr>
                  <m:t>100</m:t>
                </m:r>
              </m:oMath>
            </m:oMathPara>
          </w:p>
          <w:p w:rsidR="001756D5" w:rsidRPr="001756D5" w:rsidRDefault="001756D5" w:rsidP="001756D5">
            <w:pPr>
              <w:spacing w:after="0" w:line="240" w:lineRule="auto"/>
              <w:rPr>
                <w:rFonts w:ascii="Times New Roman" w:eastAsia="Times New Roman" w:hAnsi="Times New Roman" w:cs="Times New Roman"/>
                <w:color w:val="000000"/>
                <w:sz w:val="24"/>
                <w:szCs w:val="24"/>
                <w:lang w:eastAsia="fr-CA"/>
              </w:rPr>
            </w:pPr>
          </w:p>
        </w:tc>
        <w:tc>
          <w:tcPr>
            <w:tcW w:w="2268" w:type="dxa"/>
          </w:tcPr>
          <w:p w:rsidR="001756D5" w:rsidRPr="001756D5" w:rsidRDefault="001756D5" w:rsidP="001756D5">
            <w:pPr>
              <w:spacing w:after="0" w:line="24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39</w:t>
            </w:r>
          </w:p>
        </w:tc>
      </w:tr>
      <w:tr w:rsidR="001756D5" w:rsidRPr="001756D5" w:rsidTr="00893AFC">
        <w:trPr>
          <w:trHeight w:val="422"/>
        </w:trPr>
        <w:tc>
          <w:tcPr>
            <w:tcW w:w="3642" w:type="dxa"/>
            <w:shd w:val="clear" w:color="auto" w:fill="C4960C"/>
            <w:vAlign w:val="center"/>
          </w:tcPr>
          <w:p w:rsidR="001756D5" w:rsidRPr="001756D5" w:rsidRDefault="001756D5" w:rsidP="00893AFC">
            <w:pPr>
              <w:spacing w:after="0" w:line="24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TOTAL</w:t>
            </w:r>
          </w:p>
        </w:tc>
        <w:tc>
          <w:tcPr>
            <w:tcW w:w="1603" w:type="dxa"/>
            <w:shd w:val="clear" w:color="auto" w:fill="C4960C"/>
            <w:vAlign w:val="center"/>
          </w:tcPr>
          <w:p w:rsidR="001756D5" w:rsidRPr="001756D5" w:rsidRDefault="001756D5" w:rsidP="00893AFC">
            <w:pPr>
              <w:spacing w:after="0" w:line="24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126 réponses</w:t>
            </w:r>
          </w:p>
          <w:p w:rsidR="001756D5" w:rsidRPr="001756D5" w:rsidRDefault="001756D5" w:rsidP="00893AFC">
            <w:pPr>
              <w:spacing w:after="0" w:line="24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(sur 141 réponses initiales)</w:t>
            </w:r>
          </w:p>
        </w:tc>
        <w:tc>
          <w:tcPr>
            <w:tcW w:w="1559" w:type="dxa"/>
            <w:shd w:val="clear" w:color="auto" w:fill="C4960C"/>
            <w:vAlign w:val="center"/>
          </w:tcPr>
          <w:p w:rsidR="001756D5" w:rsidRPr="001756D5" w:rsidRDefault="001756D5" w:rsidP="00893AFC">
            <w:pPr>
              <w:spacing w:after="0" w:line="24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n/a</w:t>
            </w:r>
          </w:p>
        </w:tc>
        <w:tc>
          <w:tcPr>
            <w:tcW w:w="2268" w:type="dxa"/>
            <w:shd w:val="clear" w:color="auto" w:fill="C4960C"/>
            <w:vAlign w:val="center"/>
          </w:tcPr>
          <w:p w:rsidR="001756D5" w:rsidRPr="001756D5" w:rsidRDefault="001756D5" w:rsidP="00893AFC">
            <w:pPr>
              <w:spacing w:after="0" w:line="24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100 points</w:t>
            </w:r>
          </w:p>
        </w:tc>
      </w:tr>
    </w:tbl>
    <w:p w:rsidR="001756D5" w:rsidRPr="001756D5" w:rsidRDefault="001756D5" w:rsidP="001756D5">
      <w:pPr>
        <w:spacing w:line="360" w:lineRule="auto"/>
        <w:ind w:left="360"/>
        <w:rPr>
          <w:rFonts w:ascii="Times New Roman" w:hAnsi="Times New Roman" w:cs="Times New Roman"/>
          <w:sz w:val="24"/>
          <w:szCs w:val="24"/>
        </w:rPr>
      </w:pPr>
    </w:p>
    <w:p w:rsidR="001756D5" w:rsidRDefault="001756D5" w:rsidP="00540A65">
      <w:pPr>
        <w:pStyle w:val="Paragraphedeliste"/>
        <w:numPr>
          <w:ilvl w:val="0"/>
          <w:numId w:val="7"/>
        </w:numPr>
        <w:spacing w:after="200" w:line="360" w:lineRule="auto"/>
        <w:jc w:val="both"/>
        <w:rPr>
          <w:rFonts w:ascii="Times New Roman" w:hAnsi="Times New Roman" w:cs="Times New Roman"/>
          <w:sz w:val="24"/>
          <w:szCs w:val="24"/>
        </w:rPr>
      </w:pPr>
      <w:r w:rsidRPr="00E57237">
        <w:rPr>
          <w:rFonts w:ascii="Times New Roman" w:hAnsi="Times New Roman" w:cs="Times New Roman"/>
          <w:sz w:val="24"/>
          <w:szCs w:val="24"/>
        </w:rPr>
        <w:t>Pour chaque université québécoise</w:t>
      </w:r>
      <w:r w:rsidRPr="001756D5">
        <w:rPr>
          <w:rStyle w:val="Appelnotedebasdep"/>
          <w:rFonts w:ascii="Times New Roman" w:hAnsi="Times New Roman" w:cs="Times New Roman"/>
          <w:sz w:val="24"/>
          <w:szCs w:val="24"/>
        </w:rPr>
        <w:footnoteReference w:id="52"/>
      </w:r>
      <w:r w:rsidRPr="00E57237">
        <w:rPr>
          <w:rFonts w:ascii="Times New Roman" w:hAnsi="Times New Roman" w:cs="Times New Roman"/>
          <w:sz w:val="24"/>
          <w:szCs w:val="24"/>
        </w:rPr>
        <w:t xml:space="preserve">, les réponses des étudiants ont été compilées individuellement pour chaque catégorie. Ainsi, pour les 12 étudiants de l’UQTR, aucun étudiant n’a exprimé avoir choisi l’UQTR pour ses installations sportives ou la réputation de sa vie étudiante. Ces catégories se voient donc attribuer le résultat de 0/12. Deux étudiants ont exprimé avoir choisi l’UQTR pour la réputation du programme anticipée. Par conséquent, un </w:t>
      </w:r>
      <w:r w:rsidRPr="00E57237">
        <w:rPr>
          <w:rFonts w:ascii="Times New Roman" w:hAnsi="Times New Roman" w:cs="Times New Roman"/>
          <w:sz w:val="24"/>
          <w:szCs w:val="24"/>
        </w:rPr>
        <w:lastRenderedPageBreak/>
        <w:t>résultat de 2/12 a été attribué à cette catégorie. La compilation se poursuit jusqu’à l’obtention du tableau suivant :</w:t>
      </w:r>
    </w:p>
    <w:tbl>
      <w:tblPr>
        <w:tblW w:w="6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064"/>
        <w:gridCol w:w="2312"/>
      </w:tblGrid>
      <w:tr w:rsidR="001756D5" w:rsidRPr="001756D5" w:rsidTr="00893AFC">
        <w:trPr>
          <w:trHeight w:val="422"/>
          <w:jc w:val="center"/>
        </w:trPr>
        <w:tc>
          <w:tcPr>
            <w:tcW w:w="4064" w:type="dxa"/>
            <w:shd w:val="clear" w:color="auto" w:fill="00703C"/>
            <w:vAlign w:val="center"/>
          </w:tcPr>
          <w:p w:rsidR="001756D5" w:rsidRPr="00893AFC" w:rsidRDefault="001756D5" w:rsidP="00E57237">
            <w:pPr>
              <w:spacing w:after="0" w:line="360" w:lineRule="auto"/>
              <w:jc w:val="center"/>
              <w:rPr>
                <w:rFonts w:ascii="Times New Roman" w:eastAsia="Times New Roman" w:hAnsi="Times New Roman" w:cs="Times New Roman"/>
                <w:b/>
                <w:color w:val="FFFFFF" w:themeColor="background1"/>
                <w:sz w:val="24"/>
                <w:szCs w:val="24"/>
                <w:lang w:eastAsia="fr-CA"/>
              </w:rPr>
            </w:pPr>
            <w:r w:rsidRPr="00893AFC">
              <w:rPr>
                <w:rFonts w:ascii="Times New Roman" w:eastAsia="Times New Roman" w:hAnsi="Times New Roman" w:cs="Times New Roman"/>
                <w:b/>
                <w:color w:val="FFFFFF" w:themeColor="background1"/>
                <w:sz w:val="24"/>
                <w:szCs w:val="24"/>
                <w:lang w:eastAsia="fr-CA"/>
              </w:rPr>
              <w:t>Catégorie</w:t>
            </w:r>
          </w:p>
        </w:tc>
        <w:tc>
          <w:tcPr>
            <w:tcW w:w="2312" w:type="dxa"/>
            <w:shd w:val="clear" w:color="auto" w:fill="00703C"/>
          </w:tcPr>
          <w:p w:rsidR="001756D5" w:rsidRPr="00893AFC" w:rsidRDefault="001756D5" w:rsidP="00E57237">
            <w:pPr>
              <w:spacing w:after="0" w:line="360" w:lineRule="auto"/>
              <w:jc w:val="center"/>
              <w:rPr>
                <w:rFonts w:ascii="Times New Roman" w:eastAsia="Times New Roman" w:hAnsi="Times New Roman" w:cs="Times New Roman"/>
                <w:b/>
                <w:color w:val="FFFFFF" w:themeColor="background1"/>
                <w:sz w:val="24"/>
                <w:szCs w:val="24"/>
                <w:lang w:eastAsia="fr-CA"/>
              </w:rPr>
            </w:pPr>
            <w:r w:rsidRPr="00893AFC">
              <w:rPr>
                <w:rFonts w:ascii="Times New Roman" w:eastAsia="Times New Roman" w:hAnsi="Times New Roman" w:cs="Times New Roman"/>
                <w:b/>
                <w:color w:val="FFFFFF" w:themeColor="background1"/>
                <w:sz w:val="24"/>
                <w:szCs w:val="24"/>
                <w:lang w:eastAsia="fr-CA"/>
              </w:rPr>
              <w:t>Résultat (</w:t>
            </w:r>
            <w:r w:rsidRPr="00893AFC">
              <w:rPr>
                <w:rFonts w:ascii="Times New Roman" w:eastAsia="Times New Roman" w:hAnsi="Times New Roman" w:cs="Times New Roman"/>
                <w:b/>
                <w:i/>
                <w:color w:val="FFFFFF" w:themeColor="background1"/>
                <w:sz w:val="24"/>
                <w:szCs w:val="24"/>
                <w:lang w:eastAsia="fr-CA"/>
              </w:rPr>
              <w:t>x</w:t>
            </w:r>
            <w:r w:rsidRPr="00893AFC">
              <w:rPr>
                <w:rFonts w:ascii="Times New Roman" w:eastAsia="Times New Roman" w:hAnsi="Times New Roman" w:cs="Times New Roman"/>
                <w:b/>
                <w:color w:val="FFFFFF" w:themeColor="background1"/>
                <w:sz w:val="24"/>
                <w:szCs w:val="24"/>
                <w:lang w:eastAsia="fr-CA"/>
              </w:rPr>
              <w:t>/126)</w:t>
            </w:r>
          </w:p>
        </w:tc>
      </w:tr>
      <w:tr w:rsidR="001756D5" w:rsidRPr="001756D5" w:rsidTr="00E57237">
        <w:trPr>
          <w:trHeight w:val="422"/>
          <w:jc w:val="center"/>
        </w:trPr>
        <w:tc>
          <w:tcPr>
            <w:tcW w:w="4064" w:type="dxa"/>
            <w:shd w:val="clear" w:color="auto" w:fill="auto"/>
            <w:vAlign w:val="center"/>
            <w:hideMark/>
          </w:tcPr>
          <w:p w:rsidR="001756D5" w:rsidRPr="001756D5" w:rsidRDefault="001756D5" w:rsidP="00E57237">
            <w:pPr>
              <w:spacing w:after="0" w:line="240" w:lineRule="auto"/>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Installations sportives</w:t>
            </w:r>
          </w:p>
        </w:tc>
        <w:tc>
          <w:tcPr>
            <w:tcW w:w="2312" w:type="dxa"/>
          </w:tcPr>
          <w:p w:rsidR="001756D5" w:rsidRPr="001756D5" w:rsidRDefault="001756D5" w:rsidP="00E57237">
            <w:pPr>
              <w:spacing w:after="0" w:line="24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0</w:t>
            </w:r>
          </w:p>
        </w:tc>
      </w:tr>
      <w:tr w:rsidR="001756D5" w:rsidRPr="001756D5" w:rsidTr="00E57237">
        <w:trPr>
          <w:trHeight w:val="422"/>
          <w:jc w:val="center"/>
        </w:trPr>
        <w:tc>
          <w:tcPr>
            <w:tcW w:w="4064" w:type="dxa"/>
            <w:shd w:val="clear" w:color="auto" w:fill="auto"/>
            <w:vAlign w:val="center"/>
            <w:hideMark/>
          </w:tcPr>
          <w:p w:rsidR="001756D5" w:rsidRPr="001756D5" w:rsidRDefault="001756D5" w:rsidP="00E57237">
            <w:pPr>
              <w:spacing w:after="0" w:line="240" w:lineRule="auto"/>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Réputation de la vie étudiante</w:t>
            </w:r>
          </w:p>
        </w:tc>
        <w:tc>
          <w:tcPr>
            <w:tcW w:w="2312" w:type="dxa"/>
          </w:tcPr>
          <w:p w:rsidR="001756D5" w:rsidRPr="001756D5" w:rsidRDefault="001756D5" w:rsidP="00E57237">
            <w:pPr>
              <w:spacing w:after="0" w:line="24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0</w:t>
            </w:r>
          </w:p>
        </w:tc>
      </w:tr>
      <w:tr w:rsidR="001756D5" w:rsidRPr="001756D5" w:rsidTr="00E57237">
        <w:trPr>
          <w:trHeight w:val="422"/>
          <w:jc w:val="center"/>
        </w:trPr>
        <w:tc>
          <w:tcPr>
            <w:tcW w:w="4064" w:type="dxa"/>
            <w:shd w:val="clear" w:color="auto" w:fill="auto"/>
            <w:vAlign w:val="center"/>
            <w:hideMark/>
          </w:tcPr>
          <w:p w:rsidR="001756D5" w:rsidRPr="001756D5" w:rsidRDefault="001756D5" w:rsidP="00E57237">
            <w:pPr>
              <w:spacing w:after="0" w:line="240" w:lineRule="auto"/>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Existence d’un programme d’enseignement spécifique pas présent dans d’autres universités à proximité</w:t>
            </w:r>
          </w:p>
        </w:tc>
        <w:tc>
          <w:tcPr>
            <w:tcW w:w="2312" w:type="dxa"/>
          </w:tcPr>
          <w:p w:rsidR="001756D5" w:rsidRPr="001756D5" w:rsidRDefault="001756D5" w:rsidP="00E57237">
            <w:pPr>
              <w:spacing w:after="0" w:line="24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2</w:t>
            </w:r>
          </w:p>
        </w:tc>
      </w:tr>
      <w:tr w:rsidR="001756D5" w:rsidRPr="001756D5" w:rsidTr="00E57237">
        <w:trPr>
          <w:trHeight w:val="422"/>
          <w:jc w:val="center"/>
        </w:trPr>
        <w:tc>
          <w:tcPr>
            <w:tcW w:w="4064" w:type="dxa"/>
            <w:shd w:val="clear" w:color="auto" w:fill="auto"/>
            <w:vAlign w:val="center"/>
            <w:hideMark/>
          </w:tcPr>
          <w:p w:rsidR="001756D5" w:rsidRPr="001756D5" w:rsidRDefault="001756D5" w:rsidP="00E57237">
            <w:pPr>
              <w:spacing w:after="0" w:line="240" w:lineRule="auto"/>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Réputation du programme choisi et des enseignants</w:t>
            </w:r>
          </w:p>
        </w:tc>
        <w:tc>
          <w:tcPr>
            <w:tcW w:w="2312" w:type="dxa"/>
          </w:tcPr>
          <w:p w:rsidR="001756D5" w:rsidRPr="001756D5" w:rsidRDefault="001756D5" w:rsidP="00E57237">
            <w:pPr>
              <w:spacing w:after="0" w:line="24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2</w:t>
            </w:r>
          </w:p>
        </w:tc>
      </w:tr>
      <w:tr w:rsidR="001756D5" w:rsidRPr="001756D5" w:rsidTr="00E57237">
        <w:trPr>
          <w:trHeight w:val="422"/>
          <w:jc w:val="center"/>
        </w:trPr>
        <w:tc>
          <w:tcPr>
            <w:tcW w:w="4064" w:type="dxa"/>
            <w:shd w:val="clear" w:color="auto" w:fill="auto"/>
            <w:vAlign w:val="center"/>
            <w:hideMark/>
          </w:tcPr>
          <w:p w:rsidR="001756D5" w:rsidRPr="001756D5" w:rsidRDefault="001756D5" w:rsidP="00E57237">
            <w:pPr>
              <w:spacing w:after="0" w:line="240" w:lineRule="auto"/>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Proximité de l’établissement</w:t>
            </w:r>
          </w:p>
        </w:tc>
        <w:tc>
          <w:tcPr>
            <w:tcW w:w="2312" w:type="dxa"/>
          </w:tcPr>
          <w:p w:rsidR="001756D5" w:rsidRPr="001756D5" w:rsidRDefault="001756D5" w:rsidP="00E57237">
            <w:pPr>
              <w:spacing w:after="0" w:line="24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8</w:t>
            </w:r>
          </w:p>
        </w:tc>
      </w:tr>
      <w:tr w:rsidR="001756D5" w:rsidRPr="001756D5" w:rsidTr="00893AFC">
        <w:trPr>
          <w:trHeight w:val="422"/>
          <w:jc w:val="center"/>
        </w:trPr>
        <w:tc>
          <w:tcPr>
            <w:tcW w:w="4064" w:type="dxa"/>
            <w:shd w:val="clear" w:color="auto" w:fill="C4960C"/>
            <w:vAlign w:val="center"/>
          </w:tcPr>
          <w:p w:rsidR="001756D5" w:rsidRPr="001756D5" w:rsidRDefault="001756D5" w:rsidP="00E57237">
            <w:pPr>
              <w:spacing w:after="0" w:line="24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TOTAL</w:t>
            </w:r>
          </w:p>
        </w:tc>
        <w:tc>
          <w:tcPr>
            <w:tcW w:w="2312" w:type="dxa"/>
            <w:shd w:val="clear" w:color="auto" w:fill="C4960C"/>
            <w:vAlign w:val="center"/>
          </w:tcPr>
          <w:p w:rsidR="001756D5" w:rsidRPr="001756D5" w:rsidRDefault="001756D5" w:rsidP="00893AFC">
            <w:pPr>
              <w:spacing w:after="0" w:line="24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12 réponses</w:t>
            </w:r>
          </w:p>
        </w:tc>
      </w:tr>
    </w:tbl>
    <w:p w:rsidR="001756D5" w:rsidRPr="001756D5" w:rsidRDefault="001756D5" w:rsidP="001756D5">
      <w:pPr>
        <w:spacing w:line="360" w:lineRule="auto"/>
        <w:ind w:left="360"/>
        <w:rPr>
          <w:rFonts w:ascii="Times New Roman" w:hAnsi="Times New Roman" w:cs="Times New Roman"/>
          <w:sz w:val="24"/>
          <w:szCs w:val="24"/>
        </w:rPr>
      </w:pPr>
    </w:p>
    <w:p w:rsidR="001756D5" w:rsidRPr="001756D5" w:rsidRDefault="001756D5" w:rsidP="00540A65">
      <w:pPr>
        <w:pStyle w:val="Paragraphedeliste"/>
        <w:numPr>
          <w:ilvl w:val="0"/>
          <w:numId w:val="7"/>
        </w:numPr>
        <w:spacing w:after="200" w:line="360" w:lineRule="auto"/>
        <w:jc w:val="both"/>
        <w:rPr>
          <w:rFonts w:ascii="Times New Roman" w:hAnsi="Times New Roman" w:cs="Times New Roman"/>
          <w:sz w:val="24"/>
          <w:szCs w:val="24"/>
        </w:rPr>
      </w:pPr>
      <w:r w:rsidRPr="001756D5">
        <w:rPr>
          <w:rFonts w:ascii="Times New Roman" w:hAnsi="Times New Roman" w:cs="Times New Roman"/>
          <w:sz w:val="24"/>
          <w:szCs w:val="24"/>
        </w:rPr>
        <w:t xml:space="preserve">On procédera ensuite à la pondération des résultats conséquemment à la pondération sur 100 points </w:t>
      </w:r>
      <w:r w:rsidR="003520A0">
        <w:rPr>
          <w:rFonts w:ascii="Times New Roman" w:hAnsi="Times New Roman" w:cs="Times New Roman"/>
          <w:sz w:val="24"/>
          <w:szCs w:val="24"/>
        </w:rPr>
        <w:t>mentionnée</w:t>
      </w:r>
      <w:r w:rsidRPr="001756D5">
        <w:rPr>
          <w:rFonts w:ascii="Times New Roman" w:hAnsi="Times New Roman" w:cs="Times New Roman"/>
          <w:sz w:val="24"/>
          <w:szCs w:val="24"/>
        </w:rPr>
        <w:t xml:space="preserve"> plus haut. Ainsi, pour la catégorie «proximité de l’établissement», pondérée sur 39 points, on compilera le 8/12 obtenu en </w:t>
      </w:r>
      <w:proofErr w:type="gramStart"/>
      <w:r w:rsidRPr="001756D5">
        <w:rPr>
          <w:rFonts w:ascii="Times New Roman" w:hAnsi="Times New Roman" w:cs="Times New Roman"/>
          <w:sz w:val="24"/>
          <w:szCs w:val="24"/>
        </w:rPr>
        <w:t xml:space="preserve">valeur </w:t>
      </w:r>
      <m:oMath>
        <w:proofErr w:type="gramEnd"/>
        <m:r>
          <w:rPr>
            <w:rFonts w:ascii="Cambria Math" w:hAnsi="Cambria Math" w:cs="Times New Roman"/>
            <w:sz w:val="24"/>
            <w:szCs w:val="24"/>
          </w:rPr>
          <m:t>x</m:t>
        </m:r>
        <m:r>
          <w:rPr>
            <w:rFonts w:ascii="Cambria Math" w:hAnsi="Times New Roman" w:cs="Times New Roman"/>
            <w:sz w:val="24"/>
            <w:szCs w:val="24"/>
          </w:rPr>
          <m:t>/39</m:t>
        </m:r>
      </m:oMath>
      <w:r w:rsidRPr="001756D5">
        <w:rPr>
          <w:rFonts w:ascii="Times New Roman" w:eastAsiaTheme="minorEastAsia" w:hAnsi="Times New Roman" w:cs="Times New Roman"/>
          <w:sz w:val="24"/>
          <w:szCs w:val="24"/>
        </w:rPr>
        <w:t>, de telle manière à obtenir le tableau suivant :</w:t>
      </w:r>
    </w:p>
    <w:tbl>
      <w:tblPr>
        <w:tblW w:w="8140" w:type="dxa"/>
        <w:tblInd w:w="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537"/>
        <w:gridCol w:w="1407"/>
        <w:gridCol w:w="1468"/>
        <w:gridCol w:w="1301"/>
        <w:gridCol w:w="1427"/>
      </w:tblGrid>
      <w:tr w:rsidR="001756D5" w:rsidRPr="001756D5" w:rsidTr="00893AFC">
        <w:trPr>
          <w:trHeight w:val="422"/>
        </w:trPr>
        <w:tc>
          <w:tcPr>
            <w:tcW w:w="2601" w:type="dxa"/>
            <w:shd w:val="clear" w:color="auto" w:fill="00703C"/>
            <w:vAlign w:val="center"/>
          </w:tcPr>
          <w:p w:rsidR="001756D5" w:rsidRPr="00893AFC" w:rsidRDefault="001756D5" w:rsidP="00893AFC">
            <w:pPr>
              <w:spacing w:after="0" w:line="360" w:lineRule="auto"/>
              <w:jc w:val="center"/>
              <w:rPr>
                <w:rFonts w:ascii="Times New Roman" w:eastAsia="Times New Roman" w:hAnsi="Times New Roman" w:cs="Times New Roman"/>
                <w:b/>
                <w:color w:val="FFFFFF" w:themeColor="background1"/>
                <w:sz w:val="24"/>
                <w:szCs w:val="24"/>
                <w:lang w:eastAsia="fr-CA"/>
              </w:rPr>
            </w:pPr>
            <w:r w:rsidRPr="00893AFC">
              <w:rPr>
                <w:rFonts w:ascii="Times New Roman" w:eastAsia="Times New Roman" w:hAnsi="Times New Roman" w:cs="Times New Roman"/>
                <w:b/>
                <w:color w:val="FFFFFF" w:themeColor="background1"/>
                <w:sz w:val="24"/>
                <w:szCs w:val="24"/>
                <w:lang w:eastAsia="fr-CA"/>
              </w:rPr>
              <w:t>Catégorie</w:t>
            </w:r>
          </w:p>
        </w:tc>
        <w:tc>
          <w:tcPr>
            <w:tcW w:w="1281" w:type="dxa"/>
            <w:shd w:val="clear" w:color="auto" w:fill="00703C"/>
            <w:vAlign w:val="center"/>
          </w:tcPr>
          <w:p w:rsidR="001756D5" w:rsidRPr="00893AFC" w:rsidRDefault="001756D5" w:rsidP="00893AFC">
            <w:pPr>
              <w:spacing w:after="0" w:line="360" w:lineRule="auto"/>
              <w:jc w:val="center"/>
              <w:rPr>
                <w:rFonts w:ascii="Times New Roman" w:eastAsia="Times New Roman" w:hAnsi="Times New Roman" w:cs="Times New Roman"/>
                <w:b/>
                <w:color w:val="FFFFFF" w:themeColor="background1"/>
                <w:sz w:val="24"/>
                <w:szCs w:val="24"/>
                <w:lang w:eastAsia="fr-CA"/>
              </w:rPr>
            </w:pPr>
            <w:r w:rsidRPr="00893AFC">
              <w:rPr>
                <w:rFonts w:ascii="Times New Roman" w:eastAsia="Times New Roman" w:hAnsi="Times New Roman" w:cs="Times New Roman"/>
                <w:b/>
                <w:color w:val="FFFFFF" w:themeColor="background1"/>
                <w:sz w:val="24"/>
                <w:szCs w:val="24"/>
                <w:lang w:eastAsia="fr-CA"/>
              </w:rPr>
              <w:t>Pondération ajustée sur 100 points</w:t>
            </w:r>
          </w:p>
        </w:tc>
        <w:tc>
          <w:tcPr>
            <w:tcW w:w="1503" w:type="dxa"/>
            <w:shd w:val="clear" w:color="auto" w:fill="00703C"/>
            <w:vAlign w:val="center"/>
          </w:tcPr>
          <w:p w:rsidR="001756D5" w:rsidRPr="00893AFC" w:rsidRDefault="001756D5" w:rsidP="00893AFC">
            <w:pPr>
              <w:spacing w:after="0" w:line="360" w:lineRule="auto"/>
              <w:jc w:val="center"/>
              <w:rPr>
                <w:rFonts w:ascii="Times New Roman" w:eastAsia="Times New Roman" w:hAnsi="Times New Roman" w:cs="Times New Roman"/>
                <w:b/>
                <w:color w:val="FFFFFF" w:themeColor="background1"/>
                <w:sz w:val="24"/>
                <w:szCs w:val="24"/>
                <w:lang w:eastAsia="fr-CA"/>
              </w:rPr>
            </w:pPr>
            <w:r w:rsidRPr="00893AFC">
              <w:rPr>
                <w:rFonts w:ascii="Times New Roman" w:eastAsia="Times New Roman" w:hAnsi="Times New Roman" w:cs="Times New Roman"/>
                <w:b/>
                <w:color w:val="FFFFFF" w:themeColor="background1"/>
                <w:sz w:val="24"/>
                <w:szCs w:val="24"/>
                <w:lang w:eastAsia="fr-CA"/>
              </w:rPr>
              <w:t>Résultat (</w:t>
            </w:r>
            <w:r w:rsidRPr="00893AFC">
              <w:rPr>
                <w:rFonts w:ascii="Times New Roman" w:eastAsia="Times New Roman" w:hAnsi="Times New Roman" w:cs="Times New Roman"/>
                <w:b/>
                <w:i/>
                <w:color w:val="FFFFFF" w:themeColor="background1"/>
                <w:sz w:val="24"/>
                <w:szCs w:val="24"/>
                <w:lang w:eastAsia="fr-CA"/>
              </w:rPr>
              <w:t>x</w:t>
            </w:r>
            <w:r w:rsidRPr="00893AFC">
              <w:rPr>
                <w:rFonts w:ascii="Times New Roman" w:eastAsia="Times New Roman" w:hAnsi="Times New Roman" w:cs="Times New Roman"/>
                <w:b/>
                <w:color w:val="FFFFFF" w:themeColor="background1"/>
                <w:sz w:val="24"/>
                <w:szCs w:val="24"/>
                <w:lang w:eastAsia="fr-CA"/>
              </w:rPr>
              <w:t>/126)</w:t>
            </w:r>
          </w:p>
        </w:tc>
        <w:tc>
          <w:tcPr>
            <w:tcW w:w="1326" w:type="dxa"/>
            <w:shd w:val="clear" w:color="auto" w:fill="00703C"/>
            <w:vAlign w:val="center"/>
          </w:tcPr>
          <w:p w:rsidR="001756D5" w:rsidRPr="00893AFC" w:rsidRDefault="001756D5" w:rsidP="00893AFC">
            <w:pPr>
              <w:spacing w:after="0" w:line="360" w:lineRule="auto"/>
              <w:jc w:val="center"/>
              <w:rPr>
                <w:rFonts w:ascii="Times New Roman" w:eastAsia="Times New Roman" w:hAnsi="Times New Roman" w:cs="Times New Roman"/>
                <w:b/>
                <w:color w:val="FFFFFF" w:themeColor="background1"/>
                <w:sz w:val="24"/>
                <w:szCs w:val="24"/>
                <w:lang w:eastAsia="fr-CA"/>
              </w:rPr>
            </w:pPr>
            <w:r w:rsidRPr="00893AFC">
              <w:rPr>
                <w:rFonts w:ascii="Times New Roman" w:eastAsia="Times New Roman" w:hAnsi="Times New Roman" w:cs="Times New Roman"/>
                <w:b/>
                <w:color w:val="FFFFFF" w:themeColor="background1"/>
                <w:sz w:val="24"/>
                <w:szCs w:val="24"/>
                <w:lang w:eastAsia="fr-CA"/>
              </w:rPr>
              <w:t>Procédé</w:t>
            </w:r>
          </w:p>
        </w:tc>
        <w:tc>
          <w:tcPr>
            <w:tcW w:w="1429" w:type="dxa"/>
            <w:shd w:val="clear" w:color="auto" w:fill="00703C"/>
            <w:vAlign w:val="center"/>
          </w:tcPr>
          <w:p w:rsidR="001756D5" w:rsidRPr="00893AFC" w:rsidRDefault="001756D5" w:rsidP="00893AFC">
            <w:pPr>
              <w:spacing w:after="0" w:line="360" w:lineRule="auto"/>
              <w:jc w:val="center"/>
              <w:rPr>
                <w:rFonts w:ascii="Times New Roman" w:eastAsia="Times New Roman" w:hAnsi="Times New Roman" w:cs="Times New Roman"/>
                <w:b/>
                <w:color w:val="FFFFFF" w:themeColor="background1"/>
                <w:sz w:val="24"/>
                <w:szCs w:val="24"/>
                <w:lang w:eastAsia="fr-CA"/>
              </w:rPr>
            </w:pPr>
            <w:r w:rsidRPr="00893AFC">
              <w:rPr>
                <w:rFonts w:ascii="Times New Roman" w:eastAsia="Times New Roman" w:hAnsi="Times New Roman" w:cs="Times New Roman"/>
                <w:b/>
                <w:color w:val="FFFFFF" w:themeColor="background1"/>
                <w:sz w:val="24"/>
                <w:szCs w:val="24"/>
                <w:lang w:eastAsia="fr-CA"/>
              </w:rPr>
              <w:t>Pondération ajustée sur 100 points</w:t>
            </w:r>
          </w:p>
        </w:tc>
      </w:tr>
      <w:tr w:rsidR="001756D5" w:rsidRPr="001756D5" w:rsidTr="001756D5">
        <w:trPr>
          <w:trHeight w:val="422"/>
        </w:trPr>
        <w:tc>
          <w:tcPr>
            <w:tcW w:w="2601" w:type="dxa"/>
            <w:shd w:val="clear" w:color="auto" w:fill="auto"/>
            <w:vAlign w:val="center"/>
            <w:hideMark/>
          </w:tcPr>
          <w:p w:rsidR="001756D5" w:rsidRPr="001756D5" w:rsidRDefault="001756D5" w:rsidP="001756D5">
            <w:pPr>
              <w:spacing w:after="0" w:line="240" w:lineRule="auto"/>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Installations sportives</w:t>
            </w:r>
          </w:p>
        </w:tc>
        <w:tc>
          <w:tcPr>
            <w:tcW w:w="1281" w:type="dxa"/>
          </w:tcPr>
          <w:p w:rsidR="001756D5" w:rsidRPr="001756D5" w:rsidRDefault="001756D5" w:rsidP="001756D5">
            <w:pPr>
              <w:spacing w:after="0" w:line="240" w:lineRule="auto"/>
              <w:jc w:val="center"/>
              <w:rPr>
                <w:rFonts w:ascii="Times New Roman" w:eastAsia="Calibri" w:hAnsi="Times New Roman" w:cs="Times New Roman"/>
                <w:color w:val="000000"/>
                <w:sz w:val="24"/>
                <w:szCs w:val="24"/>
                <w:lang w:eastAsia="fr-CA"/>
              </w:rPr>
            </w:pPr>
            <w:r w:rsidRPr="001756D5">
              <w:rPr>
                <w:rFonts w:ascii="Times New Roman" w:eastAsia="Calibri" w:hAnsi="Times New Roman" w:cs="Times New Roman"/>
                <w:color w:val="000000"/>
                <w:sz w:val="24"/>
                <w:szCs w:val="24"/>
                <w:lang w:eastAsia="fr-CA"/>
              </w:rPr>
              <w:t>3</w:t>
            </w:r>
          </w:p>
        </w:tc>
        <w:tc>
          <w:tcPr>
            <w:tcW w:w="1503" w:type="dxa"/>
          </w:tcPr>
          <w:p w:rsidR="001756D5" w:rsidRPr="001756D5" w:rsidRDefault="001756D5" w:rsidP="001756D5">
            <w:pPr>
              <w:spacing w:after="0" w:line="24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0</w:t>
            </w:r>
          </w:p>
        </w:tc>
        <w:tc>
          <w:tcPr>
            <w:tcW w:w="1326" w:type="dxa"/>
          </w:tcPr>
          <w:p w:rsidR="001756D5" w:rsidRPr="001756D5" w:rsidRDefault="00B05C0A" w:rsidP="001756D5">
            <w:pPr>
              <w:spacing w:after="0" w:line="240" w:lineRule="auto"/>
              <w:jc w:val="center"/>
              <w:rPr>
                <w:rFonts w:ascii="Times New Roman" w:eastAsia="Times New Roman" w:hAnsi="Times New Roman" w:cs="Times New Roman"/>
                <w:color w:val="000000"/>
                <w:sz w:val="24"/>
                <w:szCs w:val="24"/>
                <w:lang w:eastAsia="fr-CA"/>
              </w:rPr>
            </w:pPr>
            <m:oMath>
              <m:f>
                <m:fPr>
                  <m:ctrlPr>
                    <w:rPr>
                      <w:rFonts w:ascii="Cambria Math" w:eastAsia="Times New Roman" w:hAnsi="Times New Roman" w:cs="Times New Roman"/>
                      <w:i/>
                      <w:color w:val="000000"/>
                      <w:sz w:val="24"/>
                      <w:szCs w:val="24"/>
                      <w:lang w:eastAsia="fr-CA"/>
                    </w:rPr>
                  </m:ctrlPr>
                </m:fPr>
                <m:num>
                  <m:r>
                    <w:rPr>
                      <w:rFonts w:ascii="Cambria Math" w:eastAsia="Times New Roman" w:hAnsi="Times New Roman" w:cs="Times New Roman"/>
                      <w:color w:val="000000"/>
                      <w:sz w:val="24"/>
                      <w:szCs w:val="24"/>
                      <w:lang w:eastAsia="fr-CA"/>
                    </w:rPr>
                    <m:t>0</m:t>
                  </m:r>
                </m:num>
                <m:den>
                  <m:r>
                    <w:rPr>
                      <w:rFonts w:ascii="Cambria Math" w:eastAsia="Times New Roman" w:hAnsi="Times New Roman" w:cs="Times New Roman"/>
                      <w:color w:val="000000"/>
                      <w:sz w:val="24"/>
                      <w:szCs w:val="24"/>
                      <w:lang w:eastAsia="fr-CA"/>
                    </w:rPr>
                    <m:t>12</m:t>
                  </m:r>
                </m:den>
              </m:f>
              <m:r>
                <w:rPr>
                  <w:rFonts w:ascii="Cambria Math" w:eastAsia="Times New Roman" w:hAnsi="Cambria Math" w:cs="Times New Roman"/>
                  <w:color w:val="000000"/>
                  <w:sz w:val="24"/>
                  <w:szCs w:val="24"/>
                  <w:lang w:eastAsia="fr-CA"/>
                </w:rPr>
                <m:t>*</m:t>
              </m:r>
            </m:oMath>
            <w:r w:rsidR="001756D5" w:rsidRPr="001756D5">
              <w:rPr>
                <w:rFonts w:ascii="Times New Roman" w:eastAsia="Times New Roman" w:hAnsi="Times New Roman" w:cs="Times New Roman"/>
                <w:color w:val="000000"/>
                <w:sz w:val="24"/>
                <w:szCs w:val="24"/>
                <w:lang w:eastAsia="fr-CA"/>
              </w:rPr>
              <w:t>3</w:t>
            </w:r>
          </w:p>
        </w:tc>
        <w:tc>
          <w:tcPr>
            <w:tcW w:w="1429" w:type="dxa"/>
          </w:tcPr>
          <w:p w:rsidR="001756D5" w:rsidRPr="001756D5" w:rsidRDefault="001756D5" w:rsidP="001756D5">
            <w:pPr>
              <w:spacing w:after="0" w:line="24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0</w:t>
            </w:r>
          </w:p>
        </w:tc>
      </w:tr>
      <w:tr w:rsidR="001756D5" w:rsidRPr="001756D5" w:rsidTr="001756D5">
        <w:trPr>
          <w:trHeight w:val="422"/>
        </w:trPr>
        <w:tc>
          <w:tcPr>
            <w:tcW w:w="2601" w:type="dxa"/>
            <w:shd w:val="clear" w:color="auto" w:fill="auto"/>
            <w:vAlign w:val="center"/>
            <w:hideMark/>
          </w:tcPr>
          <w:p w:rsidR="001756D5" w:rsidRPr="001756D5" w:rsidRDefault="001756D5" w:rsidP="001756D5">
            <w:pPr>
              <w:spacing w:after="0" w:line="240" w:lineRule="auto"/>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Réputation de la vie étudiante</w:t>
            </w:r>
          </w:p>
        </w:tc>
        <w:tc>
          <w:tcPr>
            <w:tcW w:w="1281" w:type="dxa"/>
          </w:tcPr>
          <w:p w:rsidR="001756D5" w:rsidRPr="001756D5" w:rsidRDefault="001756D5" w:rsidP="001756D5">
            <w:pPr>
              <w:spacing w:after="0" w:line="24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6</w:t>
            </w:r>
          </w:p>
        </w:tc>
        <w:tc>
          <w:tcPr>
            <w:tcW w:w="1503" w:type="dxa"/>
          </w:tcPr>
          <w:p w:rsidR="001756D5" w:rsidRPr="001756D5" w:rsidRDefault="001756D5" w:rsidP="001756D5">
            <w:pPr>
              <w:spacing w:after="0" w:line="24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0</w:t>
            </w:r>
          </w:p>
        </w:tc>
        <w:tc>
          <w:tcPr>
            <w:tcW w:w="1326" w:type="dxa"/>
          </w:tcPr>
          <w:p w:rsidR="001756D5" w:rsidRPr="001756D5" w:rsidRDefault="00B05C0A" w:rsidP="001756D5">
            <w:pPr>
              <w:spacing w:after="0" w:line="240" w:lineRule="auto"/>
              <w:jc w:val="center"/>
              <w:rPr>
                <w:rFonts w:ascii="Times New Roman" w:eastAsia="Times New Roman" w:hAnsi="Times New Roman" w:cs="Times New Roman"/>
                <w:color w:val="000000"/>
                <w:sz w:val="24"/>
                <w:szCs w:val="24"/>
                <w:lang w:eastAsia="fr-CA"/>
              </w:rPr>
            </w:pPr>
            <m:oMathPara>
              <m:oMath>
                <m:f>
                  <m:fPr>
                    <m:ctrlPr>
                      <w:rPr>
                        <w:rFonts w:ascii="Cambria Math" w:eastAsia="Times New Roman" w:hAnsi="Times New Roman" w:cs="Times New Roman"/>
                        <w:i/>
                        <w:color w:val="000000"/>
                        <w:sz w:val="24"/>
                        <w:szCs w:val="24"/>
                        <w:lang w:eastAsia="fr-CA"/>
                      </w:rPr>
                    </m:ctrlPr>
                  </m:fPr>
                  <m:num>
                    <m:r>
                      <w:rPr>
                        <w:rFonts w:ascii="Cambria Math" w:eastAsia="Times New Roman" w:hAnsi="Times New Roman" w:cs="Times New Roman"/>
                        <w:color w:val="000000"/>
                        <w:sz w:val="24"/>
                        <w:szCs w:val="24"/>
                        <w:lang w:eastAsia="fr-CA"/>
                      </w:rPr>
                      <m:t>0</m:t>
                    </m:r>
                  </m:num>
                  <m:den>
                    <m:r>
                      <w:rPr>
                        <w:rFonts w:ascii="Cambria Math" w:eastAsia="Times New Roman" w:hAnsi="Times New Roman" w:cs="Times New Roman"/>
                        <w:color w:val="000000"/>
                        <w:sz w:val="24"/>
                        <w:szCs w:val="24"/>
                        <w:lang w:eastAsia="fr-CA"/>
                      </w:rPr>
                      <m:t>12</m:t>
                    </m:r>
                  </m:den>
                </m:f>
                <m:r>
                  <w:rPr>
                    <w:rFonts w:ascii="Cambria Math" w:eastAsia="Times New Roman" w:hAnsi="Cambria Math" w:cs="Times New Roman"/>
                    <w:color w:val="000000"/>
                    <w:sz w:val="24"/>
                    <w:szCs w:val="24"/>
                    <w:lang w:eastAsia="fr-CA"/>
                  </w:rPr>
                  <m:t>*</m:t>
                </m:r>
                <m:r>
                  <w:rPr>
                    <w:rFonts w:ascii="Cambria Math" w:eastAsia="Times New Roman" w:hAnsi="Times New Roman" w:cs="Times New Roman"/>
                    <w:color w:val="000000"/>
                    <w:sz w:val="24"/>
                    <w:szCs w:val="24"/>
                    <w:lang w:eastAsia="fr-CA"/>
                  </w:rPr>
                  <m:t>6</m:t>
                </m:r>
              </m:oMath>
            </m:oMathPara>
          </w:p>
        </w:tc>
        <w:tc>
          <w:tcPr>
            <w:tcW w:w="1429" w:type="dxa"/>
          </w:tcPr>
          <w:p w:rsidR="001756D5" w:rsidRPr="001756D5" w:rsidRDefault="001756D5" w:rsidP="001756D5">
            <w:pPr>
              <w:spacing w:after="0" w:line="24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0</w:t>
            </w:r>
          </w:p>
        </w:tc>
      </w:tr>
      <w:tr w:rsidR="001756D5" w:rsidRPr="001756D5" w:rsidTr="001756D5">
        <w:trPr>
          <w:trHeight w:val="422"/>
        </w:trPr>
        <w:tc>
          <w:tcPr>
            <w:tcW w:w="2601" w:type="dxa"/>
            <w:shd w:val="clear" w:color="auto" w:fill="auto"/>
            <w:vAlign w:val="center"/>
            <w:hideMark/>
          </w:tcPr>
          <w:p w:rsidR="001756D5" w:rsidRPr="001756D5" w:rsidRDefault="001756D5" w:rsidP="001756D5">
            <w:pPr>
              <w:spacing w:after="0" w:line="240" w:lineRule="auto"/>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Existence d’un programme d’enseignement spécifique pas présent dans d’autres universités à proximité</w:t>
            </w:r>
          </w:p>
        </w:tc>
        <w:tc>
          <w:tcPr>
            <w:tcW w:w="1281" w:type="dxa"/>
          </w:tcPr>
          <w:p w:rsidR="001756D5" w:rsidRPr="001756D5" w:rsidRDefault="001756D5" w:rsidP="001756D5">
            <w:pPr>
              <w:spacing w:after="0" w:line="24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23</w:t>
            </w:r>
          </w:p>
        </w:tc>
        <w:tc>
          <w:tcPr>
            <w:tcW w:w="1503" w:type="dxa"/>
          </w:tcPr>
          <w:p w:rsidR="001756D5" w:rsidRPr="001756D5" w:rsidRDefault="001756D5" w:rsidP="001756D5">
            <w:pPr>
              <w:spacing w:after="0" w:line="24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2</w:t>
            </w:r>
          </w:p>
        </w:tc>
        <w:tc>
          <w:tcPr>
            <w:tcW w:w="1326" w:type="dxa"/>
          </w:tcPr>
          <w:p w:rsidR="001756D5" w:rsidRPr="001756D5" w:rsidRDefault="00B05C0A" w:rsidP="001756D5">
            <w:pPr>
              <w:spacing w:after="0" w:line="240" w:lineRule="auto"/>
              <w:jc w:val="center"/>
              <w:rPr>
                <w:rFonts w:ascii="Times New Roman" w:eastAsia="Times New Roman" w:hAnsi="Times New Roman" w:cs="Times New Roman"/>
                <w:color w:val="000000"/>
                <w:sz w:val="24"/>
                <w:szCs w:val="24"/>
                <w:lang w:eastAsia="fr-CA"/>
              </w:rPr>
            </w:pPr>
            <m:oMathPara>
              <m:oMath>
                <m:f>
                  <m:fPr>
                    <m:ctrlPr>
                      <w:rPr>
                        <w:rFonts w:ascii="Cambria Math" w:eastAsia="Times New Roman" w:hAnsi="Times New Roman" w:cs="Times New Roman"/>
                        <w:i/>
                        <w:color w:val="000000"/>
                        <w:sz w:val="24"/>
                        <w:szCs w:val="24"/>
                        <w:lang w:eastAsia="fr-CA"/>
                      </w:rPr>
                    </m:ctrlPr>
                  </m:fPr>
                  <m:num>
                    <m:r>
                      <w:rPr>
                        <w:rFonts w:ascii="Cambria Math" w:eastAsia="Times New Roman" w:hAnsi="Times New Roman" w:cs="Times New Roman"/>
                        <w:color w:val="000000"/>
                        <w:sz w:val="24"/>
                        <w:szCs w:val="24"/>
                        <w:lang w:eastAsia="fr-CA"/>
                      </w:rPr>
                      <m:t>2</m:t>
                    </m:r>
                  </m:num>
                  <m:den>
                    <m:r>
                      <w:rPr>
                        <w:rFonts w:ascii="Cambria Math" w:eastAsia="Times New Roman" w:hAnsi="Times New Roman" w:cs="Times New Roman"/>
                        <w:color w:val="000000"/>
                        <w:sz w:val="24"/>
                        <w:szCs w:val="24"/>
                        <w:lang w:eastAsia="fr-CA"/>
                      </w:rPr>
                      <m:t>12</m:t>
                    </m:r>
                  </m:den>
                </m:f>
                <m:r>
                  <w:rPr>
                    <w:rFonts w:ascii="Cambria Math" w:eastAsia="Times New Roman" w:hAnsi="Cambria Math" w:cs="Times New Roman"/>
                    <w:color w:val="000000"/>
                    <w:sz w:val="24"/>
                    <w:szCs w:val="24"/>
                    <w:lang w:eastAsia="fr-CA"/>
                  </w:rPr>
                  <m:t>*</m:t>
                </m:r>
                <m:r>
                  <w:rPr>
                    <w:rFonts w:ascii="Cambria Math" w:eastAsia="Times New Roman" w:hAnsi="Times New Roman" w:cs="Times New Roman"/>
                    <w:color w:val="000000"/>
                    <w:sz w:val="24"/>
                    <w:szCs w:val="24"/>
                    <w:lang w:eastAsia="fr-CA"/>
                  </w:rPr>
                  <m:t>23</m:t>
                </m:r>
              </m:oMath>
            </m:oMathPara>
          </w:p>
        </w:tc>
        <w:tc>
          <w:tcPr>
            <w:tcW w:w="1429" w:type="dxa"/>
          </w:tcPr>
          <w:p w:rsidR="001756D5" w:rsidRPr="001756D5" w:rsidRDefault="001756D5" w:rsidP="001756D5">
            <w:pPr>
              <w:spacing w:after="0" w:line="24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3.83</w:t>
            </w:r>
          </w:p>
        </w:tc>
      </w:tr>
      <w:tr w:rsidR="001756D5" w:rsidRPr="001756D5" w:rsidTr="001756D5">
        <w:trPr>
          <w:trHeight w:val="422"/>
        </w:trPr>
        <w:tc>
          <w:tcPr>
            <w:tcW w:w="2601" w:type="dxa"/>
            <w:shd w:val="clear" w:color="auto" w:fill="auto"/>
            <w:vAlign w:val="center"/>
            <w:hideMark/>
          </w:tcPr>
          <w:p w:rsidR="001756D5" w:rsidRPr="001756D5" w:rsidRDefault="001756D5" w:rsidP="001756D5">
            <w:pPr>
              <w:spacing w:after="0" w:line="240" w:lineRule="auto"/>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Réputation du programme choisi et des enseignants</w:t>
            </w:r>
          </w:p>
        </w:tc>
        <w:tc>
          <w:tcPr>
            <w:tcW w:w="1281" w:type="dxa"/>
          </w:tcPr>
          <w:p w:rsidR="001756D5" w:rsidRPr="001756D5" w:rsidRDefault="001756D5" w:rsidP="001756D5">
            <w:pPr>
              <w:spacing w:after="0" w:line="24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29</w:t>
            </w:r>
          </w:p>
        </w:tc>
        <w:tc>
          <w:tcPr>
            <w:tcW w:w="1503" w:type="dxa"/>
          </w:tcPr>
          <w:p w:rsidR="001756D5" w:rsidRPr="001756D5" w:rsidRDefault="001756D5" w:rsidP="001756D5">
            <w:pPr>
              <w:spacing w:after="0" w:line="24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2</w:t>
            </w:r>
          </w:p>
        </w:tc>
        <w:tc>
          <w:tcPr>
            <w:tcW w:w="1326" w:type="dxa"/>
          </w:tcPr>
          <w:p w:rsidR="001756D5" w:rsidRPr="001756D5" w:rsidRDefault="00B05C0A" w:rsidP="001756D5">
            <w:pPr>
              <w:spacing w:after="0" w:line="240" w:lineRule="auto"/>
              <w:jc w:val="center"/>
              <w:rPr>
                <w:rFonts w:ascii="Times New Roman" w:eastAsia="Times New Roman" w:hAnsi="Times New Roman" w:cs="Times New Roman"/>
                <w:color w:val="000000"/>
                <w:sz w:val="24"/>
                <w:szCs w:val="24"/>
                <w:lang w:eastAsia="fr-CA"/>
              </w:rPr>
            </w:pPr>
            <m:oMathPara>
              <m:oMath>
                <m:f>
                  <m:fPr>
                    <m:ctrlPr>
                      <w:rPr>
                        <w:rFonts w:ascii="Cambria Math" w:eastAsia="Times New Roman" w:hAnsi="Times New Roman" w:cs="Times New Roman"/>
                        <w:i/>
                        <w:color w:val="000000"/>
                        <w:sz w:val="24"/>
                        <w:szCs w:val="24"/>
                        <w:lang w:eastAsia="fr-CA"/>
                      </w:rPr>
                    </m:ctrlPr>
                  </m:fPr>
                  <m:num>
                    <m:r>
                      <w:rPr>
                        <w:rFonts w:ascii="Cambria Math" w:eastAsia="Times New Roman" w:hAnsi="Times New Roman" w:cs="Times New Roman"/>
                        <w:color w:val="000000"/>
                        <w:sz w:val="24"/>
                        <w:szCs w:val="24"/>
                        <w:lang w:eastAsia="fr-CA"/>
                      </w:rPr>
                      <m:t>2</m:t>
                    </m:r>
                  </m:num>
                  <m:den>
                    <m:r>
                      <w:rPr>
                        <w:rFonts w:ascii="Cambria Math" w:eastAsia="Times New Roman" w:hAnsi="Times New Roman" w:cs="Times New Roman"/>
                        <w:color w:val="000000"/>
                        <w:sz w:val="24"/>
                        <w:szCs w:val="24"/>
                        <w:lang w:eastAsia="fr-CA"/>
                      </w:rPr>
                      <m:t>12</m:t>
                    </m:r>
                  </m:den>
                </m:f>
                <m:r>
                  <w:rPr>
                    <w:rFonts w:ascii="Cambria Math" w:eastAsia="Times New Roman" w:hAnsi="Cambria Math" w:cs="Times New Roman"/>
                    <w:color w:val="000000"/>
                    <w:sz w:val="24"/>
                    <w:szCs w:val="24"/>
                    <w:lang w:eastAsia="fr-CA"/>
                  </w:rPr>
                  <m:t>*</m:t>
                </m:r>
                <m:r>
                  <w:rPr>
                    <w:rFonts w:ascii="Cambria Math" w:eastAsia="Times New Roman" w:hAnsi="Times New Roman" w:cs="Times New Roman"/>
                    <w:color w:val="000000"/>
                    <w:sz w:val="24"/>
                    <w:szCs w:val="24"/>
                    <w:lang w:eastAsia="fr-CA"/>
                  </w:rPr>
                  <m:t>29</m:t>
                </m:r>
              </m:oMath>
            </m:oMathPara>
          </w:p>
        </w:tc>
        <w:tc>
          <w:tcPr>
            <w:tcW w:w="1429" w:type="dxa"/>
          </w:tcPr>
          <w:p w:rsidR="001756D5" w:rsidRPr="001756D5" w:rsidRDefault="001756D5" w:rsidP="001756D5">
            <w:pPr>
              <w:spacing w:after="0" w:line="24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4.83</w:t>
            </w:r>
          </w:p>
        </w:tc>
      </w:tr>
      <w:tr w:rsidR="001756D5" w:rsidRPr="001756D5" w:rsidTr="001756D5">
        <w:trPr>
          <w:trHeight w:val="422"/>
        </w:trPr>
        <w:tc>
          <w:tcPr>
            <w:tcW w:w="2601" w:type="dxa"/>
            <w:shd w:val="clear" w:color="auto" w:fill="auto"/>
            <w:vAlign w:val="center"/>
            <w:hideMark/>
          </w:tcPr>
          <w:p w:rsidR="001756D5" w:rsidRPr="001756D5" w:rsidRDefault="001756D5" w:rsidP="001756D5">
            <w:pPr>
              <w:spacing w:after="0" w:line="240" w:lineRule="auto"/>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Proximité de l’établissement</w:t>
            </w:r>
          </w:p>
        </w:tc>
        <w:tc>
          <w:tcPr>
            <w:tcW w:w="1281" w:type="dxa"/>
          </w:tcPr>
          <w:p w:rsidR="001756D5" w:rsidRPr="001756D5" w:rsidRDefault="001756D5" w:rsidP="001756D5">
            <w:pPr>
              <w:spacing w:after="0" w:line="24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39</w:t>
            </w:r>
          </w:p>
        </w:tc>
        <w:tc>
          <w:tcPr>
            <w:tcW w:w="1503" w:type="dxa"/>
          </w:tcPr>
          <w:p w:rsidR="001756D5" w:rsidRPr="001756D5" w:rsidRDefault="001756D5" w:rsidP="001756D5">
            <w:pPr>
              <w:spacing w:after="0" w:line="24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8</w:t>
            </w:r>
          </w:p>
        </w:tc>
        <w:tc>
          <w:tcPr>
            <w:tcW w:w="1326" w:type="dxa"/>
          </w:tcPr>
          <w:p w:rsidR="001756D5" w:rsidRPr="001756D5" w:rsidRDefault="00B05C0A" w:rsidP="001756D5">
            <w:pPr>
              <w:spacing w:after="0" w:line="240" w:lineRule="auto"/>
              <w:jc w:val="center"/>
              <w:rPr>
                <w:rFonts w:ascii="Times New Roman" w:eastAsia="Times New Roman" w:hAnsi="Times New Roman" w:cs="Times New Roman"/>
                <w:color w:val="000000"/>
                <w:sz w:val="24"/>
                <w:szCs w:val="24"/>
                <w:lang w:eastAsia="fr-CA"/>
              </w:rPr>
            </w:pPr>
            <m:oMathPara>
              <m:oMath>
                <m:f>
                  <m:fPr>
                    <m:ctrlPr>
                      <w:rPr>
                        <w:rFonts w:ascii="Cambria Math" w:eastAsia="Times New Roman" w:hAnsi="Times New Roman" w:cs="Times New Roman"/>
                        <w:i/>
                        <w:color w:val="000000"/>
                        <w:sz w:val="24"/>
                        <w:szCs w:val="24"/>
                        <w:lang w:eastAsia="fr-CA"/>
                      </w:rPr>
                    </m:ctrlPr>
                  </m:fPr>
                  <m:num>
                    <m:r>
                      <w:rPr>
                        <w:rFonts w:ascii="Cambria Math" w:eastAsia="Times New Roman" w:hAnsi="Times New Roman" w:cs="Times New Roman"/>
                        <w:color w:val="000000"/>
                        <w:sz w:val="24"/>
                        <w:szCs w:val="24"/>
                        <w:lang w:eastAsia="fr-CA"/>
                      </w:rPr>
                      <m:t>8</m:t>
                    </m:r>
                  </m:num>
                  <m:den>
                    <m:r>
                      <w:rPr>
                        <w:rFonts w:ascii="Cambria Math" w:eastAsia="Times New Roman" w:hAnsi="Times New Roman" w:cs="Times New Roman"/>
                        <w:color w:val="000000"/>
                        <w:sz w:val="24"/>
                        <w:szCs w:val="24"/>
                        <w:lang w:eastAsia="fr-CA"/>
                      </w:rPr>
                      <m:t>12</m:t>
                    </m:r>
                  </m:den>
                </m:f>
                <m:r>
                  <w:rPr>
                    <w:rFonts w:ascii="Cambria Math" w:eastAsia="Times New Roman" w:hAnsi="Cambria Math" w:cs="Times New Roman"/>
                    <w:color w:val="000000"/>
                    <w:sz w:val="24"/>
                    <w:szCs w:val="24"/>
                    <w:lang w:eastAsia="fr-CA"/>
                  </w:rPr>
                  <m:t>*</m:t>
                </m:r>
                <m:r>
                  <w:rPr>
                    <w:rFonts w:ascii="Cambria Math" w:eastAsia="Times New Roman" w:hAnsi="Times New Roman" w:cs="Times New Roman"/>
                    <w:color w:val="000000"/>
                    <w:sz w:val="24"/>
                    <w:szCs w:val="24"/>
                    <w:lang w:eastAsia="fr-CA"/>
                  </w:rPr>
                  <m:t>39</m:t>
                </m:r>
              </m:oMath>
            </m:oMathPara>
          </w:p>
        </w:tc>
        <w:tc>
          <w:tcPr>
            <w:tcW w:w="1429" w:type="dxa"/>
          </w:tcPr>
          <w:p w:rsidR="001756D5" w:rsidRPr="001756D5" w:rsidRDefault="001756D5" w:rsidP="001756D5">
            <w:pPr>
              <w:spacing w:after="0" w:line="24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26</w:t>
            </w:r>
          </w:p>
        </w:tc>
      </w:tr>
      <w:tr w:rsidR="001756D5" w:rsidRPr="001756D5" w:rsidTr="00893AFC">
        <w:trPr>
          <w:trHeight w:val="422"/>
        </w:trPr>
        <w:tc>
          <w:tcPr>
            <w:tcW w:w="2601" w:type="dxa"/>
            <w:shd w:val="clear" w:color="auto" w:fill="C4960C"/>
            <w:vAlign w:val="center"/>
          </w:tcPr>
          <w:p w:rsidR="001756D5" w:rsidRPr="001756D5" w:rsidRDefault="001756D5" w:rsidP="00893AFC">
            <w:pPr>
              <w:spacing w:after="0" w:line="24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TOTAL</w:t>
            </w:r>
          </w:p>
        </w:tc>
        <w:tc>
          <w:tcPr>
            <w:tcW w:w="1281" w:type="dxa"/>
            <w:shd w:val="clear" w:color="auto" w:fill="C4960C"/>
            <w:vAlign w:val="center"/>
          </w:tcPr>
          <w:p w:rsidR="001756D5" w:rsidRPr="001756D5" w:rsidRDefault="001756D5" w:rsidP="00893AFC">
            <w:pPr>
              <w:spacing w:after="0" w:line="24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100 points</w:t>
            </w:r>
          </w:p>
        </w:tc>
        <w:tc>
          <w:tcPr>
            <w:tcW w:w="1503" w:type="dxa"/>
            <w:shd w:val="clear" w:color="auto" w:fill="C4960C"/>
            <w:vAlign w:val="center"/>
          </w:tcPr>
          <w:p w:rsidR="001756D5" w:rsidRPr="001756D5" w:rsidRDefault="001756D5" w:rsidP="00893AFC">
            <w:pPr>
              <w:spacing w:after="0" w:line="24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12 réponses</w:t>
            </w:r>
          </w:p>
        </w:tc>
        <w:tc>
          <w:tcPr>
            <w:tcW w:w="1326" w:type="dxa"/>
            <w:shd w:val="clear" w:color="auto" w:fill="C4960C"/>
            <w:vAlign w:val="center"/>
          </w:tcPr>
          <w:p w:rsidR="001756D5" w:rsidRPr="001756D5" w:rsidRDefault="001756D5" w:rsidP="00893AFC">
            <w:pPr>
              <w:spacing w:after="0" w:line="24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n/a</w:t>
            </w:r>
          </w:p>
        </w:tc>
        <w:tc>
          <w:tcPr>
            <w:tcW w:w="1429" w:type="dxa"/>
            <w:shd w:val="clear" w:color="auto" w:fill="C4960C"/>
            <w:vAlign w:val="center"/>
          </w:tcPr>
          <w:p w:rsidR="001756D5" w:rsidRPr="001756D5" w:rsidRDefault="001756D5" w:rsidP="00893AFC">
            <w:pPr>
              <w:spacing w:after="0" w:line="24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34.66/100</w:t>
            </w:r>
          </w:p>
        </w:tc>
      </w:tr>
    </w:tbl>
    <w:p w:rsidR="001756D5" w:rsidRPr="001756D5" w:rsidRDefault="00123FFA" w:rsidP="00540A65">
      <w:pPr>
        <w:pStyle w:val="Paragraphedeliste"/>
        <w:numPr>
          <w:ilvl w:val="0"/>
          <w:numId w:val="7"/>
        </w:numPr>
        <w:spacing w:after="200" w:line="360" w:lineRule="auto"/>
        <w:jc w:val="both"/>
        <w:rPr>
          <w:rFonts w:ascii="Times New Roman" w:hAnsi="Times New Roman" w:cs="Times New Roman"/>
          <w:sz w:val="24"/>
          <w:szCs w:val="24"/>
        </w:rPr>
      </w:pPr>
      <w:r>
        <w:rPr>
          <w:rFonts w:ascii="Times New Roman" w:hAnsi="Times New Roman" w:cs="Times New Roman"/>
          <w:noProof/>
          <w:sz w:val="24"/>
          <w:szCs w:val="24"/>
          <w:lang w:eastAsia="fr-CA"/>
        </w:rPr>
        <w:lastRenderedPageBreak/>
        <w:drawing>
          <wp:anchor distT="0" distB="0" distL="114300" distR="114300" simplePos="0" relativeHeight="251672064" behindDoc="0" locked="0" layoutInCell="1" allowOverlap="1">
            <wp:simplePos x="0" y="0"/>
            <wp:positionH relativeFrom="column">
              <wp:posOffset>76200</wp:posOffset>
            </wp:positionH>
            <wp:positionV relativeFrom="paragraph">
              <wp:posOffset>628650</wp:posOffset>
            </wp:positionV>
            <wp:extent cx="5695950" cy="2771775"/>
            <wp:effectExtent l="19050" t="0" r="19050" b="0"/>
            <wp:wrapNone/>
            <wp:docPr id="4"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1756D5" w:rsidRPr="001756D5">
        <w:rPr>
          <w:rFonts w:ascii="Times New Roman" w:hAnsi="Times New Roman" w:cs="Times New Roman"/>
          <w:sz w:val="24"/>
          <w:szCs w:val="24"/>
        </w:rPr>
        <w:t>La pondération sera rapportée sur un graphique océan bleu de manière à obtenir le résultat suivant. L’opération sera répétée pour chaque université québécoise.</w:t>
      </w:r>
    </w:p>
    <w:p w:rsidR="001756D5" w:rsidRPr="001756D5" w:rsidRDefault="001756D5" w:rsidP="001756D5">
      <w:pPr>
        <w:spacing w:line="360" w:lineRule="auto"/>
        <w:ind w:left="360"/>
        <w:rPr>
          <w:rFonts w:ascii="Times New Roman" w:hAnsi="Times New Roman" w:cs="Times New Roman"/>
          <w:sz w:val="24"/>
          <w:szCs w:val="24"/>
        </w:rPr>
      </w:pPr>
    </w:p>
    <w:p w:rsidR="001756D5" w:rsidRPr="001756D5" w:rsidRDefault="001756D5" w:rsidP="001756D5">
      <w:pPr>
        <w:tabs>
          <w:tab w:val="left" w:pos="6635"/>
        </w:tabs>
        <w:spacing w:line="360" w:lineRule="auto"/>
        <w:rPr>
          <w:rFonts w:ascii="Times New Roman" w:hAnsi="Times New Roman" w:cs="Times New Roman"/>
          <w:sz w:val="24"/>
          <w:szCs w:val="24"/>
        </w:rPr>
      </w:pPr>
      <w:r w:rsidRPr="001756D5">
        <w:rPr>
          <w:rFonts w:ascii="Times New Roman" w:hAnsi="Times New Roman" w:cs="Times New Roman"/>
          <w:sz w:val="24"/>
          <w:szCs w:val="24"/>
        </w:rPr>
        <w:tab/>
      </w:r>
    </w:p>
    <w:p w:rsidR="001756D5" w:rsidRPr="001756D5" w:rsidRDefault="001756D5" w:rsidP="001756D5">
      <w:pPr>
        <w:tabs>
          <w:tab w:val="left" w:pos="6635"/>
        </w:tabs>
        <w:spacing w:line="360" w:lineRule="auto"/>
        <w:rPr>
          <w:rFonts w:ascii="Times New Roman" w:hAnsi="Times New Roman" w:cs="Times New Roman"/>
          <w:sz w:val="24"/>
          <w:szCs w:val="24"/>
        </w:rPr>
      </w:pPr>
    </w:p>
    <w:p w:rsidR="001756D5" w:rsidRPr="001756D5" w:rsidRDefault="001756D5" w:rsidP="001756D5">
      <w:pPr>
        <w:tabs>
          <w:tab w:val="left" w:pos="6635"/>
        </w:tabs>
        <w:spacing w:line="360" w:lineRule="auto"/>
        <w:rPr>
          <w:rFonts w:ascii="Times New Roman" w:hAnsi="Times New Roman" w:cs="Times New Roman"/>
          <w:sz w:val="24"/>
          <w:szCs w:val="24"/>
        </w:rPr>
      </w:pPr>
    </w:p>
    <w:p w:rsidR="001756D5" w:rsidRPr="001756D5" w:rsidRDefault="001756D5" w:rsidP="001756D5">
      <w:pPr>
        <w:tabs>
          <w:tab w:val="left" w:pos="6635"/>
        </w:tabs>
        <w:spacing w:line="360" w:lineRule="auto"/>
        <w:rPr>
          <w:rFonts w:ascii="Times New Roman" w:hAnsi="Times New Roman" w:cs="Times New Roman"/>
          <w:sz w:val="24"/>
          <w:szCs w:val="24"/>
        </w:rPr>
      </w:pPr>
    </w:p>
    <w:p w:rsidR="001756D5" w:rsidRPr="001756D5" w:rsidRDefault="001756D5" w:rsidP="001756D5">
      <w:pPr>
        <w:tabs>
          <w:tab w:val="left" w:pos="6635"/>
        </w:tabs>
        <w:spacing w:line="360" w:lineRule="auto"/>
        <w:rPr>
          <w:rFonts w:ascii="Times New Roman" w:hAnsi="Times New Roman" w:cs="Times New Roman"/>
          <w:sz w:val="24"/>
          <w:szCs w:val="24"/>
        </w:rPr>
      </w:pPr>
    </w:p>
    <w:p w:rsidR="001756D5" w:rsidRPr="001756D5" w:rsidRDefault="001756D5" w:rsidP="001756D5">
      <w:pPr>
        <w:tabs>
          <w:tab w:val="left" w:pos="6635"/>
        </w:tabs>
        <w:spacing w:line="360" w:lineRule="auto"/>
        <w:jc w:val="center"/>
        <w:rPr>
          <w:rFonts w:ascii="Times New Roman" w:hAnsi="Times New Roman" w:cs="Times New Roman"/>
          <w:b/>
          <w:sz w:val="24"/>
          <w:szCs w:val="24"/>
        </w:rPr>
      </w:pPr>
    </w:p>
    <w:p w:rsidR="001756D5" w:rsidRPr="001756D5" w:rsidRDefault="001756D5" w:rsidP="001756D5">
      <w:pPr>
        <w:tabs>
          <w:tab w:val="left" w:pos="6635"/>
        </w:tabs>
        <w:spacing w:line="360" w:lineRule="auto"/>
        <w:jc w:val="center"/>
        <w:rPr>
          <w:rFonts w:ascii="Times New Roman" w:hAnsi="Times New Roman" w:cs="Times New Roman"/>
          <w:b/>
          <w:sz w:val="24"/>
          <w:szCs w:val="24"/>
        </w:rPr>
      </w:pPr>
    </w:p>
    <w:p w:rsidR="001756D5" w:rsidRPr="001756D5" w:rsidRDefault="001756D5" w:rsidP="001756D5">
      <w:pPr>
        <w:tabs>
          <w:tab w:val="left" w:pos="6635"/>
        </w:tabs>
        <w:spacing w:line="360" w:lineRule="auto"/>
        <w:jc w:val="center"/>
        <w:rPr>
          <w:rFonts w:ascii="Times New Roman" w:hAnsi="Times New Roman" w:cs="Times New Roman"/>
          <w:b/>
          <w:sz w:val="24"/>
          <w:szCs w:val="24"/>
        </w:rPr>
      </w:pPr>
      <w:r w:rsidRPr="001756D5">
        <w:rPr>
          <w:rFonts w:ascii="Times New Roman" w:hAnsi="Times New Roman" w:cs="Times New Roman"/>
          <w:b/>
          <w:sz w:val="24"/>
          <w:szCs w:val="24"/>
        </w:rPr>
        <w:t>Océan bleu : industrie de l’éducation supérieure au Québec – Résultats</w:t>
      </w:r>
    </w:p>
    <w:p w:rsidR="001756D5" w:rsidRPr="001756D5" w:rsidRDefault="001756D5" w:rsidP="001756D5">
      <w:pPr>
        <w:tabs>
          <w:tab w:val="left" w:pos="6635"/>
        </w:tabs>
        <w:spacing w:line="360" w:lineRule="auto"/>
        <w:jc w:val="both"/>
        <w:rPr>
          <w:rFonts w:ascii="Times New Roman" w:hAnsi="Times New Roman" w:cs="Times New Roman"/>
          <w:sz w:val="24"/>
          <w:szCs w:val="24"/>
        </w:rPr>
      </w:pPr>
      <w:r w:rsidRPr="001756D5">
        <w:rPr>
          <w:rFonts w:ascii="Times New Roman" w:hAnsi="Times New Roman" w:cs="Times New Roman"/>
          <w:sz w:val="24"/>
          <w:szCs w:val="24"/>
        </w:rPr>
        <w:t>L’enquête compilée permet de dégager les résultats suivants, ainsi que le tableau de la page suivante.</w:t>
      </w:r>
    </w:p>
    <w:tbl>
      <w:tblPr>
        <w:tblW w:w="10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178"/>
        <w:gridCol w:w="983"/>
        <w:gridCol w:w="1523"/>
        <w:gridCol w:w="186"/>
        <w:gridCol w:w="834"/>
        <w:gridCol w:w="186"/>
        <w:gridCol w:w="1367"/>
        <w:gridCol w:w="186"/>
        <w:gridCol w:w="839"/>
        <w:gridCol w:w="186"/>
        <w:gridCol w:w="901"/>
        <w:gridCol w:w="248"/>
      </w:tblGrid>
      <w:tr w:rsidR="001756D5" w:rsidRPr="001756D5" w:rsidTr="00893AFC">
        <w:trPr>
          <w:trHeight w:val="286"/>
          <w:jc w:val="center"/>
        </w:trPr>
        <w:tc>
          <w:tcPr>
            <w:tcW w:w="3178" w:type="dxa"/>
            <w:shd w:val="clear" w:color="auto" w:fill="00703C"/>
            <w:noWrap/>
            <w:vAlign w:val="center"/>
            <w:hideMark/>
          </w:tcPr>
          <w:p w:rsidR="001756D5" w:rsidRPr="00893AFC" w:rsidRDefault="001756D5" w:rsidP="00893AFC">
            <w:pPr>
              <w:spacing w:after="0" w:line="240" w:lineRule="auto"/>
              <w:jc w:val="center"/>
              <w:rPr>
                <w:rFonts w:ascii="Times New Roman" w:eastAsia="Times New Roman" w:hAnsi="Times New Roman" w:cs="Times New Roman"/>
                <w:b/>
                <w:bCs/>
                <w:color w:val="FFFFFF" w:themeColor="background1"/>
                <w:sz w:val="24"/>
                <w:szCs w:val="24"/>
                <w:lang w:eastAsia="fr-CA"/>
              </w:rPr>
            </w:pPr>
            <w:r w:rsidRPr="00893AFC">
              <w:rPr>
                <w:rFonts w:ascii="Times New Roman" w:eastAsia="Times New Roman" w:hAnsi="Times New Roman" w:cs="Times New Roman"/>
                <w:b/>
                <w:bCs/>
                <w:color w:val="FFFFFF" w:themeColor="background1"/>
                <w:sz w:val="24"/>
                <w:szCs w:val="24"/>
                <w:lang w:eastAsia="fr-CA"/>
              </w:rPr>
              <w:t>Critères de valeur</w:t>
            </w:r>
          </w:p>
        </w:tc>
        <w:tc>
          <w:tcPr>
            <w:tcW w:w="983" w:type="dxa"/>
            <w:shd w:val="clear" w:color="auto" w:fill="00703C"/>
            <w:noWrap/>
            <w:vAlign w:val="center"/>
            <w:hideMark/>
          </w:tcPr>
          <w:p w:rsidR="001756D5" w:rsidRPr="00893AFC" w:rsidRDefault="001756D5" w:rsidP="00893AFC">
            <w:pPr>
              <w:spacing w:after="0" w:line="240" w:lineRule="auto"/>
              <w:jc w:val="center"/>
              <w:rPr>
                <w:rFonts w:ascii="Times New Roman" w:eastAsia="Times New Roman" w:hAnsi="Times New Roman" w:cs="Times New Roman"/>
                <w:b/>
                <w:bCs/>
                <w:color w:val="FFFFFF" w:themeColor="background1"/>
                <w:sz w:val="24"/>
                <w:szCs w:val="24"/>
                <w:lang w:eastAsia="fr-CA"/>
              </w:rPr>
            </w:pPr>
            <w:r w:rsidRPr="00893AFC">
              <w:rPr>
                <w:rFonts w:ascii="Times New Roman" w:eastAsia="Times New Roman" w:hAnsi="Times New Roman" w:cs="Times New Roman"/>
                <w:b/>
                <w:bCs/>
                <w:color w:val="FFFFFF" w:themeColor="background1"/>
                <w:sz w:val="24"/>
                <w:szCs w:val="24"/>
                <w:lang w:eastAsia="fr-CA"/>
              </w:rPr>
              <w:t>Valeur réelle</w:t>
            </w:r>
          </w:p>
        </w:tc>
        <w:tc>
          <w:tcPr>
            <w:tcW w:w="1523" w:type="dxa"/>
            <w:shd w:val="clear" w:color="auto" w:fill="00703C"/>
            <w:noWrap/>
            <w:vAlign w:val="center"/>
            <w:hideMark/>
          </w:tcPr>
          <w:p w:rsidR="001756D5" w:rsidRPr="00893AFC" w:rsidRDefault="001756D5" w:rsidP="00893AFC">
            <w:pPr>
              <w:spacing w:after="0" w:line="240" w:lineRule="auto"/>
              <w:jc w:val="center"/>
              <w:rPr>
                <w:rFonts w:ascii="Times New Roman" w:eastAsia="Times New Roman" w:hAnsi="Times New Roman" w:cs="Times New Roman"/>
                <w:b/>
                <w:bCs/>
                <w:color w:val="FFFFFF" w:themeColor="background1"/>
                <w:sz w:val="24"/>
                <w:szCs w:val="24"/>
                <w:lang w:eastAsia="fr-CA"/>
              </w:rPr>
            </w:pPr>
            <w:r w:rsidRPr="00893AFC">
              <w:rPr>
                <w:rFonts w:ascii="Times New Roman" w:eastAsia="Times New Roman" w:hAnsi="Times New Roman" w:cs="Times New Roman"/>
                <w:b/>
                <w:bCs/>
                <w:color w:val="FFFFFF" w:themeColor="background1"/>
                <w:sz w:val="24"/>
                <w:szCs w:val="24"/>
                <w:lang w:eastAsia="fr-CA"/>
              </w:rPr>
              <w:t>Pondération (sur 100)</w:t>
            </w:r>
          </w:p>
        </w:tc>
        <w:tc>
          <w:tcPr>
            <w:tcW w:w="186" w:type="dxa"/>
            <w:shd w:val="clear" w:color="auto" w:fill="00703C"/>
            <w:noWrap/>
            <w:vAlign w:val="center"/>
            <w:hideMark/>
          </w:tcPr>
          <w:p w:rsidR="001756D5" w:rsidRPr="00893AFC" w:rsidRDefault="001756D5" w:rsidP="00893AFC">
            <w:pPr>
              <w:spacing w:after="0" w:line="240" w:lineRule="auto"/>
              <w:jc w:val="center"/>
              <w:rPr>
                <w:rFonts w:ascii="Times New Roman" w:eastAsia="Times New Roman" w:hAnsi="Times New Roman" w:cs="Times New Roman"/>
                <w:color w:val="FFFFFF" w:themeColor="background1"/>
                <w:sz w:val="24"/>
                <w:szCs w:val="24"/>
                <w:lang w:eastAsia="fr-CA"/>
              </w:rPr>
            </w:pPr>
          </w:p>
        </w:tc>
        <w:tc>
          <w:tcPr>
            <w:tcW w:w="834" w:type="dxa"/>
            <w:shd w:val="clear" w:color="auto" w:fill="00703C"/>
            <w:noWrap/>
            <w:vAlign w:val="center"/>
            <w:hideMark/>
          </w:tcPr>
          <w:p w:rsidR="001756D5" w:rsidRPr="00893AFC" w:rsidRDefault="001756D5" w:rsidP="00893AFC">
            <w:pPr>
              <w:spacing w:after="0" w:line="240" w:lineRule="auto"/>
              <w:jc w:val="center"/>
              <w:rPr>
                <w:rFonts w:ascii="Times New Roman" w:eastAsia="Times New Roman" w:hAnsi="Times New Roman" w:cs="Times New Roman"/>
                <w:b/>
                <w:bCs/>
                <w:color w:val="FFFFFF" w:themeColor="background1"/>
                <w:sz w:val="24"/>
                <w:szCs w:val="24"/>
                <w:lang w:eastAsia="fr-CA"/>
              </w:rPr>
            </w:pPr>
            <w:r w:rsidRPr="00893AFC">
              <w:rPr>
                <w:rFonts w:ascii="Times New Roman" w:eastAsia="Times New Roman" w:hAnsi="Times New Roman" w:cs="Times New Roman"/>
                <w:b/>
                <w:bCs/>
                <w:color w:val="FFFFFF" w:themeColor="background1"/>
                <w:sz w:val="24"/>
                <w:szCs w:val="24"/>
                <w:lang w:eastAsia="fr-CA"/>
              </w:rPr>
              <w:t>UQTR</w:t>
            </w:r>
          </w:p>
        </w:tc>
        <w:tc>
          <w:tcPr>
            <w:tcW w:w="186" w:type="dxa"/>
            <w:shd w:val="clear" w:color="auto" w:fill="00703C"/>
            <w:noWrap/>
            <w:vAlign w:val="center"/>
            <w:hideMark/>
          </w:tcPr>
          <w:p w:rsidR="001756D5" w:rsidRPr="00893AFC" w:rsidRDefault="001756D5" w:rsidP="00893AFC">
            <w:pPr>
              <w:spacing w:after="0" w:line="240" w:lineRule="auto"/>
              <w:jc w:val="center"/>
              <w:rPr>
                <w:rFonts w:ascii="Times New Roman" w:eastAsia="Times New Roman" w:hAnsi="Times New Roman" w:cs="Times New Roman"/>
                <w:color w:val="FFFFFF" w:themeColor="background1"/>
                <w:sz w:val="24"/>
                <w:szCs w:val="24"/>
                <w:lang w:eastAsia="fr-CA"/>
              </w:rPr>
            </w:pPr>
          </w:p>
        </w:tc>
        <w:tc>
          <w:tcPr>
            <w:tcW w:w="1367" w:type="dxa"/>
            <w:shd w:val="clear" w:color="auto" w:fill="00703C"/>
            <w:noWrap/>
            <w:vAlign w:val="center"/>
            <w:hideMark/>
          </w:tcPr>
          <w:p w:rsidR="001756D5" w:rsidRPr="00893AFC" w:rsidRDefault="001756D5" w:rsidP="00893AFC">
            <w:pPr>
              <w:spacing w:after="0" w:line="240" w:lineRule="auto"/>
              <w:jc w:val="center"/>
              <w:rPr>
                <w:rFonts w:ascii="Times New Roman" w:eastAsia="Times New Roman" w:hAnsi="Times New Roman" w:cs="Times New Roman"/>
                <w:b/>
                <w:bCs/>
                <w:color w:val="FFFFFF" w:themeColor="background1"/>
                <w:sz w:val="24"/>
                <w:szCs w:val="24"/>
                <w:lang w:eastAsia="fr-CA"/>
              </w:rPr>
            </w:pPr>
            <w:r w:rsidRPr="00893AFC">
              <w:rPr>
                <w:rFonts w:ascii="Times New Roman" w:eastAsia="Times New Roman" w:hAnsi="Times New Roman" w:cs="Times New Roman"/>
                <w:b/>
                <w:bCs/>
                <w:color w:val="FFFFFF" w:themeColor="background1"/>
                <w:sz w:val="24"/>
                <w:szCs w:val="24"/>
                <w:lang w:eastAsia="fr-CA"/>
              </w:rPr>
              <w:t>HEC/</w:t>
            </w:r>
            <w:proofErr w:type="spellStart"/>
            <w:r w:rsidRPr="00893AFC">
              <w:rPr>
                <w:rFonts w:ascii="Times New Roman" w:eastAsia="Times New Roman" w:hAnsi="Times New Roman" w:cs="Times New Roman"/>
                <w:b/>
                <w:bCs/>
                <w:color w:val="FFFFFF" w:themeColor="background1"/>
                <w:sz w:val="24"/>
                <w:szCs w:val="24"/>
                <w:lang w:eastAsia="fr-CA"/>
              </w:rPr>
              <w:t>UdeM</w:t>
            </w:r>
            <w:proofErr w:type="spellEnd"/>
          </w:p>
        </w:tc>
        <w:tc>
          <w:tcPr>
            <w:tcW w:w="186" w:type="dxa"/>
            <w:shd w:val="clear" w:color="auto" w:fill="00703C"/>
            <w:noWrap/>
            <w:vAlign w:val="center"/>
            <w:hideMark/>
          </w:tcPr>
          <w:p w:rsidR="001756D5" w:rsidRPr="00893AFC" w:rsidRDefault="001756D5" w:rsidP="00893AFC">
            <w:pPr>
              <w:spacing w:after="0" w:line="240" w:lineRule="auto"/>
              <w:jc w:val="center"/>
              <w:rPr>
                <w:rFonts w:ascii="Times New Roman" w:eastAsia="Times New Roman" w:hAnsi="Times New Roman" w:cs="Times New Roman"/>
                <w:color w:val="FFFFFF" w:themeColor="background1"/>
                <w:sz w:val="24"/>
                <w:szCs w:val="24"/>
                <w:lang w:eastAsia="fr-CA"/>
              </w:rPr>
            </w:pPr>
          </w:p>
        </w:tc>
        <w:tc>
          <w:tcPr>
            <w:tcW w:w="839" w:type="dxa"/>
            <w:shd w:val="clear" w:color="auto" w:fill="00703C"/>
            <w:noWrap/>
            <w:vAlign w:val="center"/>
            <w:hideMark/>
          </w:tcPr>
          <w:p w:rsidR="001756D5" w:rsidRPr="00893AFC" w:rsidRDefault="001756D5" w:rsidP="00893AFC">
            <w:pPr>
              <w:spacing w:after="0" w:line="240" w:lineRule="auto"/>
              <w:jc w:val="center"/>
              <w:rPr>
                <w:rFonts w:ascii="Times New Roman" w:eastAsia="Times New Roman" w:hAnsi="Times New Roman" w:cs="Times New Roman"/>
                <w:b/>
                <w:bCs/>
                <w:color w:val="FFFFFF" w:themeColor="background1"/>
                <w:sz w:val="24"/>
                <w:szCs w:val="24"/>
                <w:lang w:eastAsia="fr-CA"/>
              </w:rPr>
            </w:pPr>
            <w:proofErr w:type="spellStart"/>
            <w:r w:rsidRPr="00893AFC">
              <w:rPr>
                <w:rFonts w:ascii="Times New Roman" w:eastAsia="Times New Roman" w:hAnsi="Times New Roman" w:cs="Times New Roman"/>
                <w:b/>
                <w:bCs/>
                <w:color w:val="FFFFFF" w:themeColor="background1"/>
                <w:sz w:val="24"/>
                <w:szCs w:val="24"/>
                <w:lang w:eastAsia="fr-CA"/>
              </w:rPr>
              <w:t>USher</w:t>
            </w:r>
            <w:proofErr w:type="spellEnd"/>
          </w:p>
        </w:tc>
        <w:tc>
          <w:tcPr>
            <w:tcW w:w="186" w:type="dxa"/>
            <w:shd w:val="clear" w:color="auto" w:fill="00703C"/>
            <w:noWrap/>
            <w:vAlign w:val="center"/>
            <w:hideMark/>
          </w:tcPr>
          <w:p w:rsidR="001756D5" w:rsidRPr="00893AFC" w:rsidRDefault="001756D5" w:rsidP="00893AFC">
            <w:pPr>
              <w:spacing w:after="0" w:line="240" w:lineRule="auto"/>
              <w:jc w:val="center"/>
              <w:rPr>
                <w:rFonts w:ascii="Times New Roman" w:eastAsia="Times New Roman" w:hAnsi="Times New Roman" w:cs="Times New Roman"/>
                <w:color w:val="FFFFFF" w:themeColor="background1"/>
                <w:sz w:val="24"/>
                <w:szCs w:val="24"/>
                <w:lang w:eastAsia="fr-CA"/>
              </w:rPr>
            </w:pPr>
          </w:p>
        </w:tc>
        <w:tc>
          <w:tcPr>
            <w:tcW w:w="853" w:type="dxa"/>
            <w:shd w:val="clear" w:color="auto" w:fill="00703C"/>
            <w:noWrap/>
            <w:vAlign w:val="center"/>
            <w:hideMark/>
          </w:tcPr>
          <w:p w:rsidR="001756D5" w:rsidRPr="00893AFC" w:rsidRDefault="001756D5" w:rsidP="00893AFC">
            <w:pPr>
              <w:spacing w:after="0" w:line="240" w:lineRule="auto"/>
              <w:jc w:val="center"/>
              <w:rPr>
                <w:rFonts w:ascii="Times New Roman" w:eastAsia="Times New Roman" w:hAnsi="Times New Roman" w:cs="Times New Roman"/>
                <w:b/>
                <w:bCs/>
                <w:color w:val="FFFFFF" w:themeColor="background1"/>
                <w:sz w:val="24"/>
                <w:szCs w:val="24"/>
                <w:lang w:eastAsia="fr-CA"/>
              </w:rPr>
            </w:pPr>
            <w:proofErr w:type="spellStart"/>
            <w:r w:rsidRPr="00893AFC">
              <w:rPr>
                <w:rFonts w:ascii="Times New Roman" w:eastAsia="Times New Roman" w:hAnsi="Times New Roman" w:cs="Times New Roman"/>
                <w:b/>
                <w:bCs/>
                <w:color w:val="FFFFFF" w:themeColor="background1"/>
                <w:sz w:val="24"/>
                <w:szCs w:val="24"/>
                <w:lang w:eastAsia="fr-CA"/>
              </w:rPr>
              <w:t>ULaval</w:t>
            </w:r>
            <w:proofErr w:type="spellEnd"/>
          </w:p>
        </w:tc>
        <w:tc>
          <w:tcPr>
            <w:tcW w:w="248" w:type="dxa"/>
            <w:shd w:val="clear" w:color="auto" w:fill="00703C"/>
            <w:noWrap/>
            <w:vAlign w:val="center"/>
            <w:hideMark/>
          </w:tcPr>
          <w:p w:rsidR="001756D5" w:rsidRPr="00893AFC" w:rsidRDefault="001756D5" w:rsidP="00893AFC">
            <w:pPr>
              <w:spacing w:after="0" w:line="240" w:lineRule="auto"/>
              <w:jc w:val="center"/>
              <w:rPr>
                <w:rFonts w:ascii="Times New Roman" w:eastAsia="Times New Roman" w:hAnsi="Times New Roman" w:cs="Times New Roman"/>
                <w:color w:val="FFFFFF" w:themeColor="background1"/>
                <w:sz w:val="24"/>
                <w:szCs w:val="24"/>
                <w:lang w:eastAsia="fr-CA"/>
              </w:rPr>
            </w:pPr>
          </w:p>
        </w:tc>
      </w:tr>
      <w:tr w:rsidR="001756D5" w:rsidRPr="001756D5" w:rsidTr="00893AFC">
        <w:trPr>
          <w:trHeight w:val="502"/>
          <w:jc w:val="center"/>
        </w:trPr>
        <w:tc>
          <w:tcPr>
            <w:tcW w:w="3178" w:type="dxa"/>
            <w:shd w:val="clear" w:color="auto" w:fill="auto"/>
            <w:vAlign w:val="center"/>
            <w:hideMark/>
          </w:tcPr>
          <w:p w:rsidR="001756D5" w:rsidRPr="001756D5" w:rsidRDefault="001756D5" w:rsidP="001756D5">
            <w:pPr>
              <w:spacing w:after="0" w:line="240" w:lineRule="auto"/>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Installations sportives</w:t>
            </w:r>
          </w:p>
        </w:tc>
        <w:tc>
          <w:tcPr>
            <w:tcW w:w="983" w:type="dxa"/>
            <w:shd w:val="clear" w:color="auto" w:fill="auto"/>
            <w:vAlign w:val="bottom"/>
            <w:hideMark/>
          </w:tcPr>
          <w:p w:rsidR="001756D5" w:rsidRPr="001756D5" w:rsidRDefault="001756D5" w:rsidP="001756D5">
            <w:pPr>
              <w:spacing w:after="0" w:line="36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4</w:t>
            </w:r>
          </w:p>
        </w:tc>
        <w:tc>
          <w:tcPr>
            <w:tcW w:w="1523" w:type="dxa"/>
            <w:shd w:val="clear" w:color="auto" w:fill="auto"/>
            <w:vAlign w:val="bottom"/>
            <w:hideMark/>
          </w:tcPr>
          <w:p w:rsidR="001756D5" w:rsidRPr="001756D5" w:rsidRDefault="001756D5" w:rsidP="001756D5">
            <w:pPr>
              <w:spacing w:after="0" w:line="36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3</w:t>
            </w:r>
          </w:p>
        </w:tc>
        <w:tc>
          <w:tcPr>
            <w:tcW w:w="186" w:type="dxa"/>
            <w:shd w:val="clear" w:color="auto" w:fill="auto"/>
            <w:vAlign w:val="bottom"/>
            <w:hideMark/>
          </w:tcPr>
          <w:p w:rsidR="001756D5" w:rsidRPr="001756D5" w:rsidRDefault="001756D5" w:rsidP="001756D5">
            <w:pPr>
              <w:spacing w:after="0" w:line="360" w:lineRule="auto"/>
              <w:jc w:val="center"/>
              <w:rPr>
                <w:rFonts w:ascii="Times New Roman" w:eastAsia="Times New Roman" w:hAnsi="Times New Roman" w:cs="Times New Roman"/>
                <w:color w:val="000000"/>
                <w:sz w:val="24"/>
                <w:szCs w:val="24"/>
                <w:lang w:eastAsia="fr-CA"/>
              </w:rPr>
            </w:pPr>
          </w:p>
        </w:tc>
        <w:tc>
          <w:tcPr>
            <w:tcW w:w="834" w:type="dxa"/>
            <w:shd w:val="clear" w:color="auto" w:fill="auto"/>
            <w:vAlign w:val="bottom"/>
            <w:hideMark/>
          </w:tcPr>
          <w:p w:rsidR="001756D5" w:rsidRPr="001756D5" w:rsidRDefault="001756D5" w:rsidP="001756D5">
            <w:pPr>
              <w:spacing w:after="0" w:line="36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0</w:t>
            </w:r>
          </w:p>
        </w:tc>
        <w:tc>
          <w:tcPr>
            <w:tcW w:w="186" w:type="dxa"/>
            <w:shd w:val="clear" w:color="auto" w:fill="auto"/>
            <w:vAlign w:val="bottom"/>
            <w:hideMark/>
          </w:tcPr>
          <w:p w:rsidR="001756D5" w:rsidRPr="001756D5" w:rsidRDefault="001756D5" w:rsidP="001756D5">
            <w:pPr>
              <w:spacing w:after="0" w:line="360" w:lineRule="auto"/>
              <w:jc w:val="center"/>
              <w:rPr>
                <w:rFonts w:ascii="Times New Roman" w:eastAsia="Times New Roman" w:hAnsi="Times New Roman" w:cs="Times New Roman"/>
                <w:color w:val="000000"/>
                <w:sz w:val="24"/>
                <w:szCs w:val="24"/>
                <w:lang w:eastAsia="fr-CA"/>
              </w:rPr>
            </w:pPr>
          </w:p>
        </w:tc>
        <w:tc>
          <w:tcPr>
            <w:tcW w:w="1367" w:type="dxa"/>
            <w:shd w:val="clear" w:color="auto" w:fill="auto"/>
            <w:vAlign w:val="bottom"/>
            <w:hideMark/>
          </w:tcPr>
          <w:p w:rsidR="001756D5" w:rsidRPr="001756D5" w:rsidRDefault="001756D5" w:rsidP="001756D5">
            <w:pPr>
              <w:spacing w:after="0" w:line="36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0</w:t>
            </w:r>
          </w:p>
        </w:tc>
        <w:tc>
          <w:tcPr>
            <w:tcW w:w="186" w:type="dxa"/>
            <w:shd w:val="clear" w:color="auto" w:fill="auto"/>
            <w:vAlign w:val="bottom"/>
            <w:hideMark/>
          </w:tcPr>
          <w:p w:rsidR="001756D5" w:rsidRPr="001756D5" w:rsidRDefault="001756D5" w:rsidP="001756D5">
            <w:pPr>
              <w:spacing w:after="0" w:line="360" w:lineRule="auto"/>
              <w:jc w:val="center"/>
              <w:rPr>
                <w:rFonts w:ascii="Times New Roman" w:eastAsia="Times New Roman" w:hAnsi="Times New Roman" w:cs="Times New Roman"/>
                <w:color w:val="000000"/>
                <w:sz w:val="24"/>
                <w:szCs w:val="24"/>
                <w:lang w:eastAsia="fr-CA"/>
              </w:rPr>
            </w:pPr>
          </w:p>
        </w:tc>
        <w:tc>
          <w:tcPr>
            <w:tcW w:w="839" w:type="dxa"/>
            <w:shd w:val="clear" w:color="auto" w:fill="auto"/>
            <w:vAlign w:val="bottom"/>
            <w:hideMark/>
          </w:tcPr>
          <w:p w:rsidR="001756D5" w:rsidRPr="001756D5" w:rsidRDefault="001756D5" w:rsidP="001756D5">
            <w:pPr>
              <w:spacing w:after="0" w:line="36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1,5</w:t>
            </w:r>
          </w:p>
        </w:tc>
        <w:tc>
          <w:tcPr>
            <w:tcW w:w="186" w:type="dxa"/>
            <w:shd w:val="clear" w:color="auto" w:fill="auto"/>
            <w:vAlign w:val="bottom"/>
            <w:hideMark/>
          </w:tcPr>
          <w:p w:rsidR="001756D5" w:rsidRPr="001756D5" w:rsidRDefault="001756D5" w:rsidP="001756D5">
            <w:pPr>
              <w:spacing w:after="0" w:line="360" w:lineRule="auto"/>
              <w:jc w:val="center"/>
              <w:rPr>
                <w:rFonts w:ascii="Times New Roman" w:eastAsia="Times New Roman" w:hAnsi="Times New Roman" w:cs="Times New Roman"/>
                <w:color w:val="000000"/>
                <w:sz w:val="24"/>
                <w:szCs w:val="24"/>
                <w:lang w:eastAsia="fr-CA"/>
              </w:rPr>
            </w:pPr>
          </w:p>
        </w:tc>
        <w:tc>
          <w:tcPr>
            <w:tcW w:w="853" w:type="dxa"/>
            <w:shd w:val="clear" w:color="auto" w:fill="auto"/>
            <w:vAlign w:val="bottom"/>
            <w:hideMark/>
          </w:tcPr>
          <w:p w:rsidR="001756D5" w:rsidRPr="001756D5" w:rsidRDefault="001756D5" w:rsidP="001756D5">
            <w:pPr>
              <w:spacing w:after="0" w:line="36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0</w:t>
            </w:r>
          </w:p>
        </w:tc>
        <w:tc>
          <w:tcPr>
            <w:tcW w:w="248" w:type="dxa"/>
            <w:shd w:val="clear" w:color="auto" w:fill="auto"/>
            <w:vAlign w:val="bottom"/>
            <w:hideMark/>
          </w:tcPr>
          <w:p w:rsidR="001756D5" w:rsidRPr="001756D5" w:rsidRDefault="001756D5" w:rsidP="001756D5">
            <w:pPr>
              <w:spacing w:after="0" w:line="360" w:lineRule="auto"/>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 </w:t>
            </w:r>
          </w:p>
        </w:tc>
      </w:tr>
      <w:tr w:rsidR="001756D5" w:rsidRPr="001756D5" w:rsidTr="00893AFC">
        <w:trPr>
          <w:trHeight w:val="558"/>
          <w:jc w:val="center"/>
        </w:trPr>
        <w:tc>
          <w:tcPr>
            <w:tcW w:w="3178" w:type="dxa"/>
            <w:shd w:val="clear" w:color="auto" w:fill="auto"/>
            <w:vAlign w:val="center"/>
            <w:hideMark/>
          </w:tcPr>
          <w:p w:rsidR="001756D5" w:rsidRPr="001756D5" w:rsidRDefault="001756D5" w:rsidP="001756D5">
            <w:pPr>
              <w:spacing w:after="0" w:line="240" w:lineRule="auto"/>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Réputation de la vie étudiante</w:t>
            </w:r>
          </w:p>
        </w:tc>
        <w:tc>
          <w:tcPr>
            <w:tcW w:w="983" w:type="dxa"/>
            <w:shd w:val="clear" w:color="auto" w:fill="auto"/>
            <w:vAlign w:val="bottom"/>
            <w:hideMark/>
          </w:tcPr>
          <w:p w:rsidR="001756D5" w:rsidRPr="001756D5" w:rsidRDefault="001756D5" w:rsidP="001756D5">
            <w:pPr>
              <w:spacing w:after="0" w:line="36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8</w:t>
            </w:r>
          </w:p>
        </w:tc>
        <w:tc>
          <w:tcPr>
            <w:tcW w:w="1523" w:type="dxa"/>
            <w:shd w:val="clear" w:color="auto" w:fill="auto"/>
            <w:vAlign w:val="bottom"/>
            <w:hideMark/>
          </w:tcPr>
          <w:p w:rsidR="001756D5" w:rsidRPr="001756D5" w:rsidRDefault="001756D5" w:rsidP="001756D5">
            <w:pPr>
              <w:spacing w:after="0" w:line="36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6</w:t>
            </w:r>
          </w:p>
        </w:tc>
        <w:tc>
          <w:tcPr>
            <w:tcW w:w="186" w:type="dxa"/>
            <w:shd w:val="clear" w:color="auto" w:fill="auto"/>
            <w:vAlign w:val="bottom"/>
            <w:hideMark/>
          </w:tcPr>
          <w:p w:rsidR="001756D5" w:rsidRPr="001756D5" w:rsidRDefault="001756D5" w:rsidP="001756D5">
            <w:pPr>
              <w:spacing w:after="0" w:line="360" w:lineRule="auto"/>
              <w:jc w:val="center"/>
              <w:rPr>
                <w:rFonts w:ascii="Times New Roman" w:eastAsia="Times New Roman" w:hAnsi="Times New Roman" w:cs="Times New Roman"/>
                <w:color w:val="000000"/>
                <w:sz w:val="24"/>
                <w:szCs w:val="24"/>
                <w:lang w:eastAsia="fr-CA"/>
              </w:rPr>
            </w:pPr>
          </w:p>
        </w:tc>
        <w:tc>
          <w:tcPr>
            <w:tcW w:w="834" w:type="dxa"/>
            <w:shd w:val="clear" w:color="auto" w:fill="auto"/>
            <w:vAlign w:val="bottom"/>
            <w:hideMark/>
          </w:tcPr>
          <w:p w:rsidR="001756D5" w:rsidRPr="001756D5" w:rsidRDefault="001756D5" w:rsidP="001756D5">
            <w:pPr>
              <w:spacing w:after="0" w:line="36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0</w:t>
            </w:r>
          </w:p>
        </w:tc>
        <w:tc>
          <w:tcPr>
            <w:tcW w:w="186" w:type="dxa"/>
            <w:shd w:val="clear" w:color="auto" w:fill="auto"/>
            <w:vAlign w:val="bottom"/>
            <w:hideMark/>
          </w:tcPr>
          <w:p w:rsidR="001756D5" w:rsidRPr="001756D5" w:rsidRDefault="001756D5" w:rsidP="001756D5">
            <w:pPr>
              <w:spacing w:after="0" w:line="360" w:lineRule="auto"/>
              <w:jc w:val="center"/>
              <w:rPr>
                <w:rFonts w:ascii="Times New Roman" w:eastAsia="Times New Roman" w:hAnsi="Times New Roman" w:cs="Times New Roman"/>
                <w:color w:val="000000"/>
                <w:sz w:val="24"/>
                <w:szCs w:val="24"/>
                <w:lang w:eastAsia="fr-CA"/>
              </w:rPr>
            </w:pPr>
          </w:p>
        </w:tc>
        <w:tc>
          <w:tcPr>
            <w:tcW w:w="1367" w:type="dxa"/>
            <w:shd w:val="clear" w:color="auto" w:fill="auto"/>
            <w:vAlign w:val="bottom"/>
            <w:hideMark/>
          </w:tcPr>
          <w:p w:rsidR="001756D5" w:rsidRPr="001756D5" w:rsidRDefault="001756D5" w:rsidP="001756D5">
            <w:pPr>
              <w:spacing w:after="0" w:line="36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0</w:t>
            </w:r>
          </w:p>
        </w:tc>
        <w:tc>
          <w:tcPr>
            <w:tcW w:w="186" w:type="dxa"/>
            <w:shd w:val="clear" w:color="auto" w:fill="auto"/>
            <w:vAlign w:val="bottom"/>
            <w:hideMark/>
          </w:tcPr>
          <w:p w:rsidR="001756D5" w:rsidRPr="001756D5" w:rsidRDefault="001756D5" w:rsidP="001756D5">
            <w:pPr>
              <w:spacing w:after="0" w:line="360" w:lineRule="auto"/>
              <w:jc w:val="center"/>
              <w:rPr>
                <w:rFonts w:ascii="Times New Roman" w:eastAsia="Times New Roman" w:hAnsi="Times New Roman" w:cs="Times New Roman"/>
                <w:color w:val="000000"/>
                <w:sz w:val="24"/>
                <w:szCs w:val="24"/>
                <w:lang w:eastAsia="fr-CA"/>
              </w:rPr>
            </w:pPr>
          </w:p>
        </w:tc>
        <w:tc>
          <w:tcPr>
            <w:tcW w:w="839" w:type="dxa"/>
            <w:shd w:val="clear" w:color="auto" w:fill="auto"/>
            <w:vAlign w:val="bottom"/>
            <w:hideMark/>
          </w:tcPr>
          <w:p w:rsidR="001756D5" w:rsidRPr="001756D5" w:rsidRDefault="001756D5" w:rsidP="001756D5">
            <w:pPr>
              <w:spacing w:after="0" w:line="36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0</w:t>
            </w:r>
          </w:p>
        </w:tc>
        <w:tc>
          <w:tcPr>
            <w:tcW w:w="186" w:type="dxa"/>
            <w:shd w:val="clear" w:color="auto" w:fill="auto"/>
            <w:vAlign w:val="bottom"/>
            <w:hideMark/>
          </w:tcPr>
          <w:p w:rsidR="001756D5" w:rsidRPr="001756D5" w:rsidRDefault="001756D5" w:rsidP="001756D5">
            <w:pPr>
              <w:spacing w:after="0" w:line="360" w:lineRule="auto"/>
              <w:jc w:val="center"/>
              <w:rPr>
                <w:rFonts w:ascii="Times New Roman" w:eastAsia="Times New Roman" w:hAnsi="Times New Roman" w:cs="Times New Roman"/>
                <w:color w:val="000000"/>
                <w:sz w:val="24"/>
                <w:szCs w:val="24"/>
                <w:lang w:eastAsia="fr-CA"/>
              </w:rPr>
            </w:pPr>
          </w:p>
        </w:tc>
        <w:tc>
          <w:tcPr>
            <w:tcW w:w="853" w:type="dxa"/>
            <w:shd w:val="clear" w:color="auto" w:fill="auto"/>
            <w:vAlign w:val="bottom"/>
            <w:hideMark/>
          </w:tcPr>
          <w:p w:rsidR="001756D5" w:rsidRPr="001756D5" w:rsidRDefault="001756D5" w:rsidP="001756D5">
            <w:pPr>
              <w:spacing w:after="0" w:line="36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1,2</w:t>
            </w:r>
          </w:p>
        </w:tc>
        <w:tc>
          <w:tcPr>
            <w:tcW w:w="248" w:type="dxa"/>
            <w:shd w:val="clear" w:color="auto" w:fill="auto"/>
            <w:vAlign w:val="bottom"/>
            <w:hideMark/>
          </w:tcPr>
          <w:p w:rsidR="001756D5" w:rsidRPr="001756D5" w:rsidRDefault="001756D5" w:rsidP="001756D5">
            <w:pPr>
              <w:spacing w:after="0" w:line="360" w:lineRule="auto"/>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 </w:t>
            </w:r>
          </w:p>
        </w:tc>
      </w:tr>
      <w:tr w:rsidR="001756D5" w:rsidRPr="001756D5" w:rsidTr="00893AFC">
        <w:trPr>
          <w:trHeight w:val="735"/>
          <w:jc w:val="center"/>
        </w:trPr>
        <w:tc>
          <w:tcPr>
            <w:tcW w:w="3178" w:type="dxa"/>
            <w:shd w:val="clear" w:color="auto" w:fill="auto"/>
            <w:vAlign w:val="center"/>
            <w:hideMark/>
          </w:tcPr>
          <w:p w:rsidR="001756D5" w:rsidRPr="001756D5" w:rsidRDefault="001756D5" w:rsidP="001756D5">
            <w:pPr>
              <w:spacing w:after="0" w:line="240" w:lineRule="auto"/>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Existence d’un programme d’enseignement spécifique pas présent dans d’autres universités à proximité</w:t>
            </w:r>
          </w:p>
        </w:tc>
        <w:tc>
          <w:tcPr>
            <w:tcW w:w="983" w:type="dxa"/>
            <w:shd w:val="clear" w:color="auto" w:fill="auto"/>
            <w:vAlign w:val="bottom"/>
            <w:hideMark/>
          </w:tcPr>
          <w:p w:rsidR="001756D5" w:rsidRPr="001756D5" w:rsidRDefault="001756D5" w:rsidP="001756D5">
            <w:pPr>
              <w:spacing w:after="0" w:line="36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29</w:t>
            </w:r>
          </w:p>
        </w:tc>
        <w:tc>
          <w:tcPr>
            <w:tcW w:w="1523" w:type="dxa"/>
            <w:shd w:val="clear" w:color="auto" w:fill="auto"/>
            <w:vAlign w:val="bottom"/>
            <w:hideMark/>
          </w:tcPr>
          <w:p w:rsidR="001756D5" w:rsidRPr="001756D5" w:rsidRDefault="001756D5" w:rsidP="001756D5">
            <w:pPr>
              <w:spacing w:after="0" w:line="36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23</w:t>
            </w:r>
          </w:p>
        </w:tc>
        <w:tc>
          <w:tcPr>
            <w:tcW w:w="186" w:type="dxa"/>
            <w:shd w:val="clear" w:color="auto" w:fill="auto"/>
            <w:vAlign w:val="bottom"/>
            <w:hideMark/>
          </w:tcPr>
          <w:p w:rsidR="001756D5" w:rsidRPr="001756D5" w:rsidRDefault="001756D5" w:rsidP="001756D5">
            <w:pPr>
              <w:spacing w:after="0" w:line="360" w:lineRule="auto"/>
              <w:jc w:val="center"/>
              <w:rPr>
                <w:rFonts w:ascii="Times New Roman" w:eastAsia="Times New Roman" w:hAnsi="Times New Roman" w:cs="Times New Roman"/>
                <w:color w:val="000000"/>
                <w:sz w:val="24"/>
                <w:szCs w:val="24"/>
                <w:lang w:eastAsia="fr-CA"/>
              </w:rPr>
            </w:pPr>
          </w:p>
        </w:tc>
        <w:tc>
          <w:tcPr>
            <w:tcW w:w="834" w:type="dxa"/>
            <w:shd w:val="clear" w:color="auto" w:fill="auto"/>
            <w:vAlign w:val="bottom"/>
            <w:hideMark/>
          </w:tcPr>
          <w:p w:rsidR="001756D5" w:rsidRPr="001756D5" w:rsidRDefault="001756D5" w:rsidP="001756D5">
            <w:pPr>
              <w:spacing w:after="0" w:line="36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3,83</w:t>
            </w:r>
          </w:p>
        </w:tc>
        <w:tc>
          <w:tcPr>
            <w:tcW w:w="186" w:type="dxa"/>
            <w:shd w:val="clear" w:color="auto" w:fill="auto"/>
            <w:vAlign w:val="bottom"/>
            <w:hideMark/>
          </w:tcPr>
          <w:p w:rsidR="001756D5" w:rsidRPr="001756D5" w:rsidRDefault="001756D5" w:rsidP="001756D5">
            <w:pPr>
              <w:spacing w:after="0" w:line="360" w:lineRule="auto"/>
              <w:jc w:val="center"/>
              <w:rPr>
                <w:rFonts w:ascii="Times New Roman" w:eastAsia="Times New Roman" w:hAnsi="Times New Roman" w:cs="Times New Roman"/>
                <w:color w:val="000000"/>
                <w:sz w:val="24"/>
                <w:szCs w:val="24"/>
                <w:lang w:eastAsia="fr-CA"/>
              </w:rPr>
            </w:pPr>
          </w:p>
        </w:tc>
        <w:tc>
          <w:tcPr>
            <w:tcW w:w="1367" w:type="dxa"/>
            <w:shd w:val="clear" w:color="auto" w:fill="auto"/>
            <w:vAlign w:val="bottom"/>
            <w:hideMark/>
          </w:tcPr>
          <w:p w:rsidR="001756D5" w:rsidRPr="001756D5" w:rsidRDefault="001756D5" w:rsidP="001756D5">
            <w:pPr>
              <w:spacing w:after="0" w:line="36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17,25</w:t>
            </w:r>
          </w:p>
        </w:tc>
        <w:tc>
          <w:tcPr>
            <w:tcW w:w="186" w:type="dxa"/>
            <w:shd w:val="clear" w:color="auto" w:fill="auto"/>
            <w:vAlign w:val="bottom"/>
            <w:hideMark/>
          </w:tcPr>
          <w:p w:rsidR="001756D5" w:rsidRPr="001756D5" w:rsidRDefault="001756D5" w:rsidP="001756D5">
            <w:pPr>
              <w:spacing w:after="0" w:line="360" w:lineRule="auto"/>
              <w:jc w:val="center"/>
              <w:rPr>
                <w:rFonts w:ascii="Times New Roman" w:eastAsia="Times New Roman" w:hAnsi="Times New Roman" w:cs="Times New Roman"/>
                <w:color w:val="000000"/>
                <w:sz w:val="24"/>
                <w:szCs w:val="24"/>
                <w:lang w:eastAsia="fr-CA"/>
              </w:rPr>
            </w:pPr>
          </w:p>
        </w:tc>
        <w:tc>
          <w:tcPr>
            <w:tcW w:w="839" w:type="dxa"/>
            <w:shd w:val="clear" w:color="auto" w:fill="auto"/>
            <w:vAlign w:val="bottom"/>
            <w:hideMark/>
          </w:tcPr>
          <w:p w:rsidR="001756D5" w:rsidRPr="001756D5" w:rsidRDefault="001756D5" w:rsidP="001756D5">
            <w:pPr>
              <w:spacing w:after="0" w:line="36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11,5</w:t>
            </w:r>
          </w:p>
        </w:tc>
        <w:tc>
          <w:tcPr>
            <w:tcW w:w="186" w:type="dxa"/>
            <w:shd w:val="clear" w:color="auto" w:fill="auto"/>
            <w:vAlign w:val="bottom"/>
            <w:hideMark/>
          </w:tcPr>
          <w:p w:rsidR="001756D5" w:rsidRPr="001756D5" w:rsidRDefault="001756D5" w:rsidP="001756D5">
            <w:pPr>
              <w:spacing w:after="0" w:line="360" w:lineRule="auto"/>
              <w:jc w:val="center"/>
              <w:rPr>
                <w:rFonts w:ascii="Times New Roman" w:eastAsia="Times New Roman" w:hAnsi="Times New Roman" w:cs="Times New Roman"/>
                <w:color w:val="000000"/>
                <w:sz w:val="24"/>
                <w:szCs w:val="24"/>
                <w:lang w:eastAsia="fr-CA"/>
              </w:rPr>
            </w:pPr>
          </w:p>
        </w:tc>
        <w:tc>
          <w:tcPr>
            <w:tcW w:w="853" w:type="dxa"/>
            <w:shd w:val="clear" w:color="auto" w:fill="auto"/>
            <w:vAlign w:val="bottom"/>
            <w:hideMark/>
          </w:tcPr>
          <w:p w:rsidR="001756D5" w:rsidRPr="001756D5" w:rsidRDefault="001756D5" w:rsidP="001756D5">
            <w:pPr>
              <w:spacing w:after="0" w:line="36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11,5</w:t>
            </w:r>
          </w:p>
        </w:tc>
        <w:tc>
          <w:tcPr>
            <w:tcW w:w="248" w:type="dxa"/>
            <w:shd w:val="clear" w:color="auto" w:fill="auto"/>
            <w:vAlign w:val="bottom"/>
            <w:hideMark/>
          </w:tcPr>
          <w:p w:rsidR="001756D5" w:rsidRPr="001756D5" w:rsidRDefault="001756D5" w:rsidP="001756D5">
            <w:pPr>
              <w:spacing w:after="0" w:line="360" w:lineRule="auto"/>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 </w:t>
            </w:r>
          </w:p>
        </w:tc>
      </w:tr>
      <w:tr w:rsidR="001756D5" w:rsidRPr="001756D5" w:rsidTr="00893AFC">
        <w:trPr>
          <w:trHeight w:val="735"/>
          <w:jc w:val="center"/>
        </w:trPr>
        <w:tc>
          <w:tcPr>
            <w:tcW w:w="3178" w:type="dxa"/>
            <w:shd w:val="clear" w:color="auto" w:fill="auto"/>
            <w:vAlign w:val="center"/>
            <w:hideMark/>
          </w:tcPr>
          <w:p w:rsidR="001756D5" w:rsidRPr="001756D5" w:rsidRDefault="001756D5" w:rsidP="001756D5">
            <w:pPr>
              <w:spacing w:after="0" w:line="240" w:lineRule="auto"/>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Réputation du programme choisi et des enseignants</w:t>
            </w:r>
          </w:p>
        </w:tc>
        <w:tc>
          <w:tcPr>
            <w:tcW w:w="983" w:type="dxa"/>
            <w:shd w:val="clear" w:color="auto" w:fill="auto"/>
            <w:vAlign w:val="bottom"/>
            <w:hideMark/>
          </w:tcPr>
          <w:p w:rsidR="001756D5" w:rsidRPr="001756D5" w:rsidRDefault="001756D5" w:rsidP="001756D5">
            <w:pPr>
              <w:spacing w:after="0" w:line="36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36</w:t>
            </w:r>
          </w:p>
        </w:tc>
        <w:tc>
          <w:tcPr>
            <w:tcW w:w="1523" w:type="dxa"/>
            <w:shd w:val="clear" w:color="auto" w:fill="auto"/>
            <w:vAlign w:val="bottom"/>
            <w:hideMark/>
          </w:tcPr>
          <w:p w:rsidR="001756D5" w:rsidRPr="001756D5" w:rsidRDefault="001756D5" w:rsidP="001756D5">
            <w:pPr>
              <w:spacing w:after="0" w:line="36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29</w:t>
            </w:r>
          </w:p>
        </w:tc>
        <w:tc>
          <w:tcPr>
            <w:tcW w:w="186" w:type="dxa"/>
            <w:shd w:val="clear" w:color="auto" w:fill="auto"/>
            <w:vAlign w:val="bottom"/>
            <w:hideMark/>
          </w:tcPr>
          <w:p w:rsidR="001756D5" w:rsidRPr="001756D5" w:rsidRDefault="001756D5" w:rsidP="001756D5">
            <w:pPr>
              <w:spacing w:after="0" w:line="360" w:lineRule="auto"/>
              <w:jc w:val="center"/>
              <w:rPr>
                <w:rFonts w:ascii="Times New Roman" w:eastAsia="Times New Roman" w:hAnsi="Times New Roman" w:cs="Times New Roman"/>
                <w:color w:val="000000"/>
                <w:sz w:val="24"/>
                <w:szCs w:val="24"/>
                <w:lang w:eastAsia="fr-CA"/>
              </w:rPr>
            </w:pPr>
          </w:p>
        </w:tc>
        <w:tc>
          <w:tcPr>
            <w:tcW w:w="834" w:type="dxa"/>
            <w:shd w:val="clear" w:color="auto" w:fill="auto"/>
            <w:vAlign w:val="bottom"/>
            <w:hideMark/>
          </w:tcPr>
          <w:p w:rsidR="001756D5" w:rsidRPr="001756D5" w:rsidRDefault="001756D5" w:rsidP="001756D5">
            <w:pPr>
              <w:spacing w:after="0" w:line="36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4,83</w:t>
            </w:r>
          </w:p>
        </w:tc>
        <w:tc>
          <w:tcPr>
            <w:tcW w:w="186" w:type="dxa"/>
            <w:shd w:val="clear" w:color="auto" w:fill="auto"/>
            <w:vAlign w:val="bottom"/>
            <w:hideMark/>
          </w:tcPr>
          <w:p w:rsidR="001756D5" w:rsidRPr="001756D5" w:rsidRDefault="001756D5" w:rsidP="001756D5">
            <w:pPr>
              <w:spacing w:after="0" w:line="360" w:lineRule="auto"/>
              <w:jc w:val="center"/>
              <w:rPr>
                <w:rFonts w:ascii="Times New Roman" w:eastAsia="Times New Roman" w:hAnsi="Times New Roman" w:cs="Times New Roman"/>
                <w:color w:val="000000"/>
                <w:sz w:val="24"/>
                <w:szCs w:val="24"/>
                <w:lang w:eastAsia="fr-CA"/>
              </w:rPr>
            </w:pPr>
          </w:p>
        </w:tc>
        <w:tc>
          <w:tcPr>
            <w:tcW w:w="1367" w:type="dxa"/>
            <w:shd w:val="clear" w:color="auto" w:fill="auto"/>
            <w:vAlign w:val="bottom"/>
            <w:hideMark/>
          </w:tcPr>
          <w:p w:rsidR="001756D5" w:rsidRPr="001756D5" w:rsidRDefault="001756D5" w:rsidP="001756D5">
            <w:pPr>
              <w:spacing w:after="0" w:line="36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7,25</w:t>
            </w:r>
          </w:p>
        </w:tc>
        <w:tc>
          <w:tcPr>
            <w:tcW w:w="186" w:type="dxa"/>
            <w:shd w:val="clear" w:color="auto" w:fill="auto"/>
            <w:vAlign w:val="bottom"/>
            <w:hideMark/>
          </w:tcPr>
          <w:p w:rsidR="001756D5" w:rsidRPr="001756D5" w:rsidRDefault="001756D5" w:rsidP="001756D5">
            <w:pPr>
              <w:spacing w:after="0" w:line="360" w:lineRule="auto"/>
              <w:jc w:val="center"/>
              <w:rPr>
                <w:rFonts w:ascii="Times New Roman" w:eastAsia="Times New Roman" w:hAnsi="Times New Roman" w:cs="Times New Roman"/>
                <w:color w:val="000000"/>
                <w:sz w:val="24"/>
                <w:szCs w:val="24"/>
                <w:lang w:eastAsia="fr-CA"/>
              </w:rPr>
            </w:pPr>
          </w:p>
        </w:tc>
        <w:tc>
          <w:tcPr>
            <w:tcW w:w="839" w:type="dxa"/>
            <w:shd w:val="clear" w:color="auto" w:fill="auto"/>
            <w:vAlign w:val="bottom"/>
            <w:hideMark/>
          </w:tcPr>
          <w:p w:rsidR="001756D5" w:rsidRPr="001756D5" w:rsidRDefault="001756D5" w:rsidP="001756D5">
            <w:pPr>
              <w:spacing w:after="0" w:line="36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0</w:t>
            </w:r>
          </w:p>
        </w:tc>
        <w:tc>
          <w:tcPr>
            <w:tcW w:w="186" w:type="dxa"/>
            <w:shd w:val="clear" w:color="auto" w:fill="auto"/>
            <w:vAlign w:val="bottom"/>
            <w:hideMark/>
          </w:tcPr>
          <w:p w:rsidR="001756D5" w:rsidRPr="001756D5" w:rsidRDefault="001756D5" w:rsidP="001756D5">
            <w:pPr>
              <w:spacing w:after="0" w:line="360" w:lineRule="auto"/>
              <w:jc w:val="center"/>
              <w:rPr>
                <w:rFonts w:ascii="Times New Roman" w:eastAsia="Times New Roman" w:hAnsi="Times New Roman" w:cs="Times New Roman"/>
                <w:color w:val="000000"/>
                <w:sz w:val="24"/>
                <w:szCs w:val="24"/>
                <w:lang w:eastAsia="fr-CA"/>
              </w:rPr>
            </w:pPr>
          </w:p>
        </w:tc>
        <w:tc>
          <w:tcPr>
            <w:tcW w:w="853" w:type="dxa"/>
            <w:shd w:val="clear" w:color="auto" w:fill="auto"/>
            <w:vAlign w:val="bottom"/>
            <w:hideMark/>
          </w:tcPr>
          <w:p w:rsidR="001756D5" w:rsidRPr="001756D5" w:rsidRDefault="001756D5" w:rsidP="001756D5">
            <w:pPr>
              <w:spacing w:after="0" w:line="36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5,8</w:t>
            </w:r>
          </w:p>
        </w:tc>
        <w:tc>
          <w:tcPr>
            <w:tcW w:w="248" w:type="dxa"/>
            <w:shd w:val="clear" w:color="auto" w:fill="auto"/>
            <w:vAlign w:val="bottom"/>
            <w:hideMark/>
          </w:tcPr>
          <w:p w:rsidR="001756D5" w:rsidRPr="001756D5" w:rsidRDefault="001756D5" w:rsidP="001756D5">
            <w:pPr>
              <w:spacing w:after="0" w:line="360" w:lineRule="auto"/>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 </w:t>
            </w:r>
          </w:p>
        </w:tc>
      </w:tr>
      <w:tr w:rsidR="001756D5" w:rsidRPr="001756D5" w:rsidTr="00893AFC">
        <w:trPr>
          <w:trHeight w:val="465"/>
          <w:jc w:val="center"/>
        </w:trPr>
        <w:tc>
          <w:tcPr>
            <w:tcW w:w="3178" w:type="dxa"/>
            <w:shd w:val="clear" w:color="auto" w:fill="auto"/>
            <w:vAlign w:val="center"/>
            <w:hideMark/>
          </w:tcPr>
          <w:p w:rsidR="001756D5" w:rsidRPr="001756D5" w:rsidRDefault="001756D5" w:rsidP="001756D5">
            <w:pPr>
              <w:spacing w:after="0" w:line="240" w:lineRule="auto"/>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Proximité de l’établissement</w:t>
            </w:r>
          </w:p>
        </w:tc>
        <w:tc>
          <w:tcPr>
            <w:tcW w:w="983" w:type="dxa"/>
            <w:shd w:val="clear" w:color="auto" w:fill="auto"/>
            <w:vAlign w:val="bottom"/>
            <w:hideMark/>
          </w:tcPr>
          <w:p w:rsidR="001756D5" w:rsidRPr="001756D5" w:rsidRDefault="001756D5" w:rsidP="001756D5">
            <w:pPr>
              <w:spacing w:after="0" w:line="36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49</w:t>
            </w:r>
          </w:p>
        </w:tc>
        <w:tc>
          <w:tcPr>
            <w:tcW w:w="1523" w:type="dxa"/>
            <w:shd w:val="clear" w:color="auto" w:fill="auto"/>
            <w:vAlign w:val="bottom"/>
            <w:hideMark/>
          </w:tcPr>
          <w:p w:rsidR="001756D5" w:rsidRPr="001756D5" w:rsidRDefault="001756D5" w:rsidP="001756D5">
            <w:pPr>
              <w:spacing w:after="0" w:line="36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39</w:t>
            </w:r>
          </w:p>
        </w:tc>
        <w:tc>
          <w:tcPr>
            <w:tcW w:w="186" w:type="dxa"/>
            <w:shd w:val="clear" w:color="auto" w:fill="auto"/>
            <w:vAlign w:val="bottom"/>
            <w:hideMark/>
          </w:tcPr>
          <w:p w:rsidR="001756D5" w:rsidRPr="001756D5" w:rsidRDefault="001756D5" w:rsidP="001756D5">
            <w:pPr>
              <w:spacing w:after="0" w:line="360" w:lineRule="auto"/>
              <w:jc w:val="center"/>
              <w:rPr>
                <w:rFonts w:ascii="Times New Roman" w:eastAsia="Times New Roman" w:hAnsi="Times New Roman" w:cs="Times New Roman"/>
                <w:color w:val="000000"/>
                <w:sz w:val="24"/>
                <w:szCs w:val="24"/>
                <w:lang w:eastAsia="fr-CA"/>
              </w:rPr>
            </w:pPr>
          </w:p>
        </w:tc>
        <w:tc>
          <w:tcPr>
            <w:tcW w:w="834" w:type="dxa"/>
            <w:shd w:val="clear" w:color="auto" w:fill="auto"/>
            <w:vAlign w:val="bottom"/>
            <w:hideMark/>
          </w:tcPr>
          <w:p w:rsidR="001756D5" w:rsidRPr="001756D5" w:rsidRDefault="001756D5" w:rsidP="001756D5">
            <w:pPr>
              <w:spacing w:after="0" w:line="36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26</w:t>
            </w:r>
          </w:p>
        </w:tc>
        <w:tc>
          <w:tcPr>
            <w:tcW w:w="186" w:type="dxa"/>
            <w:shd w:val="clear" w:color="auto" w:fill="auto"/>
            <w:vAlign w:val="bottom"/>
            <w:hideMark/>
          </w:tcPr>
          <w:p w:rsidR="001756D5" w:rsidRPr="001756D5" w:rsidRDefault="001756D5" w:rsidP="001756D5">
            <w:pPr>
              <w:spacing w:after="0" w:line="360" w:lineRule="auto"/>
              <w:jc w:val="center"/>
              <w:rPr>
                <w:rFonts w:ascii="Times New Roman" w:eastAsia="Times New Roman" w:hAnsi="Times New Roman" w:cs="Times New Roman"/>
                <w:color w:val="000000"/>
                <w:sz w:val="24"/>
                <w:szCs w:val="24"/>
                <w:lang w:eastAsia="fr-CA"/>
              </w:rPr>
            </w:pPr>
          </w:p>
        </w:tc>
        <w:tc>
          <w:tcPr>
            <w:tcW w:w="1367" w:type="dxa"/>
            <w:shd w:val="clear" w:color="auto" w:fill="auto"/>
            <w:vAlign w:val="bottom"/>
            <w:hideMark/>
          </w:tcPr>
          <w:p w:rsidR="001756D5" w:rsidRPr="001756D5" w:rsidRDefault="001756D5" w:rsidP="001756D5">
            <w:pPr>
              <w:spacing w:after="0" w:line="36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0</w:t>
            </w:r>
          </w:p>
        </w:tc>
        <w:tc>
          <w:tcPr>
            <w:tcW w:w="186" w:type="dxa"/>
            <w:shd w:val="clear" w:color="auto" w:fill="auto"/>
            <w:vAlign w:val="bottom"/>
            <w:hideMark/>
          </w:tcPr>
          <w:p w:rsidR="001756D5" w:rsidRPr="001756D5" w:rsidRDefault="001756D5" w:rsidP="001756D5">
            <w:pPr>
              <w:spacing w:after="0" w:line="360" w:lineRule="auto"/>
              <w:jc w:val="center"/>
              <w:rPr>
                <w:rFonts w:ascii="Times New Roman" w:eastAsia="Times New Roman" w:hAnsi="Times New Roman" w:cs="Times New Roman"/>
                <w:color w:val="000000"/>
                <w:sz w:val="24"/>
                <w:szCs w:val="24"/>
                <w:lang w:eastAsia="fr-CA"/>
              </w:rPr>
            </w:pPr>
          </w:p>
        </w:tc>
        <w:tc>
          <w:tcPr>
            <w:tcW w:w="839" w:type="dxa"/>
            <w:shd w:val="clear" w:color="auto" w:fill="auto"/>
            <w:vAlign w:val="bottom"/>
            <w:hideMark/>
          </w:tcPr>
          <w:p w:rsidR="001756D5" w:rsidRPr="001756D5" w:rsidRDefault="001756D5" w:rsidP="001756D5">
            <w:pPr>
              <w:spacing w:after="0" w:line="36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0</w:t>
            </w:r>
          </w:p>
        </w:tc>
        <w:tc>
          <w:tcPr>
            <w:tcW w:w="186" w:type="dxa"/>
            <w:shd w:val="clear" w:color="auto" w:fill="auto"/>
            <w:vAlign w:val="bottom"/>
            <w:hideMark/>
          </w:tcPr>
          <w:p w:rsidR="001756D5" w:rsidRPr="001756D5" w:rsidRDefault="001756D5" w:rsidP="001756D5">
            <w:pPr>
              <w:spacing w:after="0" w:line="360" w:lineRule="auto"/>
              <w:jc w:val="center"/>
              <w:rPr>
                <w:rFonts w:ascii="Times New Roman" w:eastAsia="Times New Roman" w:hAnsi="Times New Roman" w:cs="Times New Roman"/>
                <w:color w:val="000000"/>
                <w:sz w:val="24"/>
                <w:szCs w:val="24"/>
                <w:lang w:eastAsia="fr-CA"/>
              </w:rPr>
            </w:pPr>
          </w:p>
        </w:tc>
        <w:tc>
          <w:tcPr>
            <w:tcW w:w="853" w:type="dxa"/>
            <w:shd w:val="clear" w:color="auto" w:fill="auto"/>
            <w:vAlign w:val="bottom"/>
            <w:hideMark/>
          </w:tcPr>
          <w:p w:rsidR="001756D5" w:rsidRPr="001756D5" w:rsidRDefault="001756D5" w:rsidP="001756D5">
            <w:pPr>
              <w:spacing w:after="0" w:line="36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3,9</w:t>
            </w:r>
          </w:p>
        </w:tc>
        <w:tc>
          <w:tcPr>
            <w:tcW w:w="248" w:type="dxa"/>
            <w:shd w:val="clear" w:color="auto" w:fill="auto"/>
            <w:vAlign w:val="bottom"/>
            <w:hideMark/>
          </w:tcPr>
          <w:p w:rsidR="001756D5" w:rsidRPr="001756D5" w:rsidRDefault="001756D5" w:rsidP="001756D5">
            <w:pPr>
              <w:spacing w:after="0" w:line="360" w:lineRule="auto"/>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 </w:t>
            </w:r>
          </w:p>
        </w:tc>
      </w:tr>
      <w:tr w:rsidR="001756D5" w:rsidRPr="001756D5" w:rsidTr="00893AFC">
        <w:trPr>
          <w:trHeight w:val="286"/>
          <w:jc w:val="center"/>
        </w:trPr>
        <w:tc>
          <w:tcPr>
            <w:tcW w:w="3178" w:type="dxa"/>
            <w:shd w:val="clear" w:color="auto" w:fill="C4960C"/>
            <w:vAlign w:val="center"/>
            <w:hideMark/>
          </w:tcPr>
          <w:p w:rsidR="001756D5" w:rsidRPr="001756D5" w:rsidRDefault="001756D5" w:rsidP="00893AFC">
            <w:pPr>
              <w:spacing w:after="0" w:line="24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TOTAL</w:t>
            </w:r>
          </w:p>
        </w:tc>
        <w:tc>
          <w:tcPr>
            <w:tcW w:w="983" w:type="dxa"/>
            <w:shd w:val="clear" w:color="auto" w:fill="C4960C"/>
            <w:noWrap/>
            <w:vAlign w:val="center"/>
            <w:hideMark/>
          </w:tcPr>
          <w:p w:rsidR="001756D5" w:rsidRPr="001756D5" w:rsidRDefault="001756D5" w:rsidP="00893AFC">
            <w:pPr>
              <w:spacing w:after="0" w:line="36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126</w:t>
            </w:r>
          </w:p>
        </w:tc>
        <w:tc>
          <w:tcPr>
            <w:tcW w:w="1523" w:type="dxa"/>
            <w:shd w:val="clear" w:color="auto" w:fill="C4960C"/>
            <w:noWrap/>
            <w:vAlign w:val="center"/>
            <w:hideMark/>
          </w:tcPr>
          <w:p w:rsidR="001756D5" w:rsidRPr="001756D5" w:rsidRDefault="001756D5" w:rsidP="00893AFC">
            <w:pPr>
              <w:spacing w:after="0" w:line="36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100</w:t>
            </w:r>
          </w:p>
        </w:tc>
        <w:tc>
          <w:tcPr>
            <w:tcW w:w="186" w:type="dxa"/>
            <w:shd w:val="clear" w:color="auto" w:fill="C4960C"/>
            <w:noWrap/>
            <w:vAlign w:val="center"/>
            <w:hideMark/>
          </w:tcPr>
          <w:p w:rsidR="001756D5" w:rsidRPr="001756D5" w:rsidRDefault="001756D5" w:rsidP="00893AFC">
            <w:pPr>
              <w:spacing w:after="0" w:line="360" w:lineRule="auto"/>
              <w:jc w:val="center"/>
              <w:rPr>
                <w:rFonts w:ascii="Times New Roman" w:eastAsia="Times New Roman" w:hAnsi="Times New Roman" w:cs="Times New Roman"/>
                <w:color w:val="000000"/>
                <w:sz w:val="24"/>
                <w:szCs w:val="24"/>
                <w:lang w:eastAsia="fr-CA"/>
              </w:rPr>
            </w:pPr>
          </w:p>
        </w:tc>
        <w:tc>
          <w:tcPr>
            <w:tcW w:w="834" w:type="dxa"/>
            <w:shd w:val="clear" w:color="auto" w:fill="C4960C"/>
            <w:noWrap/>
            <w:vAlign w:val="center"/>
            <w:hideMark/>
          </w:tcPr>
          <w:p w:rsidR="001756D5" w:rsidRPr="001756D5" w:rsidRDefault="001756D5" w:rsidP="00893AFC">
            <w:pPr>
              <w:spacing w:after="0" w:line="36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35</w:t>
            </w:r>
          </w:p>
        </w:tc>
        <w:tc>
          <w:tcPr>
            <w:tcW w:w="186" w:type="dxa"/>
            <w:shd w:val="clear" w:color="auto" w:fill="C4960C"/>
            <w:noWrap/>
            <w:vAlign w:val="center"/>
            <w:hideMark/>
          </w:tcPr>
          <w:p w:rsidR="001756D5" w:rsidRPr="001756D5" w:rsidRDefault="001756D5" w:rsidP="00893AFC">
            <w:pPr>
              <w:spacing w:after="0" w:line="360" w:lineRule="auto"/>
              <w:jc w:val="center"/>
              <w:rPr>
                <w:rFonts w:ascii="Times New Roman" w:eastAsia="Times New Roman" w:hAnsi="Times New Roman" w:cs="Times New Roman"/>
                <w:color w:val="000000"/>
                <w:sz w:val="24"/>
                <w:szCs w:val="24"/>
                <w:lang w:eastAsia="fr-CA"/>
              </w:rPr>
            </w:pPr>
          </w:p>
        </w:tc>
        <w:tc>
          <w:tcPr>
            <w:tcW w:w="1367" w:type="dxa"/>
            <w:shd w:val="clear" w:color="auto" w:fill="C4960C"/>
            <w:noWrap/>
            <w:vAlign w:val="center"/>
            <w:hideMark/>
          </w:tcPr>
          <w:p w:rsidR="001756D5" w:rsidRPr="001756D5" w:rsidRDefault="001756D5" w:rsidP="00893AFC">
            <w:pPr>
              <w:spacing w:after="0" w:line="36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25</w:t>
            </w:r>
          </w:p>
        </w:tc>
        <w:tc>
          <w:tcPr>
            <w:tcW w:w="186" w:type="dxa"/>
            <w:shd w:val="clear" w:color="auto" w:fill="C4960C"/>
            <w:noWrap/>
            <w:vAlign w:val="center"/>
            <w:hideMark/>
          </w:tcPr>
          <w:p w:rsidR="001756D5" w:rsidRPr="001756D5" w:rsidRDefault="001756D5" w:rsidP="00893AFC">
            <w:pPr>
              <w:spacing w:after="0" w:line="360" w:lineRule="auto"/>
              <w:jc w:val="center"/>
              <w:rPr>
                <w:rFonts w:ascii="Times New Roman" w:eastAsia="Times New Roman" w:hAnsi="Times New Roman" w:cs="Times New Roman"/>
                <w:color w:val="000000"/>
                <w:sz w:val="24"/>
                <w:szCs w:val="24"/>
                <w:lang w:eastAsia="fr-CA"/>
              </w:rPr>
            </w:pPr>
          </w:p>
        </w:tc>
        <w:tc>
          <w:tcPr>
            <w:tcW w:w="839" w:type="dxa"/>
            <w:shd w:val="clear" w:color="auto" w:fill="C4960C"/>
            <w:noWrap/>
            <w:vAlign w:val="center"/>
            <w:hideMark/>
          </w:tcPr>
          <w:p w:rsidR="001756D5" w:rsidRPr="001756D5" w:rsidRDefault="001756D5" w:rsidP="00893AFC">
            <w:pPr>
              <w:spacing w:after="0" w:line="36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13</w:t>
            </w:r>
          </w:p>
        </w:tc>
        <w:tc>
          <w:tcPr>
            <w:tcW w:w="186" w:type="dxa"/>
            <w:shd w:val="clear" w:color="auto" w:fill="C4960C"/>
            <w:noWrap/>
            <w:vAlign w:val="center"/>
            <w:hideMark/>
          </w:tcPr>
          <w:p w:rsidR="001756D5" w:rsidRPr="001756D5" w:rsidRDefault="001756D5" w:rsidP="00893AFC">
            <w:pPr>
              <w:spacing w:after="0" w:line="360" w:lineRule="auto"/>
              <w:jc w:val="center"/>
              <w:rPr>
                <w:rFonts w:ascii="Times New Roman" w:eastAsia="Times New Roman" w:hAnsi="Times New Roman" w:cs="Times New Roman"/>
                <w:color w:val="000000"/>
                <w:sz w:val="24"/>
                <w:szCs w:val="24"/>
                <w:lang w:eastAsia="fr-CA"/>
              </w:rPr>
            </w:pPr>
          </w:p>
        </w:tc>
        <w:tc>
          <w:tcPr>
            <w:tcW w:w="853" w:type="dxa"/>
            <w:shd w:val="clear" w:color="auto" w:fill="C4960C"/>
            <w:noWrap/>
            <w:vAlign w:val="center"/>
            <w:hideMark/>
          </w:tcPr>
          <w:p w:rsidR="001756D5" w:rsidRPr="001756D5" w:rsidRDefault="001756D5" w:rsidP="00893AFC">
            <w:pPr>
              <w:spacing w:after="0" w:line="36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22</w:t>
            </w:r>
          </w:p>
        </w:tc>
        <w:tc>
          <w:tcPr>
            <w:tcW w:w="248" w:type="dxa"/>
            <w:shd w:val="clear" w:color="auto" w:fill="C4960C"/>
            <w:noWrap/>
            <w:vAlign w:val="center"/>
            <w:hideMark/>
          </w:tcPr>
          <w:p w:rsidR="001756D5" w:rsidRPr="001756D5" w:rsidRDefault="001756D5" w:rsidP="00893AFC">
            <w:pPr>
              <w:spacing w:after="0" w:line="360" w:lineRule="auto"/>
              <w:jc w:val="center"/>
              <w:rPr>
                <w:rFonts w:ascii="Times New Roman" w:eastAsia="Times New Roman" w:hAnsi="Times New Roman" w:cs="Times New Roman"/>
                <w:color w:val="000000"/>
                <w:sz w:val="24"/>
                <w:szCs w:val="24"/>
                <w:lang w:eastAsia="fr-CA"/>
              </w:rPr>
            </w:pPr>
          </w:p>
        </w:tc>
      </w:tr>
      <w:tr w:rsidR="001756D5" w:rsidRPr="001756D5" w:rsidTr="00893AFC">
        <w:trPr>
          <w:trHeight w:val="286"/>
          <w:jc w:val="center"/>
        </w:trPr>
        <w:tc>
          <w:tcPr>
            <w:tcW w:w="3178" w:type="dxa"/>
            <w:shd w:val="clear" w:color="auto" w:fill="auto"/>
            <w:vAlign w:val="center"/>
            <w:hideMark/>
          </w:tcPr>
          <w:p w:rsidR="001756D5" w:rsidRPr="001756D5" w:rsidRDefault="001756D5" w:rsidP="001756D5">
            <w:pPr>
              <w:spacing w:after="0" w:line="240" w:lineRule="auto"/>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Nombre de répondants</w:t>
            </w:r>
          </w:p>
        </w:tc>
        <w:tc>
          <w:tcPr>
            <w:tcW w:w="983" w:type="dxa"/>
            <w:shd w:val="clear" w:color="auto" w:fill="auto"/>
            <w:vAlign w:val="bottom"/>
            <w:hideMark/>
          </w:tcPr>
          <w:p w:rsidR="001756D5" w:rsidRPr="001756D5" w:rsidRDefault="001756D5" w:rsidP="001756D5">
            <w:pPr>
              <w:spacing w:after="0" w:line="36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126</w:t>
            </w:r>
          </w:p>
        </w:tc>
        <w:tc>
          <w:tcPr>
            <w:tcW w:w="1523" w:type="dxa"/>
            <w:shd w:val="clear" w:color="auto" w:fill="auto"/>
            <w:noWrap/>
            <w:vAlign w:val="bottom"/>
            <w:hideMark/>
          </w:tcPr>
          <w:p w:rsidR="001756D5" w:rsidRPr="001756D5" w:rsidRDefault="001756D5" w:rsidP="001756D5">
            <w:pPr>
              <w:spacing w:after="0" w:line="36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n/a</w:t>
            </w:r>
          </w:p>
        </w:tc>
        <w:tc>
          <w:tcPr>
            <w:tcW w:w="186" w:type="dxa"/>
            <w:shd w:val="clear" w:color="auto" w:fill="auto"/>
            <w:noWrap/>
            <w:vAlign w:val="bottom"/>
            <w:hideMark/>
          </w:tcPr>
          <w:p w:rsidR="001756D5" w:rsidRPr="001756D5" w:rsidRDefault="001756D5" w:rsidP="001756D5">
            <w:pPr>
              <w:spacing w:after="0" w:line="360" w:lineRule="auto"/>
              <w:jc w:val="center"/>
              <w:rPr>
                <w:rFonts w:ascii="Times New Roman" w:eastAsia="Times New Roman" w:hAnsi="Times New Roman" w:cs="Times New Roman"/>
                <w:color w:val="000000"/>
                <w:sz w:val="24"/>
                <w:szCs w:val="24"/>
                <w:lang w:eastAsia="fr-CA"/>
              </w:rPr>
            </w:pPr>
          </w:p>
        </w:tc>
        <w:tc>
          <w:tcPr>
            <w:tcW w:w="834" w:type="dxa"/>
            <w:shd w:val="clear" w:color="auto" w:fill="auto"/>
            <w:vAlign w:val="bottom"/>
            <w:hideMark/>
          </w:tcPr>
          <w:p w:rsidR="001756D5" w:rsidRPr="001756D5" w:rsidRDefault="001756D5" w:rsidP="001756D5">
            <w:pPr>
              <w:spacing w:after="0" w:line="36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12</w:t>
            </w:r>
          </w:p>
        </w:tc>
        <w:tc>
          <w:tcPr>
            <w:tcW w:w="186" w:type="dxa"/>
            <w:shd w:val="clear" w:color="auto" w:fill="auto"/>
            <w:noWrap/>
            <w:vAlign w:val="bottom"/>
            <w:hideMark/>
          </w:tcPr>
          <w:p w:rsidR="001756D5" w:rsidRPr="001756D5" w:rsidRDefault="001756D5" w:rsidP="001756D5">
            <w:pPr>
              <w:spacing w:after="0" w:line="360" w:lineRule="auto"/>
              <w:jc w:val="center"/>
              <w:rPr>
                <w:rFonts w:ascii="Times New Roman" w:eastAsia="Times New Roman" w:hAnsi="Times New Roman" w:cs="Times New Roman"/>
                <w:color w:val="000000"/>
                <w:sz w:val="24"/>
                <w:szCs w:val="24"/>
                <w:lang w:eastAsia="fr-CA"/>
              </w:rPr>
            </w:pPr>
          </w:p>
        </w:tc>
        <w:tc>
          <w:tcPr>
            <w:tcW w:w="1367" w:type="dxa"/>
            <w:shd w:val="clear" w:color="auto" w:fill="auto"/>
            <w:vAlign w:val="bottom"/>
            <w:hideMark/>
          </w:tcPr>
          <w:p w:rsidR="001756D5" w:rsidRPr="001756D5" w:rsidRDefault="001756D5" w:rsidP="001756D5">
            <w:pPr>
              <w:spacing w:after="0" w:line="36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4</w:t>
            </w:r>
          </w:p>
        </w:tc>
        <w:tc>
          <w:tcPr>
            <w:tcW w:w="186" w:type="dxa"/>
            <w:shd w:val="clear" w:color="auto" w:fill="auto"/>
            <w:noWrap/>
            <w:vAlign w:val="bottom"/>
            <w:hideMark/>
          </w:tcPr>
          <w:p w:rsidR="001756D5" w:rsidRPr="001756D5" w:rsidRDefault="001756D5" w:rsidP="001756D5">
            <w:pPr>
              <w:spacing w:after="0" w:line="360" w:lineRule="auto"/>
              <w:jc w:val="center"/>
              <w:rPr>
                <w:rFonts w:ascii="Times New Roman" w:eastAsia="Times New Roman" w:hAnsi="Times New Roman" w:cs="Times New Roman"/>
                <w:color w:val="000000"/>
                <w:sz w:val="24"/>
                <w:szCs w:val="24"/>
                <w:lang w:eastAsia="fr-CA"/>
              </w:rPr>
            </w:pPr>
          </w:p>
        </w:tc>
        <w:tc>
          <w:tcPr>
            <w:tcW w:w="839" w:type="dxa"/>
            <w:shd w:val="clear" w:color="auto" w:fill="auto"/>
            <w:vAlign w:val="bottom"/>
            <w:hideMark/>
          </w:tcPr>
          <w:p w:rsidR="001756D5" w:rsidRPr="001756D5" w:rsidRDefault="001756D5" w:rsidP="001756D5">
            <w:pPr>
              <w:spacing w:after="0" w:line="36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2</w:t>
            </w:r>
          </w:p>
        </w:tc>
        <w:tc>
          <w:tcPr>
            <w:tcW w:w="186" w:type="dxa"/>
            <w:shd w:val="clear" w:color="auto" w:fill="auto"/>
            <w:noWrap/>
            <w:vAlign w:val="bottom"/>
            <w:hideMark/>
          </w:tcPr>
          <w:p w:rsidR="001756D5" w:rsidRPr="001756D5" w:rsidRDefault="001756D5" w:rsidP="001756D5">
            <w:pPr>
              <w:spacing w:after="0" w:line="360" w:lineRule="auto"/>
              <w:jc w:val="center"/>
              <w:rPr>
                <w:rFonts w:ascii="Times New Roman" w:eastAsia="Times New Roman" w:hAnsi="Times New Roman" w:cs="Times New Roman"/>
                <w:color w:val="000000"/>
                <w:sz w:val="24"/>
                <w:szCs w:val="24"/>
                <w:lang w:eastAsia="fr-CA"/>
              </w:rPr>
            </w:pPr>
          </w:p>
        </w:tc>
        <w:tc>
          <w:tcPr>
            <w:tcW w:w="853" w:type="dxa"/>
            <w:shd w:val="clear" w:color="auto" w:fill="auto"/>
            <w:vAlign w:val="bottom"/>
            <w:hideMark/>
          </w:tcPr>
          <w:p w:rsidR="001756D5" w:rsidRPr="001756D5" w:rsidRDefault="001756D5" w:rsidP="001756D5">
            <w:pPr>
              <w:spacing w:after="0" w:line="360" w:lineRule="auto"/>
              <w:jc w:val="center"/>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10</w:t>
            </w:r>
          </w:p>
        </w:tc>
        <w:tc>
          <w:tcPr>
            <w:tcW w:w="248" w:type="dxa"/>
            <w:shd w:val="clear" w:color="auto" w:fill="auto"/>
            <w:noWrap/>
            <w:vAlign w:val="bottom"/>
            <w:hideMark/>
          </w:tcPr>
          <w:p w:rsidR="001756D5" w:rsidRPr="001756D5" w:rsidRDefault="001756D5" w:rsidP="001756D5">
            <w:pPr>
              <w:spacing w:after="0" w:line="360" w:lineRule="auto"/>
              <w:rPr>
                <w:rFonts w:ascii="Times New Roman" w:eastAsia="Times New Roman" w:hAnsi="Times New Roman" w:cs="Times New Roman"/>
                <w:color w:val="000000"/>
                <w:sz w:val="24"/>
                <w:szCs w:val="24"/>
                <w:lang w:eastAsia="fr-CA"/>
              </w:rPr>
            </w:pPr>
            <w:r w:rsidRPr="001756D5">
              <w:rPr>
                <w:rFonts w:ascii="Times New Roman" w:eastAsia="Times New Roman" w:hAnsi="Times New Roman" w:cs="Times New Roman"/>
                <w:color w:val="000000"/>
                <w:sz w:val="24"/>
                <w:szCs w:val="24"/>
                <w:lang w:eastAsia="fr-CA"/>
              </w:rPr>
              <w:t> </w:t>
            </w:r>
          </w:p>
        </w:tc>
      </w:tr>
    </w:tbl>
    <w:p w:rsidR="001756D5" w:rsidRPr="001756D5" w:rsidRDefault="001756D5" w:rsidP="001756D5">
      <w:pPr>
        <w:tabs>
          <w:tab w:val="left" w:pos="6635"/>
        </w:tabs>
        <w:spacing w:line="360" w:lineRule="auto"/>
        <w:jc w:val="both"/>
        <w:rPr>
          <w:rFonts w:ascii="Times New Roman" w:hAnsi="Times New Roman" w:cs="Times New Roman"/>
          <w:sz w:val="24"/>
          <w:szCs w:val="24"/>
        </w:rPr>
      </w:pPr>
    </w:p>
    <w:p w:rsidR="001756D5" w:rsidRPr="001756D5" w:rsidRDefault="001756D5" w:rsidP="001756D5">
      <w:pPr>
        <w:spacing w:line="360" w:lineRule="auto"/>
        <w:rPr>
          <w:rFonts w:ascii="Times New Roman" w:hAnsi="Times New Roman" w:cs="Times New Roman"/>
          <w:sz w:val="24"/>
          <w:szCs w:val="24"/>
        </w:rPr>
      </w:pPr>
      <w:r w:rsidRPr="001756D5">
        <w:rPr>
          <w:rFonts w:ascii="Times New Roman" w:hAnsi="Times New Roman" w:cs="Times New Roman"/>
          <w:sz w:val="24"/>
          <w:szCs w:val="24"/>
        </w:rPr>
        <w:lastRenderedPageBreak/>
        <w:t>L’étude attentive du graphique présenté permet de repérer un Océan bleu au niveau de la réputation du programme choisi et des enseignants. Le graphique suivant illustre ce fait</w:t>
      </w:r>
      <w:r w:rsidRPr="001756D5">
        <w:rPr>
          <w:rStyle w:val="Appelnotedebasdep"/>
          <w:rFonts w:ascii="Times New Roman" w:hAnsi="Times New Roman" w:cs="Times New Roman"/>
          <w:sz w:val="24"/>
          <w:szCs w:val="24"/>
        </w:rPr>
        <w:footnoteReference w:id="53"/>
      </w:r>
      <w:r w:rsidRPr="001756D5">
        <w:rPr>
          <w:rFonts w:ascii="Times New Roman" w:hAnsi="Times New Roman" w:cs="Times New Roman"/>
          <w:sz w:val="24"/>
          <w:szCs w:val="24"/>
        </w:rPr>
        <w:t> :</w:t>
      </w:r>
    </w:p>
    <w:p w:rsidR="001756D5" w:rsidRPr="001756D5" w:rsidRDefault="001756D5" w:rsidP="001756D5">
      <w:pPr>
        <w:tabs>
          <w:tab w:val="left" w:pos="6635"/>
        </w:tabs>
        <w:spacing w:line="360" w:lineRule="auto"/>
        <w:jc w:val="both"/>
        <w:rPr>
          <w:rFonts w:ascii="Times New Roman" w:hAnsi="Times New Roman" w:cs="Times New Roman"/>
          <w:sz w:val="24"/>
          <w:szCs w:val="24"/>
        </w:rPr>
      </w:pPr>
    </w:p>
    <w:p w:rsidR="001756D5" w:rsidRPr="001756D5" w:rsidRDefault="00CB50FE" w:rsidP="001756D5">
      <w:pPr>
        <w:spacing w:line="360" w:lineRule="auto"/>
        <w:rPr>
          <w:rFonts w:ascii="Times New Roman" w:hAnsi="Times New Roman" w:cs="Times New Roman"/>
          <w:sz w:val="24"/>
          <w:szCs w:val="24"/>
        </w:rPr>
      </w:pPr>
      <w:r>
        <w:rPr>
          <w:rFonts w:ascii="Times New Roman" w:hAnsi="Times New Roman" w:cs="Times New Roman"/>
          <w:noProof/>
          <w:sz w:val="24"/>
          <w:szCs w:val="24"/>
          <w:lang w:eastAsia="fr-CA"/>
        </w:rPr>
        <w:drawing>
          <wp:anchor distT="0" distB="0" distL="114300" distR="114300" simplePos="0" relativeHeight="251658752" behindDoc="0" locked="0" layoutInCell="1" allowOverlap="1">
            <wp:simplePos x="0" y="0"/>
            <wp:positionH relativeFrom="column">
              <wp:posOffset>-323850</wp:posOffset>
            </wp:positionH>
            <wp:positionV relativeFrom="paragraph">
              <wp:posOffset>11430</wp:posOffset>
            </wp:positionV>
            <wp:extent cx="6005830" cy="3160395"/>
            <wp:effectExtent l="19050" t="0" r="13970" b="1905"/>
            <wp:wrapNone/>
            <wp:docPr id="8"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1756D5" w:rsidRPr="001756D5" w:rsidRDefault="00B05C0A" w:rsidP="001756D5">
      <w:pPr>
        <w:spacing w:line="360" w:lineRule="auto"/>
        <w:rPr>
          <w:rFonts w:ascii="Times New Roman" w:hAnsi="Times New Roman" w:cs="Times New Roman"/>
          <w:sz w:val="24"/>
          <w:szCs w:val="24"/>
        </w:rPr>
      </w:pPr>
      <w:r>
        <w:rPr>
          <w:rFonts w:ascii="Times New Roman" w:hAnsi="Times New Roman" w:cs="Times New Roman"/>
          <w:noProof/>
          <w:sz w:val="24"/>
          <w:szCs w:val="24"/>
          <w:lang w:eastAsia="fr-CA"/>
        </w:rPr>
        <w:pict>
          <v:shapetype id="_x0000_t202" coordsize="21600,21600" o:spt="202" path="m,l,21600r21600,l21600,xe">
            <v:stroke joinstyle="miter"/>
            <v:path gradientshapeok="t" o:connecttype="rect"/>
          </v:shapetype>
          <v:shape id="Zone de texte 2" o:spid="_x0000_s1026" type="#_x0000_t202" style="position:absolute;margin-left:273.2pt;margin-top:5.05pt;width:64.45pt;height:28.85pt;z-index:25166694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" filled="f" stroked="f">
            <v:textbox style="mso-fit-shape-to-text:t">
              <w:txbxContent>
                <w:p w:rsidR="00CE1436" w:rsidRDefault="00CE1436" w:rsidP="001756D5">
                  <w:pPr>
                    <w:jc w:val="center"/>
                  </w:pPr>
                  <w:r>
                    <w:t>Océan bleu</w:t>
                  </w:r>
                </w:p>
              </w:txbxContent>
            </v:textbox>
          </v:shape>
        </w:pict>
      </w:r>
    </w:p>
    <w:p w:rsidR="001756D5" w:rsidRPr="001756D5" w:rsidRDefault="001756D5" w:rsidP="001756D5">
      <w:pPr>
        <w:spacing w:line="360" w:lineRule="auto"/>
        <w:rPr>
          <w:rFonts w:ascii="Times New Roman" w:hAnsi="Times New Roman" w:cs="Times New Roman"/>
          <w:sz w:val="24"/>
          <w:szCs w:val="24"/>
        </w:rPr>
      </w:pPr>
    </w:p>
    <w:p w:rsidR="001756D5" w:rsidRPr="001756D5" w:rsidRDefault="001756D5" w:rsidP="001756D5">
      <w:pPr>
        <w:spacing w:line="360" w:lineRule="auto"/>
        <w:rPr>
          <w:rFonts w:ascii="Times New Roman" w:hAnsi="Times New Roman" w:cs="Times New Roman"/>
          <w:sz w:val="24"/>
          <w:szCs w:val="24"/>
        </w:rPr>
      </w:pPr>
    </w:p>
    <w:p w:rsidR="001756D5" w:rsidRPr="001756D5" w:rsidRDefault="001756D5" w:rsidP="001756D5">
      <w:pPr>
        <w:spacing w:line="360" w:lineRule="auto"/>
        <w:rPr>
          <w:rFonts w:ascii="Times New Roman" w:hAnsi="Times New Roman" w:cs="Times New Roman"/>
          <w:sz w:val="24"/>
          <w:szCs w:val="24"/>
        </w:rPr>
      </w:pPr>
    </w:p>
    <w:p w:rsidR="001756D5" w:rsidRPr="001756D5" w:rsidRDefault="001756D5" w:rsidP="001756D5">
      <w:pPr>
        <w:spacing w:line="360" w:lineRule="auto"/>
        <w:rPr>
          <w:rFonts w:ascii="Times New Roman" w:hAnsi="Times New Roman" w:cs="Times New Roman"/>
          <w:sz w:val="24"/>
          <w:szCs w:val="24"/>
        </w:rPr>
      </w:pPr>
    </w:p>
    <w:p w:rsidR="001756D5" w:rsidRPr="001756D5" w:rsidRDefault="001756D5" w:rsidP="001756D5">
      <w:pPr>
        <w:spacing w:line="360" w:lineRule="auto"/>
        <w:rPr>
          <w:rFonts w:ascii="Times New Roman" w:hAnsi="Times New Roman" w:cs="Times New Roman"/>
          <w:sz w:val="24"/>
          <w:szCs w:val="24"/>
        </w:rPr>
      </w:pPr>
    </w:p>
    <w:p w:rsidR="001756D5" w:rsidRPr="001756D5" w:rsidRDefault="001756D5" w:rsidP="001756D5">
      <w:pPr>
        <w:spacing w:line="360" w:lineRule="auto"/>
        <w:rPr>
          <w:rFonts w:ascii="Times New Roman" w:hAnsi="Times New Roman" w:cs="Times New Roman"/>
          <w:sz w:val="24"/>
          <w:szCs w:val="24"/>
        </w:rPr>
      </w:pPr>
    </w:p>
    <w:p w:rsidR="00E57237" w:rsidRDefault="00E57237" w:rsidP="00E57237">
      <w:pPr>
        <w:spacing w:line="360" w:lineRule="auto"/>
        <w:ind w:firstLine="708"/>
        <w:jc w:val="both"/>
        <w:rPr>
          <w:rFonts w:ascii="Times New Roman" w:hAnsi="Times New Roman" w:cs="Times New Roman"/>
          <w:sz w:val="24"/>
          <w:szCs w:val="24"/>
        </w:rPr>
      </w:pPr>
    </w:p>
    <w:p w:rsidR="001756D5" w:rsidRPr="001756D5" w:rsidRDefault="001756D5" w:rsidP="00E57237">
      <w:pPr>
        <w:spacing w:line="360" w:lineRule="auto"/>
        <w:ind w:firstLine="708"/>
        <w:jc w:val="both"/>
        <w:rPr>
          <w:rFonts w:ascii="Times New Roman" w:hAnsi="Times New Roman" w:cs="Times New Roman"/>
          <w:sz w:val="24"/>
          <w:szCs w:val="24"/>
        </w:rPr>
      </w:pPr>
      <w:r w:rsidRPr="001756D5">
        <w:rPr>
          <w:rFonts w:ascii="Times New Roman" w:hAnsi="Times New Roman" w:cs="Times New Roman"/>
          <w:sz w:val="24"/>
          <w:szCs w:val="24"/>
        </w:rPr>
        <w:t>Du côté des installations sportives et de la réputation de la vie étudiante, le graphique nous montre que l’importance accordée à ces critères est relativement faible, et que ce n’est donc pas dans ces «océans» qu’il serait stratégique d’investir des efforts.</w:t>
      </w:r>
    </w:p>
    <w:p w:rsidR="001756D5" w:rsidRPr="001756D5" w:rsidRDefault="001756D5" w:rsidP="00E57237">
      <w:pPr>
        <w:spacing w:line="360" w:lineRule="auto"/>
        <w:ind w:firstLine="708"/>
        <w:jc w:val="both"/>
        <w:rPr>
          <w:rFonts w:ascii="Times New Roman" w:hAnsi="Times New Roman" w:cs="Times New Roman"/>
          <w:sz w:val="24"/>
          <w:szCs w:val="24"/>
        </w:rPr>
      </w:pPr>
      <w:r w:rsidRPr="001756D5">
        <w:rPr>
          <w:rFonts w:ascii="Times New Roman" w:hAnsi="Times New Roman" w:cs="Times New Roman"/>
          <w:sz w:val="24"/>
          <w:szCs w:val="24"/>
        </w:rPr>
        <w:t xml:space="preserve">Le graphique démontre bien que les critères de valeur s’orientent vers l’importance de proposer un programme universitaire de bonne réputation et des enseignants conséquents avec cette réputation. On voit qu’au Québec, les étudiants choisissent leur université surtout en conséquence de l’existence d’un programme spécifique d’étude, offert souvent exclusivement pas l’université à laquelle ils adhèrent. Toutefois, on voit qu’en général, au niveau mondial, les 141 étudiants interrogés dans 43 pays différents considèrent que l’existence de programmes spécifiques, la réputation des programmes et des enseignants et la proximité de l’établissement sont des variables de choix quand vient le temps de choisir une université. Il est donc possible de déduire qu’en </w:t>
      </w:r>
      <w:r w:rsidRPr="001756D5">
        <w:rPr>
          <w:rFonts w:ascii="Times New Roman" w:hAnsi="Times New Roman" w:cs="Times New Roman"/>
          <w:sz w:val="24"/>
          <w:szCs w:val="24"/>
        </w:rPr>
        <w:lastRenderedPageBreak/>
        <w:t>général, l’importance de la réputation universitaire est primordiale. Du côté de l’Océan bleu, on constate que l’industrie universitaire québécoise néglige d’offrir des programmes de grande réputation, ce qui est pourtant une demande importante des étudiants. Si l’UQTR avait à investir des efforts dans un changement organisationnel, nous proposons donc que ce soit dans l’amélioration de la réputation de ses programmes et de ses enseignants. Cela lui donnerait un avantage significatif sur ses compétiteurs en répondant à un besoin de la clientèle étudiante peu adressé par les autres universités.</w:t>
      </w:r>
    </w:p>
    <w:p w:rsidR="001756D5" w:rsidRPr="001756D5" w:rsidRDefault="001756D5" w:rsidP="00E57237">
      <w:pPr>
        <w:spacing w:line="360" w:lineRule="auto"/>
        <w:ind w:firstLine="708"/>
        <w:jc w:val="both"/>
        <w:rPr>
          <w:rFonts w:ascii="Times New Roman" w:hAnsi="Times New Roman" w:cs="Times New Roman"/>
          <w:sz w:val="24"/>
          <w:szCs w:val="24"/>
        </w:rPr>
      </w:pPr>
      <w:r w:rsidRPr="001756D5">
        <w:rPr>
          <w:rFonts w:ascii="Times New Roman" w:hAnsi="Times New Roman" w:cs="Times New Roman"/>
          <w:sz w:val="24"/>
          <w:szCs w:val="24"/>
        </w:rPr>
        <w:t xml:space="preserve">Dans un autre ordre d’idées, il y aurait aussi possibilité d’investir dans l’amélioration de la proximité des lieux d’étude, et ce afin de prendre une avance encore plus significative face aux concurrents tout en répondant plus adéquatement à un besoin réellement présent. En effet, nous proposons qu’à l’image de l’UQAT, l’établissement de centres universitaires (ex. Shawinigan, </w:t>
      </w:r>
      <w:proofErr w:type="spellStart"/>
      <w:r w:rsidRPr="001756D5">
        <w:rPr>
          <w:rFonts w:ascii="Times New Roman" w:hAnsi="Times New Roman" w:cs="Times New Roman"/>
          <w:sz w:val="24"/>
          <w:szCs w:val="24"/>
        </w:rPr>
        <w:t>Bécancour</w:t>
      </w:r>
      <w:proofErr w:type="spellEnd"/>
      <w:r w:rsidRPr="001756D5">
        <w:rPr>
          <w:rFonts w:ascii="Times New Roman" w:hAnsi="Times New Roman" w:cs="Times New Roman"/>
          <w:sz w:val="24"/>
          <w:szCs w:val="24"/>
        </w:rPr>
        <w:t>, Drummondville, Victoriaville) permettrait à l’UQTR d’assurer une présence à proximité des masses universitaires plus petites tout en subissant des coûts relativement faibles, puisque les centres universitaires sont d’avantage des locaux d’enseignement que des immobilisations d’envergure.</w:t>
      </w:r>
    </w:p>
    <w:p w:rsidR="001756D5" w:rsidRPr="001756D5" w:rsidRDefault="001756D5" w:rsidP="00E57237">
      <w:pPr>
        <w:spacing w:line="360" w:lineRule="auto"/>
        <w:ind w:firstLine="360"/>
        <w:jc w:val="both"/>
        <w:rPr>
          <w:rFonts w:ascii="Times New Roman" w:hAnsi="Times New Roman" w:cs="Times New Roman"/>
          <w:sz w:val="24"/>
          <w:szCs w:val="24"/>
        </w:rPr>
      </w:pPr>
      <w:r w:rsidRPr="001756D5">
        <w:rPr>
          <w:rFonts w:ascii="Times New Roman" w:hAnsi="Times New Roman" w:cs="Times New Roman"/>
          <w:sz w:val="24"/>
          <w:szCs w:val="24"/>
        </w:rPr>
        <w:t>Finalement, mentionnons que l’importance d’offrir des programmes spécifiques d’enseignement pour répondre à une offre de formation dans des disciplines précises. Contrairement à HEC-</w:t>
      </w:r>
      <w:proofErr w:type="spellStart"/>
      <w:r w:rsidRPr="001756D5">
        <w:rPr>
          <w:rFonts w:ascii="Times New Roman" w:hAnsi="Times New Roman" w:cs="Times New Roman"/>
          <w:sz w:val="24"/>
          <w:szCs w:val="24"/>
        </w:rPr>
        <w:t>UdeM</w:t>
      </w:r>
      <w:proofErr w:type="spellEnd"/>
      <w:r w:rsidRPr="001756D5">
        <w:rPr>
          <w:rFonts w:ascii="Times New Roman" w:hAnsi="Times New Roman" w:cs="Times New Roman"/>
          <w:sz w:val="24"/>
          <w:szCs w:val="24"/>
        </w:rPr>
        <w:t>, Sherbrooke et Laval, l’UQTR ne se démarque pas dans cette zone. Il serait toutefois risqué d’investir dans le développement de cette variable, puisque trois autres universités forment un contexte de forte concurrence en ce qui la concerne.</w:t>
      </w:r>
    </w:p>
    <w:p w:rsidR="000D0609" w:rsidRPr="00441F0A" w:rsidRDefault="00BA40BD" w:rsidP="001756D5">
      <w:pPr>
        <w:spacing w:line="360" w:lineRule="auto"/>
        <w:rPr>
          <w:rFonts w:ascii="Times New Roman" w:eastAsiaTheme="majorEastAsia" w:hAnsi="Times New Roman" w:cs="Times New Roman"/>
          <w:sz w:val="24"/>
          <w:szCs w:val="24"/>
        </w:rPr>
      </w:pPr>
      <w:r w:rsidRPr="001756D5">
        <w:rPr>
          <w:rFonts w:ascii="Times New Roman" w:hAnsi="Times New Roman" w:cs="Times New Roman"/>
          <w:sz w:val="24"/>
          <w:szCs w:val="24"/>
        </w:rPr>
        <w:br w:type="page"/>
      </w:r>
    </w:p>
    <w:p w:rsidR="00372433" w:rsidRDefault="00EE58D6" w:rsidP="00E13C97">
      <w:pPr>
        <w:pStyle w:val="Titre3"/>
      </w:pPr>
      <w:bookmarkStart w:id="18" w:name="_Toc417486231"/>
      <w:r>
        <w:lastRenderedPageBreak/>
        <w:t>2</w:t>
      </w:r>
      <w:r w:rsidR="00E13C97">
        <w:t xml:space="preserve">.4 </w:t>
      </w:r>
      <w:r w:rsidR="00372433" w:rsidRPr="00E13C97">
        <w:t>Facteurs clés de succès</w:t>
      </w:r>
      <w:bookmarkEnd w:id="18"/>
    </w:p>
    <w:p w:rsidR="00E13C97" w:rsidRPr="00E13C97" w:rsidRDefault="00E13C97" w:rsidP="00E13C97"/>
    <w:tbl>
      <w:tblPr>
        <w:tblStyle w:val="Grilledutableau"/>
        <w:tblW w:w="9039" w:type="dxa"/>
        <w:tblLook w:val="04A0"/>
      </w:tblPr>
      <w:tblGrid>
        <w:gridCol w:w="3085"/>
        <w:gridCol w:w="5954"/>
      </w:tblGrid>
      <w:tr w:rsidR="00BA40BD" w:rsidRPr="00441F0A" w:rsidTr="00893AFC">
        <w:tc>
          <w:tcPr>
            <w:tcW w:w="3085" w:type="dxa"/>
            <w:shd w:val="clear" w:color="auto" w:fill="00703C"/>
          </w:tcPr>
          <w:p w:rsidR="00BA40BD" w:rsidRPr="00893AFC" w:rsidRDefault="00BA40BD" w:rsidP="00FA6C34">
            <w:pPr>
              <w:jc w:val="center"/>
              <w:rPr>
                <w:rFonts w:ascii="Times New Roman" w:hAnsi="Times New Roman" w:cs="Times New Roman"/>
                <w:b/>
                <w:color w:val="FFFFFF" w:themeColor="background1"/>
                <w:sz w:val="24"/>
                <w:szCs w:val="24"/>
              </w:rPr>
            </w:pPr>
            <w:r w:rsidRPr="00893AFC">
              <w:rPr>
                <w:rFonts w:ascii="Times New Roman" w:hAnsi="Times New Roman" w:cs="Times New Roman"/>
                <w:b/>
                <w:color w:val="FFFFFF" w:themeColor="background1"/>
                <w:sz w:val="24"/>
                <w:szCs w:val="24"/>
              </w:rPr>
              <w:t>Force de la concurrence</w:t>
            </w:r>
          </w:p>
        </w:tc>
        <w:tc>
          <w:tcPr>
            <w:tcW w:w="5954" w:type="dxa"/>
            <w:shd w:val="clear" w:color="auto" w:fill="00703C"/>
          </w:tcPr>
          <w:p w:rsidR="00BA40BD" w:rsidRPr="00893AFC" w:rsidRDefault="00BA40BD" w:rsidP="00FA6C34">
            <w:pPr>
              <w:jc w:val="center"/>
              <w:rPr>
                <w:rFonts w:ascii="Times New Roman" w:hAnsi="Times New Roman" w:cs="Times New Roman"/>
                <w:b/>
                <w:color w:val="FFFFFF" w:themeColor="background1"/>
                <w:sz w:val="24"/>
                <w:szCs w:val="24"/>
              </w:rPr>
            </w:pPr>
            <w:r w:rsidRPr="00893AFC">
              <w:rPr>
                <w:rFonts w:ascii="Times New Roman" w:hAnsi="Times New Roman" w:cs="Times New Roman"/>
                <w:b/>
                <w:color w:val="FFFFFF" w:themeColor="background1"/>
                <w:sz w:val="24"/>
                <w:szCs w:val="24"/>
              </w:rPr>
              <w:t>Éléments permettant de la contrecarrer</w:t>
            </w:r>
          </w:p>
        </w:tc>
      </w:tr>
      <w:tr w:rsidR="00BA40BD" w:rsidRPr="00441F0A" w:rsidTr="00893AFC">
        <w:tc>
          <w:tcPr>
            <w:tcW w:w="3085" w:type="dxa"/>
            <w:shd w:val="clear" w:color="auto" w:fill="C4960C"/>
            <w:vAlign w:val="center"/>
          </w:tcPr>
          <w:p w:rsidR="00BA40BD" w:rsidRPr="00441F0A" w:rsidRDefault="00BA40BD" w:rsidP="00893AFC">
            <w:pPr>
              <w:jc w:val="center"/>
              <w:rPr>
                <w:rFonts w:ascii="Times New Roman" w:hAnsi="Times New Roman" w:cs="Times New Roman"/>
                <w:sz w:val="24"/>
                <w:szCs w:val="24"/>
              </w:rPr>
            </w:pPr>
            <w:r w:rsidRPr="00441F0A">
              <w:rPr>
                <w:rFonts w:ascii="Times New Roman" w:hAnsi="Times New Roman" w:cs="Times New Roman"/>
                <w:sz w:val="24"/>
                <w:szCs w:val="24"/>
              </w:rPr>
              <w:t>Menace des substituts</w:t>
            </w:r>
          </w:p>
        </w:tc>
        <w:tc>
          <w:tcPr>
            <w:tcW w:w="5954" w:type="dxa"/>
            <w:shd w:val="clear" w:color="auto" w:fill="FFFFFF" w:themeFill="background1"/>
          </w:tcPr>
          <w:p w:rsidR="00BA40BD" w:rsidRPr="00441F0A" w:rsidRDefault="00BA40BD" w:rsidP="00540A65">
            <w:pPr>
              <w:pStyle w:val="Paragraphedeliste"/>
              <w:numPr>
                <w:ilvl w:val="0"/>
                <w:numId w:val="4"/>
              </w:numPr>
              <w:ind w:left="459"/>
              <w:rPr>
                <w:rFonts w:ascii="Times New Roman" w:hAnsi="Times New Roman" w:cs="Times New Roman"/>
                <w:sz w:val="24"/>
                <w:szCs w:val="24"/>
              </w:rPr>
            </w:pPr>
            <w:r w:rsidRPr="00441F0A">
              <w:rPr>
                <w:rFonts w:ascii="Times New Roman" w:hAnsi="Times New Roman" w:cs="Times New Roman"/>
                <w:sz w:val="24"/>
                <w:szCs w:val="24"/>
              </w:rPr>
              <w:t>Les professeurs sont pour la majorité très dynamiques et compétents. Il devient donc plus intéressant de suivre les cours sur place avec les professeurs qu’en ligne.</w:t>
            </w:r>
          </w:p>
          <w:p w:rsidR="00BA40BD" w:rsidRPr="00441F0A" w:rsidRDefault="00BA40BD" w:rsidP="00602B4E">
            <w:pPr>
              <w:pStyle w:val="Paragraphedeliste"/>
              <w:ind w:left="459"/>
              <w:rPr>
                <w:rFonts w:ascii="Times New Roman" w:hAnsi="Times New Roman" w:cs="Times New Roman"/>
                <w:sz w:val="24"/>
                <w:szCs w:val="24"/>
              </w:rPr>
            </w:pPr>
          </w:p>
          <w:p w:rsidR="00BA40BD" w:rsidRPr="00441F0A" w:rsidRDefault="00BA40BD" w:rsidP="00540A65">
            <w:pPr>
              <w:pStyle w:val="Paragraphedeliste"/>
              <w:numPr>
                <w:ilvl w:val="0"/>
                <w:numId w:val="4"/>
              </w:numPr>
              <w:ind w:left="459"/>
              <w:rPr>
                <w:rFonts w:ascii="Times New Roman" w:hAnsi="Times New Roman" w:cs="Times New Roman"/>
                <w:sz w:val="24"/>
                <w:szCs w:val="24"/>
              </w:rPr>
            </w:pPr>
            <w:r w:rsidRPr="00441F0A">
              <w:rPr>
                <w:rFonts w:ascii="Times New Roman" w:hAnsi="Times New Roman" w:cs="Times New Roman"/>
                <w:sz w:val="24"/>
                <w:szCs w:val="24"/>
              </w:rPr>
              <w:t>Possibilité de proposer le substitut. L’UQTR peut offrir elle-même les cours en ligne.</w:t>
            </w:r>
          </w:p>
          <w:p w:rsidR="00BA40BD" w:rsidRPr="00E13C97" w:rsidRDefault="00BA40BD" w:rsidP="00E13C97">
            <w:pPr>
              <w:rPr>
                <w:rFonts w:ascii="Times New Roman" w:hAnsi="Times New Roman" w:cs="Times New Roman"/>
                <w:sz w:val="24"/>
                <w:szCs w:val="24"/>
              </w:rPr>
            </w:pPr>
          </w:p>
        </w:tc>
      </w:tr>
      <w:tr w:rsidR="00BA40BD" w:rsidRPr="00441F0A" w:rsidTr="00893AFC">
        <w:tc>
          <w:tcPr>
            <w:tcW w:w="3085" w:type="dxa"/>
            <w:shd w:val="clear" w:color="auto" w:fill="C4960C"/>
            <w:vAlign w:val="center"/>
          </w:tcPr>
          <w:p w:rsidR="00BA40BD" w:rsidRPr="00441F0A" w:rsidRDefault="00BA40BD" w:rsidP="00893AFC">
            <w:pPr>
              <w:jc w:val="center"/>
              <w:rPr>
                <w:rFonts w:ascii="Times New Roman" w:hAnsi="Times New Roman" w:cs="Times New Roman"/>
                <w:sz w:val="24"/>
                <w:szCs w:val="24"/>
              </w:rPr>
            </w:pPr>
            <w:r w:rsidRPr="00441F0A">
              <w:rPr>
                <w:rFonts w:ascii="Times New Roman" w:hAnsi="Times New Roman" w:cs="Times New Roman"/>
                <w:sz w:val="24"/>
                <w:szCs w:val="24"/>
              </w:rPr>
              <w:t>Menace des entrants potentiels</w:t>
            </w:r>
          </w:p>
        </w:tc>
        <w:tc>
          <w:tcPr>
            <w:tcW w:w="5954" w:type="dxa"/>
            <w:shd w:val="clear" w:color="auto" w:fill="FFFFFF" w:themeFill="background1"/>
          </w:tcPr>
          <w:p w:rsidR="00BA40BD" w:rsidRPr="00441F0A" w:rsidRDefault="00BA40BD" w:rsidP="00540A65">
            <w:pPr>
              <w:pStyle w:val="Paragraphedeliste"/>
              <w:numPr>
                <w:ilvl w:val="0"/>
                <w:numId w:val="3"/>
              </w:numPr>
              <w:ind w:left="459"/>
              <w:rPr>
                <w:rFonts w:ascii="Times New Roman" w:hAnsi="Times New Roman" w:cs="Times New Roman"/>
                <w:sz w:val="24"/>
                <w:szCs w:val="24"/>
              </w:rPr>
            </w:pPr>
            <w:r w:rsidRPr="00441F0A">
              <w:rPr>
                <w:rFonts w:ascii="Times New Roman" w:hAnsi="Times New Roman" w:cs="Times New Roman"/>
                <w:sz w:val="24"/>
                <w:szCs w:val="24"/>
              </w:rPr>
              <w:t xml:space="preserve">Le contrôle des compétences distinctives. Les professeurs réputés ne quitteraient pas leur poste pour rejoindre une nouvelle université qui n’a aucune crédibilité de bâtie.  </w:t>
            </w:r>
          </w:p>
          <w:p w:rsidR="00BA40BD" w:rsidRPr="00441F0A" w:rsidRDefault="00BA40BD" w:rsidP="00602B4E">
            <w:pPr>
              <w:ind w:left="459"/>
              <w:rPr>
                <w:rFonts w:ascii="Times New Roman" w:hAnsi="Times New Roman" w:cs="Times New Roman"/>
                <w:sz w:val="24"/>
                <w:szCs w:val="24"/>
              </w:rPr>
            </w:pPr>
          </w:p>
        </w:tc>
      </w:tr>
      <w:tr w:rsidR="00BA40BD" w:rsidRPr="00441F0A" w:rsidTr="00893AFC">
        <w:tc>
          <w:tcPr>
            <w:tcW w:w="3085" w:type="dxa"/>
            <w:shd w:val="clear" w:color="auto" w:fill="C4960C"/>
            <w:vAlign w:val="center"/>
          </w:tcPr>
          <w:p w:rsidR="00BA40BD" w:rsidRPr="00441F0A" w:rsidRDefault="00BA40BD" w:rsidP="00893AFC">
            <w:pPr>
              <w:jc w:val="center"/>
              <w:rPr>
                <w:rFonts w:ascii="Times New Roman" w:hAnsi="Times New Roman" w:cs="Times New Roman"/>
                <w:sz w:val="24"/>
                <w:szCs w:val="24"/>
              </w:rPr>
            </w:pPr>
            <w:r w:rsidRPr="00441F0A">
              <w:rPr>
                <w:rFonts w:ascii="Times New Roman" w:hAnsi="Times New Roman" w:cs="Times New Roman"/>
                <w:sz w:val="24"/>
                <w:szCs w:val="24"/>
              </w:rPr>
              <w:t>Pouvoir de négociation des acheteurs</w:t>
            </w:r>
          </w:p>
        </w:tc>
        <w:tc>
          <w:tcPr>
            <w:tcW w:w="5954" w:type="dxa"/>
            <w:shd w:val="clear" w:color="auto" w:fill="FFFFFF" w:themeFill="background1"/>
          </w:tcPr>
          <w:p w:rsidR="00BA40BD" w:rsidRPr="00441F0A" w:rsidRDefault="00BA40BD" w:rsidP="00540A65">
            <w:pPr>
              <w:pStyle w:val="Paragraphedeliste"/>
              <w:numPr>
                <w:ilvl w:val="0"/>
                <w:numId w:val="3"/>
              </w:numPr>
              <w:ind w:left="459"/>
              <w:rPr>
                <w:rFonts w:ascii="Times New Roman" w:hAnsi="Times New Roman" w:cs="Times New Roman"/>
                <w:sz w:val="24"/>
                <w:szCs w:val="24"/>
              </w:rPr>
            </w:pPr>
            <w:r w:rsidRPr="00441F0A">
              <w:rPr>
                <w:rFonts w:ascii="Times New Roman" w:hAnsi="Times New Roman" w:cs="Times New Roman"/>
                <w:sz w:val="24"/>
                <w:szCs w:val="24"/>
              </w:rPr>
              <w:t xml:space="preserve">Les prix sont fixés par les universités du Québec, et les universités privées offrent des prix beaucoup plus élevés. Le prix concurrentiel ne peut être négocié. </w:t>
            </w:r>
          </w:p>
          <w:p w:rsidR="00BA40BD" w:rsidRPr="00441F0A" w:rsidRDefault="00BA40BD" w:rsidP="00602B4E">
            <w:pPr>
              <w:pStyle w:val="Paragraphedeliste"/>
              <w:ind w:left="459"/>
              <w:rPr>
                <w:rFonts w:ascii="Times New Roman" w:hAnsi="Times New Roman" w:cs="Times New Roman"/>
                <w:sz w:val="24"/>
                <w:szCs w:val="24"/>
              </w:rPr>
            </w:pPr>
          </w:p>
        </w:tc>
      </w:tr>
      <w:tr w:rsidR="00BA40BD" w:rsidRPr="00441F0A" w:rsidTr="00893AFC">
        <w:tc>
          <w:tcPr>
            <w:tcW w:w="3085" w:type="dxa"/>
            <w:shd w:val="clear" w:color="auto" w:fill="C4960C"/>
            <w:vAlign w:val="center"/>
          </w:tcPr>
          <w:p w:rsidR="00BA40BD" w:rsidRPr="00441F0A" w:rsidRDefault="00BA40BD" w:rsidP="00893AFC">
            <w:pPr>
              <w:jc w:val="center"/>
              <w:rPr>
                <w:rFonts w:ascii="Times New Roman" w:hAnsi="Times New Roman" w:cs="Times New Roman"/>
                <w:sz w:val="24"/>
                <w:szCs w:val="24"/>
              </w:rPr>
            </w:pPr>
            <w:r w:rsidRPr="00441F0A">
              <w:rPr>
                <w:rFonts w:ascii="Times New Roman" w:hAnsi="Times New Roman" w:cs="Times New Roman"/>
                <w:sz w:val="24"/>
                <w:szCs w:val="24"/>
              </w:rPr>
              <w:t>Pouvoir de négociation des fournisseurs</w:t>
            </w:r>
          </w:p>
        </w:tc>
        <w:tc>
          <w:tcPr>
            <w:tcW w:w="5954" w:type="dxa"/>
            <w:shd w:val="clear" w:color="auto" w:fill="FFFFFF" w:themeFill="background1"/>
          </w:tcPr>
          <w:p w:rsidR="00BA40BD" w:rsidRDefault="00BA40BD" w:rsidP="00540A65">
            <w:pPr>
              <w:pStyle w:val="Paragraphedeliste"/>
              <w:numPr>
                <w:ilvl w:val="0"/>
                <w:numId w:val="3"/>
              </w:numPr>
              <w:ind w:left="459"/>
              <w:rPr>
                <w:rFonts w:ascii="Times New Roman" w:hAnsi="Times New Roman" w:cs="Times New Roman"/>
                <w:sz w:val="24"/>
                <w:szCs w:val="24"/>
              </w:rPr>
            </w:pPr>
            <w:r w:rsidRPr="00441F0A">
              <w:rPr>
                <w:rFonts w:ascii="Times New Roman" w:hAnsi="Times New Roman" w:cs="Times New Roman"/>
                <w:sz w:val="24"/>
                <w:szCs w:val="24"/>
              </w:rPr>
              <w:t>Une bonne entente avec les professeurs et la convention collective permettent de réduire le pouvoir de négociation des professeurs et chargés de cours.</w:t>
            </w:r>
          </w:p>
          <w:p w:rsidR="00E13C97" w:rsidRPr="00E13C97" w:rsidRDefault="00E13C97" w:rsidP="00E13C97">
            <w:pPr>
              <w:pStyle w:val="Paragraphedeliste"/>
              <w:ind w:left="459"/>
              <w:rPr>
                <w:rFonts w:ascii="Times New Roman" w:hAnsi="Times New Roman" w:cs="Times New Roman"/>
                <w:sz w:val="24"/>
                <w:szCs w:val="24"/>
              </w:rPr>
            </w:pPr>
          </w:p>
        </w:tc>
      </w:tr>
      <w:tr w:rsidR="00BA40BD" w:rsidRPr="00441F0A" w:rsidTr="00893AFC">
        <w:tc>
          <w:tcPr>
            <w:tcW w:w="3085" w:type="dxa"/>
            <w:shd w:val="clear" w:color="auto" w:fill="C4960C"/>
            <w:vAlign w:val="center"/>
          </w:tcPr>
          <w:p w:rsidR="00BA40BD" w:rsidRPr="00441F0A" w:rsidRDefault="00BA40BD" w:rsidP="00893AFC">
            <w:pPr>
              <w:jc w:val="center"/>
              <w:rPr>
                <w:rFonts w:ascii="Times New Roman" w:hAnsi="Times New Roman" w:cs="Times New Roman"/>
                <w:sz w:val="24"/>
                <w:szCs w:val="24"/>
              </w:rPr>
            </w:pPr>
            <w:r w:rsidRPr="00441F0A">
              <w:rPr>
                <w:rFonts w:ascii="Times New Roman" w:hAnsi="Times New Roman" w:cs="Times New Roman"/>
                <w:sz w:val="24"/>
                <w:szCs w:val="24"/>
              </w:rPr>
              <w:t>Rôle des pouvoirs publics</w:t>
            </w:r>
          </w:p>
        </w:tc>
        <w:tc>
          <w:tcPr>
            <w:tcW w:w="5954" w:type="dxa"/>
            <w:shd w:val="clear" w:color="auto" w:fill="FFFFFF" w:themeFill="background1"/>
          </w:tcPr>
          <w:p w:rsidR="00BA40BD" w:rsidRPr="00441F0A" w:rsidRDefault="00BA40BD" w:rsidP="00540A65">
            <w:pPr>
              <w:pStyle w:val="Paragraphedeliste"/>
              <w:numPr>
                <w:ilvl w:val="0"/>
                <w:numId w:val="3"/>
              </w:numPr>
              <w:ind w:left="459"/>
              <w:rPr>
                <w:rFonts w:ascii="Times New Roman" w:hAnsi="Times New Roman" w:cs="Times New Roman"/>
                <w:sz w:val="24"/>
                <w:szCs w:val="24"/>
              </w:rPr>
            </w:pPr>
            <w:r w:rsidRPr="00441F0A">
              <w:rPr>
                <w:rFonts w:ascii="Times New Roman" w:hAnsi="Times New Roman" w:cs="Times New Roman"/>
                <w:sz w:val="24"/>
                <w:szCs w:val="24"/>
              </w:rPr>
              <w:t xml:space="preserve">La capacité de s’unir avec les autres universités du </w:t>
            </w:r>
            <w:proofErr w:type="spellStart"/>
            <w:r w:rsidRPr="00441F0A">
              <w:rPr>
                <w:rFonts w:ascii="Times New Roman" w:hAnsi="Times New Roman" w:cs="Times New Roman"/>
                <w:sz w:val="24"/>
                <w:szCs w:val="24"/>
              </w:rPr>
              <w:t>Québecface</w:t>
            </w:r>
            <w:proofErr w:type="spellEnd"/>
            <w:r w:rsidRPr="00441F0A">
              <w:rPr>
                <w:rFonts w:ascii="Times New Roman" w:hAnsi="Times New Roman" w:cs="Times New Roman"/>
                <w:sz w:val="24"/>
                <w:szCs w:val="24"/>
              </w:rPr>
              <w:t xml:space="preserve"> au Gouvernement.  En effet, les universités faisant parti du réseau des universités du Québec peuvent se serrer les coudes afin d’avoir un plus grand poids face aux pouvoirs publics.</w:t>
            </w:r>
          </w:p>
          <w:p w:rsidR="00BA40BD" w:rsidRPr="00441F0A" w:rsidRDefault="00BA40BD" w:rsidP="00602B4E">
            <w:pPr>
              <w:pStyle w:val="Paragraphedeliste"/>
              <w:ind w:left="459"/>
              <w:rPr>
                <w:rFonts w:ascii="Times New Roman" w:hAnsi="Times New Roman" w:cs="Times New Roman"/>
                <w:sz w:val="24"/>
                <w:szCs w:val="24"/>
              </w:rPr>
            </w:pPr>
          </w:p>
          <w:p w:rsidR="00BA40BD" w:rsidRPr="00E13C97" w:rsidRDefault="00BA40BD" w:rsidP="00540A65">
            <w:pPr>
              <w:pStyle w:val="Paragraphedeliste"/>
              <w:numPr>
                <w:ilvl w:val="0"/>
                <w:numId w:val="3"/>
              </w:numPr>
              <w:ind w:left="459"/>
              <w:rPr>
                <w:rFonts w:ascii="Times New Roman" w:hAnsi="Times New Roman" w:cs="Times New Roman"/>
                <w:sz w:val="24"/>
                <w:szCs w:val="24"/>
              </w:rPr>
            </w:pPr>
            <w:r w:rsidRPr="00441F0A">
              <w:rPr>
                <w:rFonts w:ascii="Times New Roman" w:hAnsi="Times New Roman" w:cs="Times New Roman"/>
                <w:sz w:val="24"/>
                <w:szCs w:val="24"/>
              </w:rPr>
              <w:t>La capacité de mobiliser une grande partie de la population étudiante.</w:t>
            </w:r>
          </w:p>
        </w:tc>
      </w:tr>
      <w:tr w:rsidR="00BA40BD" w:rsidRPr="00441F0A" w:rsidTr="00893AFC">
        <w:tc>
          <w:tcPr>
            <w:tcW w:w="3085" w:type="dxa"/>
            <w:shd w:val="clear" w:color="auto" w:fill="C4960C"/>
            <w:vAlign w:val="center"/>
          </w:tcPr>
          <w:p w:rsidR="00BA40BD" w:rsidRPr="00441F0A" w:rsidRDefault="00BA40BD" w:rsidP="00893AFC">
            <w:pPr>
              <w:jc w:val="center"/>
              <w:rPr>
                <w:rFonts w:ascii="Times New Roman" w:hAnsi="Times New Roman" w:cs="Times New Roman"/>
                <w:sz w:val="24"/>
                <w:szCs w:val="24"/>
              </w:rPr>
            </w:pPr>
            <w:r w:rsidRPr="00441F0A">
              <w:rPr>
                <w:rFonts w:ascii="Times New Roman" w:hAnsi="Times New Roman" w:cs="Times New Roman"/>
                <w:sz w:val="24"/>
                <w:szCs w:val="24"/>
              </w:rPr>
              <w:t>Intensité concurrentielle</w:t>
            </w:r>
          </w:p>
        </w:tc>
        <w:tc>
          <w:tcPr>
            <w:tcW w:w="5954" w:type="dxa"/>
            <w:shd w:val="clear" w:color="auto" w:fill="FFFFFF" w:themeFill="background1"/>
          </w:tcPr>
          <w:p w:rsidR="00BA40BD" w:rsidRPr="00441F0A" w:rsidRDefault="00BA40BD" w:rsidP="00540A65">
            <w:pPr>
              <w:pStyle w:val="Paragraphedeliste"/>
              <w:numPr>
                <w:ilvl w:val="0"/>
                <w:numId w:val="3"/>
              </w:numPr>
              <w:ind w:left="459"/>
              <w:rPr>
                <w:rFonts w:ascii="Times New Roman" w:hAnsi="Times New Roman" w:cs="Times New Roman"/>
                <w:sz w:val="24"/>
                <w:szCs w:val="24"/>
              </w:rPr>
            </w:pPr>
            <w:r w:rsidRPr="00441F0A">
              <w:rPr>
                <w:rFonts w:ascii="Times New Roman" w:hAnsi="Times New Roman" w:cs="Times New Roman"/>
                <w:sz w:val="24"/>
                <w:szCs w:val="24"/>
              </w:rPr>
              <w:t>L’offre de programmes qui s’enrichit toujours plus. Les étudiants adorent l’emplacement de l’Université. Le fait qu’il y ait de nouveaux programmes permet de rejoindre de plus en plus de gens désirant étudier dans des domaines spécialisé et cherchant à étudier à l’UQTR.</w:t>
            </w:r>
          </w:p>
          <w:p w:rsidR="00BA40BD" w:rsidRPr="00441F0A" w:rsidRDefault="00BA40BD" w:rsidP="00602B4E">
            <w:pPr>
              <w:ind w:left="459"/>
              <w:rPr>
                <w:rFonts w:ascii="Times New Roman" w:hAnsi="Times New Roman" w:cs="Times New Roman"/>
                <w:sz w:val="24"/>
                <w:szCs w:val="24"/>
              </w:rPr>
            </w:pPr>
          </w:p>
          <w:p w:rsidR="00BA40BD" w:rsidRPr="00441F0A" w:rsidRDefault="00BA40BD" w:rsidP="00540A65">
            <w:pPr>
              <w:pStyle w:val="Paragraphedeliste"/>
              <w:numPr>
                <w:ilvl w:val="0"/>
                <w:numId w:val="3"/>
              </w:numPr>
              <w:ind w:left="459"/>
              <w:rPr>
                <w:rFonts w:ascii="Times New Roman" w:hAnsi="Times New Roman" w:cs="Times New Roman"/>
                <w:sz w:val="24"/>
                <w:szCs w:val="24"/>
              </w:rPr>
            </w:pPr>
            <w:r w:rsidRPr="00441F0A">
              <w:rPr>
                <w:rFonts w:ascii="Times New Roman" w:hAnsi="Times New Roman" w:cs="Times New Roman"/>
                <w:sz w:val="24"/>
                <w:szCs w:val="24"/>
              </w:rPr>
              <w:t>Le contrôle des compétences distinctives. Encore une fois, certains professeurs ayant une grande réputation et aimant l’université ne quitteront pas leur poste pour rejoindre une autre université.</w:t>
            </w:r>
          </w:p>
        </w:tc>
      </w:tr>
    </w:tbl>
    <w:p w:rsidR="00E13C97" w:rsidRDefault="00E13C97" w:rsidP="000D0609">
      <w:pPr>
        <w:pStyle w:val="Titre2"/>
        <w:rPr>
          <w:rFonts w:ascii="Times New Roman" w:hAnsi="Times New Roman" w:cs="Times New Roman"/>
          <w:color w:val="auto"/>
          <w:sz w:val="24"/>
          <w:szCs w:val="24"/>
        </w:rPr>
      </w:pPr>
    </w:p>
    <w:p w:rsidR="000D0609" w:rsidRPr="00E13C97" w:rsidRDefault="007A7A51" w:rsidP="007A7A51">
      <w:pPr>
        <w:pStyle w:val="Titre2"/>
      </w:pPr>
      <w:bookmarkStart w:id="19" w:name="_Toc417486232"/>
      <w:r>
        <w:t xml:space="preserve">3. </w:t>
      </w:r>
      <w:r w:rsidR="000D0609" w:rsidRPr="00E13C97">
        <w:t>La capacité stratégique</w:t>
      </w:r>
      <w:bookmarkEnd w:id="19"/>
    </w:p>
    <w:p w:rsidR="00E13C97" w:rsidRPr="00A30513" w:rsidRDefault="00EE58D6" w:rsidP="00A30513">
      <w:pPr>
        <w:pStyle w:val="Titre3"/>
      </w:pPr>
      <w:bookmarkStart w:id="20" w:name="_Toc417486233"/>
      <w:r>
        <w:t>3</w:t>
      </w:r>
      <w:r w:rsidR="00A30513" w:rsidRPr="00A30513">
        <w:t xml:space="preserve">.1 </w:t>
      </w:r>
      <w:r w:rsidR="00E13C97" w:rsidRPr="00A30513">
        <w:t>Les fondements de la capacité stratégique</w:t>
      </w:r>
      <w:bookmarkEnd w:id="20"/>
    </w:p>
    <w:p w:rsidR="000D0609" w:rsidRPr="00441F0A" w:rsidRDefault="00EE58D6" w:rsidP="00A30513">
      <w:pPr>
        <w:pStyle w:val="Titre4"/>
        <w:ind w:left="360"/>
      </w:pPr>
      <w:bookmarkStart w:id="21" w:name="_Toc417486234"/>
      <w:r>
        <w:t>3</w:t>
      </w:r>
      <w:r w:rsidR="00A30513">
        <w:t xml:space="preserve">.1.1 </w:t>
      </w:r>
      <w:r w:rsidR="000D0609" w:rsidRPr="00441F0A">
        <w:t>Les capacités dynamiques</w:t>
      </w:r>
      <w:bookmarkEnd w:id="21"/>
    </w:p>
    <w:p w:rsidR="00A65F8F" w:rsidRPr="00441F0A" w:rsidRDefault="00A65F8F" w:rsidP="00A65F8F">
      <w:pPr>
        <w:rPr>
          <w:rFonts w:ascii="Times New Roman" w:hAnsi="Times New Roman" w:cs="Times New Roman"/>
          <w:sz w:val="24"/>
          <w:szCs w:val="24"/>
        </w:rPr>
      </w:pPr>
    </w:p>
    <w:p w:rsidR="00A65F8F" w:rsidRPr="00441F0A" w:rsidRDefault="00A65F8F" w:rsidP="00A65F8F">
      <w:pPr>
        <w:pStyle w:val="Paragraphedeliste"/>
        <w:spacing w:line="360" w:lineRule="auto"/>
        <w:ind w:left="0" w:firstLine="360"/>
        <w:jc w:val="both"/>
        <w:rPr>
          <w:rFonts w:ascii="Times New Roman" w:hAnsi="Times New Roman" w:cs="Times New Roman"/>
          <w:sz w:val="24"/>
          <w:szCs w:val="24"/>
        </w:rPr>
      </w:pPr>
      <w:r w:rsidRPr="00441F0A">
        <w:rPr>
          <w:rFonts w:ascii="Times New Roman" w:hAnsi="Times New Roman" w:cs="Times New Roman"/>
          <w:sz w:val="24"/>
          <w:szCs w:val="24"/>
        </w:rPr>
        <w:t>Les méthodes d’enseignements étant constamment en évolution, l’Université du Québec à Trois-Rivières doit savoir s’adapter. Pour ce faire, l’U.Q.T.R. a commencé à offrir des cours en ligne dans certains programmes afin de satisfaire les besoins en évolution de sa clientèle. Dans le même ordre d’idée, plusieurs cours sont optimisés sur informatique afin de susciter un intérêt supérieur de la part des  étudiants, de présenter du matériel pédagogique avec un potentiel d’utilisation accru et de réduire l’empreinte écologique de l’établissement.</w:t>
      </w:r>
    </w:p>
    <w:p w:rsidR="00A65F8F" w:rsidRPr="00441F0A" w:rsidRDefault="00A65F8F" w:rsidP="00A65F8F">
      <w:pPr>
        <w:spacing w:line="360" w:lineRule="auto"/>
        <w:jc w:val="both"/>
        <w:rPr>
          <w:rFonts w:ascii="Times New Roman" w:hAnsi="Times New Roman" w:cs="Times New Roman"/>
          <w:sz w:val="24"/>
          <w:szCs w:val="24"/>
        </w:rPr>
      </w:pPr>
      <w:r w:rsidRPr="00441F0A">
        <w:rPr>
          <w:rFonts w:ascii="Times New Roman" w:hAnsi="Times New Roman" w:cs="Times New Roman"/>
          <w:sz w:val="24"/>
          <w:szCs w:val="24"/>
        </w:rPr>
        <w:t xml:space="preserve">         Dans un autre ordre d’idée, l’université a démontré qu’elle sait saisir les opportunités. En effet, en annonçant la construction d’un campus à Drummondville, elle a su profiter d’une opportunité d’expansion, dans une région où malgré une démographie croissante, il n’y avait aucun campus universitaire.</w:t>
      </w:r>
    </w:p>
    <w:p w:rsidR="000D0609" w:rsidRPr="00A30513" w:rsidRDefault="00EE58D6" w:rsidP="00A30513">
      <w:pPr>
        <w:pStyle w:val="Titre4"/>
        <w:ind w:left="708"/>
        <w:rPr>
          <w:szCs w:val="24"/>
        </w:rPr>
      </w:pPr>
      <w:bookmarkStart w:id="22" w:name="_Toc417486235"/>
      <w:r>
        <w:t>3</w:t>
      </w:r>
      <w:r w:rsidR="00A30513" w:rsidRPr="00A30513">
        <w:t xml:space="preserve">.1.2 </w:t>
      </w:r>
      <w:r w:rsidR="000D0609" w:rsidRPr="00A30513">
        <w:rPr>
          <w:szCs w:val="24"/>
        </w:rPr>
        <w:t>Les capacités seuils et les capacités distinctives</w:t>
      </w:r>
      <w:bookmarkEnd w:id="22"/>
    </w:p>
    <w:tbl>
      <w:tblPr>
        <w:tblW w:w="8223" w:type="dxa"/>
        <w:tblInd w:w="-318" w:type="dxa"/>
        <w:tblCellMar>
          <w:left w:w="0" w:type="dxa"/>
          <w:right w:w="0" w:type="dxa"/>
        </w:tblCellMar>
        <w:tblLook w:val="04A0"/>
      </w:tblPr>
      <w:tblGrid>
        <w:gridCol w:w="1844"/>
        <w:gridCol w:w="2991"/>
        <w:gridCol w:w="3388"/>
      </w:tblGrid>
      <w:tr w:rsidR="00893AFC" w:rsidRPr="00893AFC" w:rsidTr="00A30513">
        <w:trPr>
          <w:trHeight w:val="794"/>
        </w:trPr>
        <w:tc>
          <w:tcPr>
            <w:tcW w:w="1844" w:type="dxa"/>
            <w:tcBorders>
              <w:top w:val="nil"/>
              <w:left w:val="nil"/>
              <w:bottom w:val="single" w:sz="8" w:space="0" w:color="000000"/>
              <w:right w:val="single" w:sz="8" w:space="0" w:color="000000"/>
            </w:tcBorders>
            <w:shd w:val="clear" w:color="auto" w:fill="auto"/>
            <w:tcMar>
              <w:top w:w="15" w:type="dxa"/>
              <w:left w:w="108" w:type="dxa"/>
              <w:bottom w:w="0" w:type="dxa"/>
              <w:right w:w="108" w:type="dxa"/>
            </w:tcMar>
            <w:hideMark/>
          </w:tcPr>
          <w:p w:rsidR="00893AFC" w:rsidRPr="00893AFC" w:rsidRDefault="00893AFC" w:rsidP="00893AFC"/>
        </w:tc>
        <w:tc>
          <w:tcPr>
            <w:tcW w:w="2991" w:type="dxa"/>
            <w:tcBorders>
              <w:top w:val="single" w:sz="8" w:space="0" w:color="000000"/>
              <w:left w:val="single" w:sz="8" w:space="0" w:color="000000"/>
              <w:bottom w:val="single" w:sz="8" w:space="0" w:color="000000"/>
              <w:right w:val="single" w:sz="8" w:space="0" w:color="000000"/>
            </w:tcBorders>
            <w:shd w:val="clear" w:color="auto" w:fill="00703C"/>
            <w:tcMar>
              <w:top w:w="15" w:type="dxa"/>
              <w:left w:w="108" w:type="dxa"/>
              <w:bottom w:w="0" w:type="dxa"/>
              <w:right w:w="108" w:type="dxa"/>
            </w:tcMar>
            <w:vAlign w:val="center"/>
            <w:hideMark/>
          </w:tcPr>
          <w:p w:rsidR="00A83EA8" w:rsidRPr="00893AFC" w:rsidRDefault="00893AFC" w:rsidP="00893AFC">
            <w:pPr>
              <w:jc w:val="center"/>
              <w:rPr>
                <w:rFonts w:ascii="Times New Roman" w:hAnsi="Times New Roman" w:cs="Times New Roman"/>
                <w:color w:val="FFFFFF" w:themeColor="background1"/>
                <w:sz w:val="24"/>
                <w:szCs w:val="24"/>
              </w:rPr>
            </w:pPr>
            <w:r w:rsidRPr="00893AFC">
              <w:rPr>
                <w:rFonts w:ascii="Times New Roman" w:hAnsi="Times New Roman" w:cs="Times New Roman"/>
                <w:b/>
                <w:bCs/>
                <w:color w:val="FFFFFF" w:themeColor="background1"/>
                <w:sz w:val="24"/>
                <w:szCs w:val="24"/>
              </w:rPr>
              <w:t>Ressources</w:t>
            </w:r>
          </w:p>
        </w:tc>
        <w:tc>
          <w:tcPr>
            <w:tcW w:w="3388" w:type="dxa"/>
            <w:tcBorders>
              <w:top w:val="single" w:sz="8" w:space="0" w:color="000000"/>
              <w:left w:val="single" w:sz="8" w:space="0" w:color="000000"/>
              <w:bottom w:val="single" w:sz="8" w:space="0" w:color="000000"/>
              <w:right w:val="single" w:sz="8" w:space="0" w:color="000000"/>
            </w:tcBorders>
            <w:shd w:val="clear" w:color="auto" w:fill="00703C"/>
            <w:tcMar>
              <w:top w:w="15" w:type="dxa"/>
              <w:left w:w="108" w:type="dxa"/>
              <w:bottom w:w="0" w:type="dxa"/>
              <w:right w:w="108" w:type="dxa"/>
            </w:tcMar>
            <w:vAlign w:val="center"/>
            <w:hideMark/>
          </w:tcPr>
          <w:p w:rsidR="00A83EA8" w:rsidRPr="00893AFC" w:rsidRDefault="00893AFC" w:rsidP="00893AFC">
            <w:pPr>
              <w:jc w:val="center"/>
              <w:rPr>
                <w:rFonts w:ascii="Times New Roman" w:hAnsi="Times New Roman" w:cs="Times New Roman"/>
                <w:color w:val="FFFFFF" w:themeColor="background1"/>
                <w:sz w:val="24"/>
                <w:szCs w:val="24"/>
              </w:rPr>
            </w:pPr>
            <w:r w:rsidRPr="00893AFC">
              <w:rPr>
                <w:rFonts w:ascii="Times New Roman" w:hAnsi="Times New Roman" w:cs="Times New Roman"/>
                <w:b/>
                <w:bCs/>
                <w:color w:val="FFFFFF" w:themeColor="background1"/>
                <w:sz w:val="24"/>
                <w:szCs w:val="24"/>
              </w:rPr>
              <w:t>Compétences</w:t>
            </w:r>
          </w:p>
        </w:tc>
      </w:tr>
      <w:tr w:rsidR="00893AFC" w:rsidRPr="00893AFC" w:rsidTr="00A30513">
        <w:trPr>
          <w:trHeight w:val="2334"/>
        </w:trPr>
        <w:tc>
          <w:tcPr>
            <w:tcW w:w="1844" w:type="dxa"/>
            <w:tcBorders>
              <w:top w:val="single" w:sz="8" w:space="0" w:color="000000"/>
              <w:left w:val="single" w:sz="8" w:space="0" w:color="000000"/>
              <w:bottom w:val="single" w:sz="8" w:space="0" w:color="000000"/>
              <w:right w:val="single" w:sz="8" w:space="0" w:color="000000"/>
            </w:tcBorders>
            <w:shd w:val="clear" w:color="auto" w:fill="00703C"/>
            <w:tcMar>
              <w:top w:w="15" w:type="dxa"/>
              <w:left w:w="108" w:type="dxa"/>
              <w:bottom w:w="0" w:type="dxa"/>
              <w:right w:w="108" w:type="dxa"/>
            </w:tcMar>
            <w:vAlign w:val="center"/>
            <w:hideMark/>
          </w:tcPr>
          <w:p w:rsidR="00A83EA8" w:rsidRPr="00893AFC" w:rsidRDefault="00893AFC" w:rsidP="00893AFC">
            <w:pPr>
              <w:jc w:val="center"/>
              <w:rPr>
                <w:rFonts w:ascii="Times New Roman" w:hAnsi="Times New Roman" w:cs="Times New Roman"/>
                <w:color w:val="FFFFFF" w:themeColor="background1"/>
                <w:sz w:val="24"/>
                <w:szCs w:val="24"/>
              </w:rPr>
            </w:pPr>
            <w:r w:rsidRPr="00893AFC">
              <w:rPr>
                <w:rFonts w:ascii="Times New Roman" w:hAnsi="Times New Roman" w:cs="Times New Roman"/>
                <w:b/>
                <w:bCs/>
                <w:color w:val="FFFFFF" w:themeColor="background1"/>
                <w:sz w:val="24"/>
                <w:szCs w:val="24"/>
              </w:rPr>
              <w:t>Capacité seuil</w:t>
            </w:r>
          </w:p>
        </w:tc>
        <w:tc>
          <w:tcPr>
            <w:tcW w:w="2991"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A83EA8" w:rsidRPr="00893AFC" w:rsidRDefault="00A83EA8" w:rsidP="00540A65">
            <w:pPr>
              <w:numPr>
                <w:ilvl w:val="0"/>
                <w:numId w:val="25"/>
              </w:numPr>
              <w:tabs>
                <w:tab w:val="clear" w:pos="720"/>
              </w:tabs>
              <w:ind w:left="207" w:hanging="207"/>
              <w:rPr>
                <w:rFonts w:ascii="Times New Roman" w:hAnsi="Times New Roman" w:cs="Times New Roman"/>
                <w:sz w:val="24"/>
                <w:szCs w:val="24"/>
              </w:rPr>
            </w:pPr>
            <w:r w:rsidRPr="00893AFC">
              <w:rPr>
                <w:rFonts w:ascii="Times New Roman" w:hAnsi="Times New Roman" w:cs="Times New Roman"/>
                <w:sz w:val="24"/>
                <w:szCs w:val="24"/>
              </w:rPr>
              <w:t>Nombre d’enseignants</w:t>
            </w:r>
          </w:p>
          <w:p w:rsidR="00A83EA8" w:rsidRPr="00893AFC" w:rsidRDefault="00A83EA8" w:rsidP="00540A65">
            <w:pPr>
              <w:numPr>
                <w:ilvl w:val="0"/>
                <w:numId w:val="25"/>
              </w:numPr>
              <w:tabs>
                <w:tab w:val="clear" w:pos="720"/>
              </w:tabs>
              <w:ind w:left="207" w:hanging="207"/>
              <w:rPr>
                <w:rFonts w:ascii="Times New Roman" w:hAnsi="Times New Roman" w:cs="Times New Roman"/>
                <w:sz w:val="24"/>
                <w:szCs w:val="24"/>
              </w:rPr>
            </w:pPr>
            <w:r w:rsidRPr="00893AFC">
              <w:rPr>
                <w:rFonts w:ascii="Times New Roman" w:hAnsi="Times New Roman" w:cs="Times New Roman"/>
                <w:sz w:val="24"/>
                <w:szCs w:val="24"/>
              </w:rPr>
              <w:t>Service d’administration</w:t>
            </w:r>
          </w:p>
          <w:p w:rsidR="00A83EA8" w:rsidRPr="00893AFC" w:rsidRDefault="00A83EA8" w:rsidP="00540A65">
            <w:pPr>
              <w:numPr>
                <w:ilvl w:val="0"/>
                <w:numId w:val="25"/>
              </w:numPr>
              <w:tabs>
                <w:tab w:val="clear" w:pos="720"/>
              </w:tabs>
              <w:ind w:left="207" w:hanging="207"/>
              <w:rPr>
                <w:rFonts w:ascii="Times New Roman" w:hAnsi="Times New Roman" w:cs="Times New Roman"/>
                <w:sz w:val="24"/>
                <w:szCs w:val="24"/>
              </w:rPr>
            </w:pPr>
            <w:r w:rsidRPr="00893AFC">
              <w:rPr>
                <w:rFonts w:ascii="Times New Roman" w:hAnsi="Times New Roman" w:cs="Times New Roman"/>
                <w:sz w:val="24"/>
                <w:szCs w:val="24"/>
              </w:rPr>
              <w:t xml:space="preserve">Ressources humaines </w:t>
            </w:r>
          </w:p>
          <w:p w:rsidR="00A83EA8" w:rsidRPr="00893AFC" w:rsidRDefault="00A83EA8" w:rsidP="00540A65">
            <w:pPr>
              <w:numPr>
                <w:ilvl w:val="0"/>
                <w:numId w:val="25"/>
              </w:numPr>
              <w:tabs>
                <w:tab w:val="clear" w:pos="720"/>
              </w:tabs>
              <w:ind w:left="207" w:hanging="207"/>
              <w:rPr>
                <w:rFonts w:ascii="Times New Roman" w:hAnsi="Times New Roman" w:cs="Times New Roman"/>
                <w:sz w:val="24"/>
                <w:szCs w:val="24"/>
              </w:rPr>
            </w:pPr>
            <w:r w:rsidRPr="00893AFC">
              <w:rPr>
                <w:rFonts w:ascii="Times New Roman" w:hAnsi="Times New Roman" w:cs="Times New Roman"/>
                <w:sz w:val="24"/>
                <w:szCs w:val="24"/>
              </w:rPr>
              <w:t xml:space="preserve">Système informatique  </w:t>
            </w:r>
          </w:p>
          <w:p w:rsidR="00A83EA8" w:rsidRPr="00893AFC" w:rsidRDefault="00A83EA8" w:rsidP="00540A65">
            <w:pPr>
              <w:numPr>
                <w:ilvl w:val="0"/>
                <w:numId w:val="25"/>
              </w:numPr>
              <w:tabs>
                <w:tab w:val="clear" w:pos="720"/>
              </w:tabs>
              <w:ind w:left="207" w:hanging="207"/>
              <w:rPr>
                <w:rFonts w:ascii="Times New Roman" w:hAnsi="Times New Roman" w:cs="Times New Roman"/>
                <w:sz w:val="24"/>
                <w:szCs w:val="24"/>
              </w:rPr>
            </w:pPr>
            <w:r w:rsidRPr="00893AFC">
              <w:rPr>
                <w:rFonts w:ascii="Times New Roman" w:hAnsi="Times New Roman" w:cs="Times New Roman"/>
                <w:sz w:val="24"/>
                <w:szCs w:val="24"/>
              </w:rPr>
              <w:t>Infrastructures minimales</w:t>
            </w:r>
          </w:p>
        </w:tc>
        <w:tc>
          <w:tcPr>
            <w:tcW w:w="3388"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A83EA8" w:rsidRPr="00893AFC" w:rsidRDefault="00A83EA8" w:rsidP="00540A65">
            <w:pPr>
              <w:numPr>
                <w:ilvl w:val="0"/>
                <w:numId w:val="25"/>
              </w:numPr>
              <w:tabs>
                <w:tab w:val="clear" w:pos="720"/>
                <w:tab w:val="num" w:pos="459"/>
              </w:tabs>
              <w:ind w:left="459" w:hanging="284"/>
              <w:rPr>
                <w:rFonts w:ascii="Times New Roman" w:hAnsi="Times New Roman" w:cs="Times New Roman"/>
                <w:sz w:val="24"/>
                <w:szCs w:val="24"/>
              </w:rPr>
            </w:pPr>
            <w:r w:rsidRPr="00893AFC">
              <w:rPr>
                <w:rFonts w:ascii="Times New Roman" w:hAnsi="Times New Roman" w:cs="Times New Roman"/>
                <w:sz w:val="24"/>
                <w:szCs w:val="24"/>
              </w:rPr>
              <w:t>Formation et maîtrise de la langue parlée adéquate des enseignants</w:t>
            </w:r>
          </w:p>
        </w:tc>
      </w:tr>
      <w:tr w:rsidR="00893AFC" w:rsidRPr="00893AFC" w:rsidTr="00A30513">
        <w:trPr>
          <w:trHeight w:val="1667"/>
        </w:trPr>
        <w:tc>
          <w:tcPr>
            <w:tcW w:w="1844" w:type="dxa"/>
            <w:tcBorders>
              <w:top w:val="single" w:sz="8" w:space="0" w:color="000000"/>
              <w:left w:val="single" w:sz="8" w:space="0" w:color="000000"/>
              <w:bottom w:val="single" w:sz="8" w:space="0" w:color="000000"/>
              <w:right w:val="single" w:sz="8" w:space="0" w:color="000000"/>
            </w:tcBorders>
            <w:shd w:val="clear" w:color="auto" w:fill="00703C"/>
            <w:tcMar>
              <w:top w:w="15" w:type="dxa"/>
              <w:left w:w="108" w:type="dxa"/>
              <w:bottom w:w="0" w:type="dxa"/>
              <w:right w:w="108" w:type="dxa"/>
            </w:tcMar>
            <w:vAlign w:val="center"/>
            <w:hideMark/>
          </w:tcPr>
          <w:p w:rsidR="00A83EA8" w:rsidRPr="00893AFC" w:rsidRDefault="00893AFC" w:rsidP="00893AFC">
            <w:pPr>
              <w:jc w:val="center"/>
              <w:rPr>
                <w:rFonts w:ascii="Times New Roman" w:hAnsi="Times New Roman" w:cs="Times New Roman"/>
                <w:color w:val="FFFFFF" w:themeColor="background1"/>
                <w:sz w:val="24"/>
                <w:szCs w:val="24"/>
              </w:rPr>
            </w:pPr>
            <w:r w:rsidRPr="00893AFC">
              <w:rPr>
                <w:rFonts w:ascii="Times New Roman" w:hAnsi="Times New Roman" w:cs="Times New Roman"/>
                <w:b/>
                <w:bCs/>
                <w:color w:val="FFFFFF" w:themeColor="background1"/>
                <w:sz w:val="24"/>
                <w:szCs w:val="24"/>
              </w:rPr>
              <w:t>Capacité distinctive</w:t>
            </w:r>
          </w:p>
        </w:tc>
        <w:tc>
          <w:tcPr>
            <w:tcW w:w="2991"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A83EA8" w:rsidRPr="00893AFC" w:rsidRDefault="00A83EA8" w:rsidP="00540A65">
            <w:pPr>
              <w:numPr>
                <w:ilvl w:val="0"/>
                <w:numId w:val="26"/>
              </w:numPr>
              <w:tabs>
                <w:tab w:val="clear" w:pos="720"/>
                <w:tab w:val="num" w:pos="490"/>
              </w:tabs>
              <w:ind w:left="207" w:hanging="142"/>
              <w:rPr>
                <w:rFonts w:ascii="Times New Roman" w:hAnsi="Times New Roman" w:cs="Times New Roman"/>
                <w:sz w:val="24"/>
                <w:szCs w:val="24"/>
              </w:rPr>
            </w:pPr>
            <w:r w:rsidRPr="00893AFC">
              <w:rPr>
                <w:rFonts w:ascii="Times New Roman" w:hAnsi="Times New Roman" w:cs="Times New Roman"/>
                <w:sz w:val="24"/>
                <w:szCs w:val="24"/>
              </w:rPr>
              <w:t>Emplacement géographique</w:t>
            </w:r>
          </w:p>
          <w:p w:rsidR="00A83EA8" w:rsidRPr="00893AFC" w:rsidRDefault="00A83EA8" w:rsidP="00540A65">
            <w:pPr>
              <w:numPr>
                <w:ilvl w:val="0"/>
                <w:numId w:val="26"/>
              </w:numPr>
              <w:tabs>
                <w:tab w:val="clear" w:pos="720"/>
                <w:tab w:val="num" w:pos="490"/>
              </w:tabs>
              <w:ind w:left="207" w:hanging="142"/>
              <w:rPr>
                <w:rFonts w:ascii="Times New Roman" w:hAnsi="Times New Roman" w:cs="Times New Roman"/>
                <w:sz w:val="24"/>
                <w:szCs w:val="24"/>
              </w:rPr>
            </w:pPr>
            <w:r w:rsidRPr="00893AFC">
              <w:rPr>
                <w:rFonts w:ascii="Times New Roman" w:hAnsi="Times New Roman" w:cs="Times New Roman"/>
                <w:sz w:val="24"/>
                <w:szCs w:val="24"/>
              </w:rPr>
              <w:t xml:space="preserve"> Infrastructures de recherche </w:t>
            </w:r>
          </w:p>
          <w:p w:rsidR="00A83EA8" w:rsidRPr="00893AFC" w:rsidRDefault="00A83EA8" w:rsidP="00540A65">
            <w:pPr>
              <w:numPr>
                <w:ilvl w:val="0"/>
                <w:numId w:val="26"/>
              </w:numPr>
              <w:tabs>
                <w:tab w:val="clear" w:pos="720"/>
                <w:tab w:val="num" w:pos="490"/>
              </w:tabs>
              <w:ind w:left="207" w:hanging="142"/>
              <w:rPr>
                <w:rFonts w:ascii="Times New Roman" w:hAnsi="Times New Roman" w:cs="Times New Roman"/>
                <w:sz w:val="24"/>
                <w:szCs w:val="24"/>
              </w:rPr>
            </w:pPr>
            <w:r w:rsidRPr="00893AFC">
              <w:rPr>
                <w:rFonts w:ascii="Times New Roman" w:hAnsi="Times New Roman" w:cs="Times New Roman"/>
                <w:sz w:val="24"/>
                <w:szCs w:val="24"/>
              </w:rPr>
              <w:t xml:space="preserve">CAPS </w:t>
            </w:r>
          </w:p>
        </w:tc>
        <w:tc>
          <w:tcPr>
            <w:tcW w:w="3388"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A83EA8" w:rsidRPr="00893AFC" w:rsidRDefault="00A83EA8" w:rsidP="00540A65">
            <w:pPr>
              <w:numPr>
                <w:ilvl w:val="0"/>
                <w:numId w:val="26"/>
              </w:numPr>
              <w:tabs>
                <w:tab w:val="clear" w:pos="720"/>
                <w:tab w:val="num" w:pos="459"/>
              </w:tabs>
              <w:ind w:left="317" w:hanging="284"/>
              <w:rPr>
                <w:rFonts w:ascii="Times New Roman" w:hAnsi="Times New Roman" w:cs="Times New Roman"/>
                <w:sz w:val="24"/>
                <w:szCs w:val="24"/>
              </w:rPr>
            </w:pPr>
            <w:r w:rsidRPr="00893AFC">
              <w:rPr>
                <w:rFonts w:ascii="Times New Roman" w:hAnsi="Times New Roman" w:cs="Times New Roman"/>
                <w:sz w:val="24"/>
                <w:szCs w:val="24"/>
              </w:rPr>
              <w:t xml:space="preserve">Expertises des chercheurs </w:t>
            </w:r>
          </w:p>
          <w:p w:rsidR="00A83EA8" w:rsidRPr="00893AFC" w:rsidRDefault="00A83EA8" w:rsidP="00540A65">
            <w:pPr>
              <w:numPr>
                <w:ilvl w:val="0"/>
                <w:numId w:val="26"/>
              </w:numPr>
              <w:tabs>
                <w:tab w:val="clear" w:pos="720"/>
                <w:tab w:val="num" w:pos="459"/>
              </w:tabs>
              <w:ind w:left="317" w:hanging="284"/>
              <w:rPr>
                <w:rFonts w:ascii="Times New Roman" w:hAnsi="Times New Roman" w:cs="Times New Roman"/>
                <w:sz w:val="24"/>
                <w:szCs w:val="24"/>
              </w:rPr>
            </w:pPr>
            <w:r w:rsidRPr="00893AFC">
              <w:rPr>
                <w:rFonts w:ascii="Times New Roman" w:hAnsi="Times New Roman" w:cs="Times New Roman"/>
                <w:sz w:val="24"/>
                <w:szCs w:val="24"/>
              </w:rPr>
              <w:t>Formation supérieure de certains enseignants</w:t>
            </w:r>
          </w:p>
          <w:p w:rsidR="00A83EA8" w:rsidRPr="00893AFC" w:rsidRDefault="00A83EA8" w:rsidP="00540A65">
            <w:pPr>
              <w:numPr>
                <w:ilvl w:val="0"/>
                <w:numId w:val="26"/>
              </w:numPr>
              <w:tabs>
                <w:tab w:val="clear" w:pos="720"/>
                <w:tab w:val="num" w:pos="459"/>
              </w:tabs>
              <w:ind w:left="317" w:hanging="284"/>
              <w:rPr>
                <w:rFonts w:ascii="Times New Roman" w:hAnsi="Times New Roman" w:cs="Times New Roman"/>
                <w:sz w:val="24"/>
                <w:szCs w:val="24"/>
              </w:rPr>
            </w:pPr>
            <w:r w:rsidRPr="00893AFC">
              <w:rPr>
                <w:rFonts w:ascii="Times New Roman" w:hAnsi="Times New Roman" w:cs="Times New Roman"/>
                <w:sz w:val="24"/>
                <w:szCs w:val="24"/>
              </w:rPr>
              <w:t>Qualité de certains programmes</w:t>
            </w:r>
          </w:p>
        </w:tc>
      </w:tr>
    </w:tbl>
    <w:p w:rsidR="00A65F8F" w:rsidRPr="00441F0A" w:rsidRDefault="00A65F8F" w:rsidP="00A65F8F">
      <w:pPr>
        <w:pStyle w:val="Paragraphedeliste"/>
        <w:spacing w:line="360" w:lineRule="auto"/>
        <w:ind w:left="0"/>
        <w:jc w:val="both"/>
        <w:rPr>
          <w:rFonts w:ascii="Times New Roman" w:hAnsi="Times New Roman" w:cs="Times New Roman"/>
          <w:sz w:val="24"/>
          <w:szCs w:val="24"/>
        </w:rPr>
      </w:pPr>
      <w:r w:rsidRPr="00441F0A">
        <w:rPr>
          <w:rFonts w:ascii="Times New Roman" w:hAnsi="Times New Roman" w:cs="Times New Roman"/>
          <w:b/>
          <w:sz w:val="24"/>
          <w:szCs w:val="24"/>
        </w:rPr>
        <w:lastRenderedPageBreak/>
        <w:t xml:space="preserve">Ressources seuils : </w:t>
      </w:r>
      <w:r w:rsidR="00A30513">
        <w:rPr>
          <w:rFonts w:ascii="Times New Roman" w:hAnsi="Times New Roman" w:cs="Times New Roman"/>
          <w:sz w:val="24"/>
          <w:szCs w:val="24"/>
        </w:rPr>
        <w:t>Les capacités</w:t>
      </w:r>
      <w:r w:rsidRPr="00441F0A">
        <w:rPr>
          <w:rFonts w:ascii="Times New Roman" w:hAnsi="Times New Roman" w:cs="Times New Roman"/>
          <w:sz w:val="24"/>
          <w:szCs w:val="24"/>
        </w:rPr>
        <w:t xml:space="preserve"> seuil</w:t>
      </w:r>
      <w:r w:rsidR="00A30513">
        <w:rPr>
          <w:rFonts w:ascii="Times New Roman" w:hAnsi="Times New Roman" w:cs="Times New Roman"/>
          <w:sz w:val="24"/>
          <w:szCs w:val="24"/>
        </w:rPr>
        <w:t xml:space="preserve"> sont définies</w:t>
      </w:r>
      <w:r w:rsidRPr="00441F0A">
        <w:rPr>
          <w:rFonts w:ascii="Times New Roman" w:hAnsi="Times New Roman" w:cs="Times New Roman"/>
          <w:sz w:val="24"/>
          <w:szCs w:val="24"/>
        </w:rPr>
        <w:t xml:space="preserve"> comme étant « celles qui sont indispensables pour pouvoir intervenir sur un marché donné, à parité avec les concurrents établis. En leur absence, une organisation serait incapable de suivre le marché</w:t>
      </w:r>
      <w:r w:rsidRPr="00441F0A">
        <w:rPr>
          <w:rStyle w:val="Appelnotedebasdep"/>
          <w:rFonts w:ascii="Times New Roman" w:hAnsi="Times New Roman" w:cs="Times New Roman"/>
          <w:sz w:val="24"/>
          <w:szCs w:val="24"/>
        </w:rPr>
        <w:footnoteReference w:id="54"/>
      </w:r>
      <w:r w:rsidRPr="00441F0A">
        <w:rPr>
          <w:rFonts w:ascii="Times New Roman" w:hAnsi="Times New Roman" w:cs="Times New Roman"/>
          <w:sz w:val="24"/>
          <w:szCs w:val="24"/>
        </w:rPr>
        <w:t xml:space="preserve"> ». En suivant cette définition, nous pouvons déterminer que les ressources seuils nécessaires au fonctionnement d’une université sont un nombre minimal d’enseignants afin d’offrir un service aux élèves, un service d’administration, des ressources humaines, un système informatique permettant minimalement des échanges entre les élèves et les membres du personnel de l’établissement, des infrastructures permettant d’accueillir les employés et la population étudiante et finalement du matériel scolaire comme des tableaux, chaises, bureaux, etc. </w:t>
      </w:r>
    </w:p>
    <w:p w:rsidR="009E2399" w:rsidRPr="00441F0A" w:rsidRDefault="009E2399" w:rsidP="00A65F8F">
      <w:pPr>
        <w:pStyle w:val="Paragraphedeliste"/>
        <w:spacing w:line="360" w:lineRule="auto"/>
        <w:ind w:left="0"/>
        <w:jc w:val="both"/>
        <w:rPr>
          <w:rFonts w:ascii="Times New Roman" w:hAnsi="Times New Roman" w:cs="Times New Roman"/>
          <w:sz w:val="24"/>
          <w:szCs w:val="24"/>
        </w:rPr>
      </w:pPr>
    </w:p>
    <w:p w:rsidR="00A65F8F" w:rsidRDefault="00A65F8F" w:rsidP="00A65F8F">
      <w:pPr>
        <w:pStyle w:val="Paragraphedeliste"/>
        <w:spacing w:line="360" w:lineRule="auto"/>
        <w:ind w:left="0"/>
        <w:jc w:val="both"/>
        <w:rPr>
          <w:rFonts w:ascii="Times New Roman" w:hAnsi="Times New Roman" w:cs="Times New Roman"/>
          <w:sz w:val="24"/>
          <w:szCs w:val="24"/>
        </w:rPr>
      </w:pPr>
      <w:r w:rsidRPr="00441F0A">
        <w:rPr>
          <w:rFonts w:ascii="Times New Roman" w:hAnsi="Times New Roman" w:cs="Times New Roman"/>
          <w:b/>
          <w:sz w:val="24"/>
          <w:szCs w:val="24"/>
        </w:rPr>
        <w:t xml:space="preserve">Compétences seuils : </w:t>
      </w:r>
      <w:r w:rsidRPr="00441F0A">
        <w:rPr>
          <w:rFonts w:ascii="Times New Roman" w:hAnsi="Times New Roman" w:cs="Times New Roman"/>
          <w:sz w:val="24"/>
          <w:szCs w:val="24"/>
        </w:rPr>
        <w:t xml:space="preserve">En ce qui a trait aux compétences seuils nécessaires au fonctionnement d’un établissement universitaire, nous pouvons dire qu’elles consistent majoritairement en une maîtrise de la matière et de la langue enseignée de la part des professeurs et chargés de cours, une formation adéquate du personnel administratif et un savoir-faire des techniciens en informatique afin de faire fonctionner le matériel informatique convenablement. </w:t>
      </w:r>
    </w:p>
    <w:p w:rsidR="00A25F20" w:rsidRPr="00441F0A" w:rsidRDefault="00A25F20" w:rsidP="00A65F8F">
      <w:pPr>
        <w:pStyle w:val="Paragraphedeliste"/>
        <w:spacing w:line="360" w:lineRule="auto"/>
        <w:ind w:left="0"/>
        <w:jc w:val="both"/>
        <w:rPr>
          <w:rFonts w:ascii="Times New Roman" w:hAnsi="Times New Roman" w:cs="Times New Roman"/>
          <w:sz w:val="24"/>
          <w:szCs w:val="24"/>
        </w:rPr>
      </w:pPr>
    </w:p>
    <w:p w:rsidR="00A65F8F" w:rsidRDefault="00A65F8F" w:rsidP="00A65F8F">
      <w:pPr>
        <w:pStyle w:val="Paragraphedeliste"/>
        <w:spacing w:line="360" w:lineRule="auto"/>
        <w:ind w:left="0"/>
        <w:jc w:val="both"/>
        <w:rPr>
          <w:rFonts w:ascii="Times New Roman" w:hAnsi="Times New Roman" w:cs="Times New Roman"/>
          <w:sz w:val="24"/>
          <w:szCs w:val="24"/>
        </w:rPr>
      </w:pPr>
      <w:r w:rsidRPr="00441F0A">
        <w:rPr>
          <w:rFonts w:ascii="Times New Roman" w:hAnsi="Times New Roman" w:cs="Times New Roman"/>
          <w:b/>
          <w:sz w:val="24"/>
          <w:szCs w:val="24"/>
        </w:rPr>
        <w:t xml:space="preserve">Ressources distinctives : </w:t>
      </w:r>
      <w:r w:rsidRPr="00441F0A">
        <w:rPr>
          <w:rFonts w:ascii="Times New Roman" w:hAnsi="Times New Roman" w:cs="Times New Roman"/>
          <w:sz w:val="24"/>
          <w:szCs w:val="24"/>
        </w:rPr>
        <w:t>Dans le cas de l’Université du Québec à Trois-Rivières, quelques capacités lui permettent d’obtenir un certain avantage concurrentiel du fait que les autres universités ne peuvent pas systématiquement imiter celles-ci. Par exemple, du côté des ressources distinctives, il faut mentionner en premier lieu son emplacement géographique. En effet, étant la seule université située sur l’axe entre Montréal et Québec, l’U.Q.T.R. réussit à attirer un bon nombre d’étudiants des alentours de la région qui ne veulent pas s’éloigner exagérément de leur lieu de résidence. Aussi, la présence d’infrastructure permettant la recherche, par exemple l’</w:t>
      </w:r>
      <w:r w:rsidRPr="00441F0A">
        <w:rPr>
          <w:rFonts w:ascii="Times New Roman" w:hAnsi="Times New Roman" w:cs="Times New Roman"/>
          <w:i/>
          <w:sz w:val="24"/>
          <w:szCs w:val="24"/>
        </w:rPr>
        <w:t xml:space="preserve">Institut de recherche sur l’hydrogène </w:t>
      </w:r>
      <w:r w:rsidRPr="00441F0A">
        <w:rPr>
          <w:rFonts w:ascii="Times New Roman" w:hAnsi="Times New Roman" w:cs="Times New Roman"/>
          <w:sz w:val="24"/>
          <w:szCs w:val="24"/>
        </w:rPr>
        <w:t xml:space="preserve"> qui se définit lui-même comme étant « l’</w:t>
      </w:r>
      <w:r w:rsidRPr="00441F0A">
        <w:rPr>
          <w:rFonts w:ascii="Times New Roman" w:hAnsi="Times New Roman" w:cs="Times New Roman"/>
          <w:sz w:val="24"/>
          <w:szCs w:val="24"/>
          <w:shd w:val="clear" w:color="auto" w:fill="FFFFFF"/>
        </w:rPr>
        <w:t>un des chefs de file dans la recherche sur l’hydrogène au Canada</w:t>
      </w:r>
      <w:r w:rsidRPr="00441F0A">
        <w:rPr>
          <w:rStyle w:val="Appelnotedebasdep"/>
          <w:rFonts w:ascii="Times New Roman" w:hAnsi="Times New Roman" w:cs="Times New Roman"/>
          <w:sz w:val="24"/>
          <w:szCs w:val="24"/>
          <w:shd w:val="clear" w:color="auto" w:fill="FFFFFF"/>
        </w:rPr>
        <w:footnoteReference w:id="55"/>
      </w:r>
      <w:r w:rsidRPr="00441F0A">
        <w:rPr>
          <w:rFonts w:ascii="Times New Roman" w:hAnsi="Times New Roman" w:cs="Times New Roman"/>
          <w:sz w:val="24"/>
          <w:szCs w:val="24"/>
          <w:shd w:val="clear" w:color="auto" w:fill="FFFFFF"/>
        </w:rPr>
        <w:t> »</w:t>
      </w:r>
      <w:r w:rsidRPr="00441F0A">
        <w:rPr>
          <w:rFonts w:ascii="Times New Roman" w:hAnsi="Times New Roman" w:cs="Times New Roman"/>
          <w:sz w:val="24"/>
          <w:szCs w:val="24"/>
        </w:rPr>
        <w:t xml:space="preserve">, permet à l’université de se distinguer par rapport à ses concurrents. Finalement, le Centre d’activités physiques et sportives </w:t>
      </w:r>
      <w:r w:rsidRPr="00441F0A">
        <w:rPr>
          <w:rFonts w:ascii="Times New Roman" w:hAnsi="Times New Roman" w:cs="Times New Roman"/>
          <w:sz w:val="24"/>
          <w:szCs w:val="24"/>
        </w:rPr>
        <w:lastRenderedPageBreak/>
        <w:t xml:space="preserve">(CAPS), qui comprend la seule piscine de grandeur olympique de la région et plusieurs autres infrastructures sportives, donne la capacité à l’U.Q.T.R d’accueillir des compétions de niveau canadien. </w:t>
      </w:r>
    </w:p>
    <w:p w:rsidR="00A25F20" w:rsidRPr="00441F0A" w:rsidRDefault="00A25F20" w:rsidP="00A65F8F">
      <w:pPr>
        <w:pStyle w:val="Paragraphedeliste"/>
        <w:spacing w:line="360" w:lineRule="auto"/>
        <w:ind w:left="0"/>
        <w:jc w:val="both"/>
        <w:rPr>
          <w:rFonts w:ascii="Times New Roman" w:hAnsi="Times New Roman" w:cs="Times New Roman"/>
          <w:sz w:val="24"/>
          <w:szCs w:val="24"/>
        </w:rPr>
      </w:pPr>
    </w:p>
    <w:p w:rsidR="00A65F8F" w:rsidRDefault="00A65F8F" w:rsidP="00A65F8F">
      <w:pPr>
        <w:pStyle w:val="Paragraphedeliste"/>
        <w:spacing w:line="360" w:lineRule="auto"/>
        <w:ind w:left="0"/>
        <w:jc w:val="both"/>
        <w:rPr>
          <w:rFonts w:ascii="Times New Roman" w:hAnsi="Times New Roman" w:cs="Times New Roman"/>
          <w:sz w:val="24"/>
          <w:szCs w:val="24"/>
        </w:rPr>
      </w:pPr>
      <w:r w:rsidRPr="00441F0A">
        <w:rPr>
          <w:rFonts w:ascii="Times New Roman" w:hAnsi="Times New Roman" w:cs="Times New Roman"/>
          <w:b/>
          <w:sz w:val="24"/>
          <w:szCs w:val="24"/>
        </w:rPr>
        <w:t xml:space="preserve">Compétences distinctives : </w:t>
      </w:r>
      <w:r w:rsidRPr="00441F0A">
        <w:rPr>
          <w:rFonts w:ascii="Times New Roman" w:hAnsi="Times New Roman" w:cs="Times New Roman"/>
          <w:sz w:val="24"/>
          <w:szCs w:val="24"/>
        </w:rPr>
        <w:t xml:space="preserve">Du côté des compétences distinctives, l’U.Q.T.R. accueille plusieurs chaires et institutions de recherches importantes comme </w:t>
      </w:r>
      <w:r w:rsidRPr="00441F0A">
        <w:rPr>
          <w:rFonts w:ascii="Times New Roman" w:hAnsi="Times New Roman" w:cs="Times New Roman"/>
          <w:i/>
          <w:sz w:val="24"/>
          <w:szCs w:val="24"/>
        </w:rPr>
        <w:t xml:space="preserve">la Chaire de recherche sur la gestion des projets aéronautiques, </w:t>
      </w:r>
      <w:r w:rsidRPr="00441F0A">
        <w:rPr>
          <w:rFonts w:ascii="Times New Roman" w:hAnsi="Times New Roman" w:cs="Times New Roman"/>
          <w:sz w:val="24"/>
          <w:szCs w:val="24"/>
        </w:rPr>
        <w:t>l</w:t>
      </w:r>
      <w:r w:rsidRPr="00441F0A">
        <w:rPr>
          <w:rFonts w:ascii="Times New Roman" w:hAnsi="Times New Roman" w:cs="Times New Roman"/>
          <w:i/>
          <w:sz w:val="24"/>
          <w:szCs w:val="24"/>
        </w:rPr>
        <w:t>’Institut de recherche sur les PME</w:t>
      </w:r>
      <w:r w:rsidRPr="00441F0A">
        <w:rPr>
          <w:rFonts w:ascii="Times New Roman" w:hAnsi="Times New Roman" w:cs="Times New Roman"/>
          <w:sz w:val="24"/>
          <w:szCs w:val="24"/>
        </w:rPr>
        <w:t xml:space="preserve"> et l</w:t>
      </w:r>
      <w:r w:rsidRPr="00441F0A">
        <w:rPr>
          <w:rFonts w:ascii="Times New Roman" w:hAnsi="Times New Roman" w:cs="Times New Roman"/>
          <w:i/>
          <w:sz w:val="24"/>
          <w:szCs w:val="24"/>
        </w:rPr>
        <w:t xml:space="preserve">’Institut de recherche sur l’hydrogène. </w:t>
      </w:r>
      <w:r w:rsidRPr="00441F0A">
        <w:rPr>
          <w:rFonts w:ascii="Times New Roman" w:hAnsi="Times New Roman" w:cs="Times New Roman"/>
          <w:sz w:val="24"/>
          <w:szCs w:val="24"/>
        </w:rPr>
        <w:t xml:space="preserve">Ces instituions nécessitent une expertise qui est parfois  de renommée internationale que ne l’ont retrouve pas nécessairement dans les autres universités. En ce qui a trait aux enseignants, plusieurs de ceux-ci ont une formation supérieure à celle minimalement requise pour enseigner leurs cours. Les compétences d’exceptions permettent donc d’apporter une valeur ajoutée à certains cours offerts par l’université. Finalement, certains départements comme celui des sciences comptables se distinguent à travers le Québec et même le Canada pour leur qualité. Cette réputation est encore une fois une capacité qui permet à l’U.Q.T.R. de se créer un avantage concurrentiel face à ses concurrents. </w:t>
      </w:r>
    </w:p>
    <w:p w:rsidR="00A30513" w:rsidRDefault="00A30513" w:rsidP="00A65F8F">
      <w:pPr>
        <w:pStyle w:val="Paragraphedeliste"/>
        <w:spacing w:line="360" w:lineRule="auto"/>
        <w:ind w:left="0"/>
        <w:jc w:val="both"/>
        <w:rPr>
          <w:rFonts w:ascii="Times New Roman" w:hAnsi="Times New Roman" w:cs="Times New Roman"/>
          <w:sz w:val="24"/>
          <w:szCs w:val="24"/>
        </w:rPr>
      </w:pPr>
    </w:p>
    <w:p w:rsidR="00123FFA" w:rsidRDefault="00123FFA" w:rsidP="00A65F8F">
      <w:pPr>
        <w:pStyle w:val="Paragraphedeliste"/>
        <w:spacing w:line="360" w:lineRule="auto"/>
        <w:ind w:left="0"/>
        <w:jc w:val="both"/>
        <w:rPr>
          <w:rFonts w:ascii="Times New Roman" w:hAnsi="Times New Roman" w:cs="Times New Roman"/>
          <w:sz w:val="24"/>
          <w:szCs w:val="24"/>
        </w:rPr>
      </w:pPr>
    </w:p>
    <w:p w:rsidR="00A30513" w:rsidRPr="00441F0A" w:rsidRDefault="00A30513" w:rsidP="00A65F8F">
      <w:pPr>
        <w:pStyle w:val="Paragraphedeliste"/>
        <w:spacing w:line="360" w:lineRule="auto"/>
        <w:ind w:left="0"/>
        <w:jc w:val="both"/>
        <w:rPr>
          <w:rFonts w:ascii="Times New Roman" w:hAnsi="Times New Roman" w:cs="Times New Roman"/>
          <w:sz w:val="24"/>
          <w:szCs w:val="24"/>
        </w:rPr>
      </w:pPr>
    </w:p>
    <w:p w:rsidR="00747881" w:rsidRDefault="00EE58D6" w:rsidP="00A30513">
      <w:pPr>
        <w:pStyle w:val="Titre3"/>
      </w:pPr>
      <w:bookmarkStart w:id="23" w:name="_Toc417486236"/>
      <w:r>
        <w:t>3</w:t>
      </w:r>
      <w:r w:rsidR="00A30513" w:rsidRPr="00A30513">
        <w:t>.2</w:t>
      </w:r>
      <w:r w:rsidR="00A30513">
        <w:t xml:space="preserve"> Le </w:t>
      </w:r>
      <w:r w:rsidR="000D0609" w:rsidRPr="00A30513">
        <w:t>VRIN</w:t>
      </w:r>
      <w:r w:rsidR="00A30513">
        <w:t xml:space="preserve"> des capacités stratégiques</w:t>
      </w:r>
      <w:bookmarkEnd w:id="23"/>
    </w:p>
    <w:p w:rsidR="00A30513" w:rsidRPr="00A30513" w:rsidRDefault="00A30513" w:rsidP="00A30513"/>
    <w:tbl>
      <w:tblPr>
        <w:tblW w:w="7380" w:type="dxa"/>
        <w:tblInd w:w="525" w:type="dxa"/>
        <w:tblCellMar>
          <w:left w:w="0" w:type="dxa"/>
          <w:right w:w="0" w:type="dxa"/>
        </w:tblCellMar>
        <w:tblLook w:val="04A0"/>
      </w:tblPr>
      <w:tblGrid>
        <w:gridCol w:w="2277"/>
        <w:gridCol w:w="5103"/>
      </w:tblGrid>
      <w:tr w:rsidR="00BF0F0A" w:rsidRPr="00BF0F0A" w:rsidTr="00F2289E">
        <w:trPr>
          <w:trHeight w:val="788"/>
        </w:trPr>
        <w:tc>
          <w:tcPr>
            <w:tcW w:w="2277" w:type="dxa"/>
            <w:tcBorders>
              <w:top w:val="single" w:sz="8" w:space="0" w:color="000000"/>
              <w:left w:val="single" w:sz="8" w:space="0" w:color="000000"/>
              <w:bottom w:val="single" w:sz="8" w:space="0" w:color="000000"/>
              <w:right w:val="double" w:sz="4" w:space="0" w:color="auto"/>
            </w:tcBorders>
            <w:shd w:val="clear" w:color="auto" w:fill="00703C"/>
            <w:tcMar>
              <w:top w:w="14" w:type="dxa"/>
              <w:left w:w="108" w:type="dxa"/>
              <w:bottom w:w="0" w:type="dxa"/>
              <w:right w:w="108" w:type="dxa"/>
            </w:tcMar>
            <w:hideMark/>
          </w:tcPr>
          <w:p w:rsidR="0038008E" w:rsidRPr="00BF0F0A" w:rsidRDefault="00BF0F0A" w:rsidP="00BF0F0A">
            <w:pPr>
              <w:spacing w:after="0"/>
              <w:rPr>
                <w:rFonts w:ascii="Times New Roman" w:hAnsi="Times New Roman" w:cs="Times New Roman"/>
                <w:color w:val="FFFFFF" w:themeColor="background1"/>
                <w:sz w:val="24"/>
                <w:szCs w:val="24"/>
              </w:rPr>
            </w:pPr>
            <w:r w:rsidRPr="00BF0F0A">
              <w:rPr>
                <w:rFonts w:ascii="Times New Roman" w:hAnsi="Times New Roman" w:cs="Times New Roman"/>
                <w:b/>
                <w:bCs/>
                <w:color w:val="FFFFFF" w:themeColor="background1"/>
                <w:sz w:val="32"/>
                <w:szCs w:val="32"/>
              </w:rPr>
              <w:t>V</w:t>
            </w:r>
            <w:r w:rsidRPr="00BF0F0A">
              <w:rPr>
                <w:rFonts w:ascii="Times New Roman" w:hAnsi="Times New Roman" w:cs="Times New Roman"/>
                <w:b/>
                <w:bCs/>
                <w:color w:val="FFFFFF" w:themeColor="background1"/>
                <w:sz w:val="24"/>
                <w:szCs w:val="24"/>
              </w:rPr>
              <w:t xml:space="preserve">aleur </w:t>
            </w:r>
          </w:p>
        </w:tc>
        <w:tc>
          <w:tcPr>
            <w:tcW w:w="5103" w:type="dxa"/>
            <w:tcBorders>
              <w:top w:val="single" w:sz="8" w:space="0" w:color="000000"/>
              <w:left w:val="double" w:sz="4" w:space="0" w:color="auto"/>
              <w:bottom w:val="single" w:sz="8" w:space="0" w:color="000000"/>
              <w:right w:val="single" w:sz="8" w:space="0" w:color="000000"/>
            </w:tcBorders>
            <w:shd w:val="clear" w:color="auto" w:fill="C4960C"/>
            <w:tcMar>
              <w:top w:w="14" w:type="dxa"/>
              <w:left w:w="108" w:type="dxa"/>
              <w:bottom w:w="0" w:type="dxa"/>
              <w:right w:w="108" w:type="dxa"/>
            </w:tcMar>
            <w:vAlign w:val="center"/>
            <w:hideMark/>
          </w:tcPr>
          <w:p w:rsidR="00BF0F0A" w:rsidRPr="00BF0F0A" w:rsidRDefault="00BF0F0A" w:rsidP="00F2289E">
            <w:pPr>
              <w:spacing w:after="0" w:line="240" w:lineRule="auto"/>
              <w:jc w:val="center"/>
              <w:rPr>
                <w:rFonts w:ascii="Times New Roman" w:hAnsi="Times New Roman" w:cs="Times New Roman"/>
                <w:sz w:val="24"/>
                <w:szCs w:val="24"/>
              </w:rPr>
            </w:pPr>
            <w:r w:rsidRPr="00BF0F0A">
              <w:rPr>
                <w:rFonts w:ascii="Times New Roman" w:hAnsi="Times New Roman" w:cs="Times New Roman"/>
                <w:b/>
                <w:bCs/>
                <w:sz w:val="24"/>
                <w:szCs w:val="24"/>
              </w:rPr>
              <w:t>Emplacement géographique</w:t>
            </w:r>
          </w:p>
          <w:p w:rsidR="0038008E" w:rsidRPr="00BF0F0A" w:rsidRDefault="00BF0F0A" w:rsidP="00F2289E">
            <w:pPr>
              <w:spacing w:after="0" w:line="240" w:lineRule="auto"/>
              <w:jc w:val="center"/>
              <w:rPr>
                <w:rFonts w:ascii="Times New Roman" w:hAnsi="Times New Roman" w:cs="Times New Roman"/>
                <w:sz w:val="24"/>
                <w:szCs w:val="24"/>
              </w:rPr>
            </w:pPr>
            <w:r w:rsidRPr="00BF0F0A">
              <w:rPr>
                <w:rFonts w:ascii="Times New Roman" w:hAnsi="Times New Roman" w:cs="Times New Roman"/>
                <w:b/>
                <w:bCs/>
                <w:sz w:val="24"/>
                <w:szCs w:val="24"/>
              </w:rPr>
              <w:t>Sports et Études</w:t>
            </w:r>
          </w:p>
        </w:tc>
      </w:tr>
      <w:tr w:rsidR="00BF0F0A" w:rsidRPr="00BF0F0A" w:rsidTr="00F2289E">
        <w:trPr>
          <w:trHeight w:val="672"/>
        </w:trPr>
        <w:tc>
          <w:tcPr>
            <w:tcW w:w="2277" w:type="dxa"/>
            <w:tcBorders>
              <w:top w:val="single" w:sz="8" w:space="0" w:color="000000"/>
              <w:left w:val="single" w:sz="8" w:space="0" w:color="000000"/>
              <w:bottom w:val="single" w:sz="8" w:space="0" w:color="000000"/>
              <w:right w:val="double" w:sz="4" w:space="0" w:color="auto"/>
            </w:tcBorders>
            <w:shd w:val="clear" w:color="auto" w:fill="00703C"/>
            <w:tcMar>
              <w:top w:w="14" w:type="dxa"/>
              <w:left w:w="108" w:type="dxa"/>
              <w:bottom w:w="0" w:type="dxa"/>
              <w:right w:w="108" w:type="dxa"/>
            </w:tcMar>
            <w:hideMark/>
          </w:tcPr>
          <w:p w:rsidR="0038008E" w:rsidRPr="00BF0F0A" w:rsidRDefault="00BF0F0A" w:rsidP="00BF0F0A">
            <w:pPr>
              <w:spacing w:after="0"/>
              <w:rPr>
                <w:rFonts w:ascii="Times New Roman" w:hAnsi="Times New Roman" w:cs="Times New Roman"/>
                <w:color w:val="FFFFFF" w:themeColor="background1"/>
                <w:sz w:val="24"/>
                <w:szCs w:val="24"/>
              </w:rPr>
            </w:pPr>
            <w:r w:rsidRPr="00BF0F0A">
              <w:rPr>
                <w:rFonts w:ascii="Times New Roman" w:hAnsi="Times New Roman" w:cs="Times New Roman"/>
                <w:b/>
                <w:bCs/>
                <w:color w:val="FFFFFF" w:themeColor="background1"/>
                <w:sz w:val="32"/>
                <w:szCs w:val="32"/>
              </w:rPr>
              <w:t>R</w:t>
            </w:r>
            <w:r w:rsidRPr="00BF0F0A">
              <w:rPr>
                <w:rFonts w:ascii="Times New Roman" w:hAnsi="Times New Roman" w:cs="Times New Roman"/>
                <w:b/>
                <w:bCs/>
                <w:color w:val="FFFFFF" w:themeColor="background1"/>
                <w:sz w:val="24"/>
                <w:szCs w:val="24"/>
              </w:rPr>
              <w:t>areté</w:t>
            </w:r>
          </w:p>
        </w:tc>
        <w:tc>
          <w:tcPr>
            <w:tcW w:w="5103" w:type="dxa"/>
            <w:tcBorders>
              <w:top w:val="single" w:sz="8" w:space="0" w:color="000000"/>
              <w:left w:val="double" w:sz="4" w:space="0" w:color="auto"/>
              <w:bottom w:val="single" w:sz="8" w:space="0" w:color="000000"/>
              <w:right w:val="single" w:sz="8" w:space="0" w:color="000000"/>
            </w:tcBorders>
            <w:shd w:val="clear" w:color="auto" w:fill="C4960C"/>
            <w:tcMar>
              <w:top w:w="14" w:type="dxa"/>
              <w:left w:w="108" w:type="dxa"/>
              <w:bottom w:w="0" w:type="dxa"/>
              <w:right w:w="108" w:type="dxa"/>
            </w:tcMar>
            <w:vAlign w:val="center"/>
            <w:hideMark/>
          </w:tcPr>
          <w:p w:rsidR="00BF0F0A" w:rsidRPr="00BF0F0A" w:rsidRDefault="00BF0F0A" w:rsidP="00F2289E">
            <w:pPr>
              <w:spacing w:after="0" w:line="240" w:lineRule="auto"/>
              <w:jc w:val="center"/>
              <w:rPr>
                <w:rFonts w:ascii="Times New Roman" w:hAnsi="Times New Roman" w:cs="Times New Roman"/>
                <w:sz w:val="24"/>
                <w:szCs w:val="24"/>
              </w:rPr>
            </w:pPr>
            <w:r w:rsidRPr="00BF0F0A">
              <w:rPr>
                <w:rFonts w:ascii="Times New Roman" w:hAnsi="Times New Roman" w:cs="Times New Roman"/>
                <w:b/>
                <w:bCs/>
                <w:sz w:val="24"/>
                <w:szCs w:val="24"/>
              </w:rPr>
              <w:t>Programmes uniques</w:t>
            </w:r>
          </w:p>
          <w:p w:rsidR="0038008E" w:rsidRPr="00BF0F0A" w:rsidRDefault="00BF0F0A" w:rsidP="00F2289E">
            <w:pPr>
              <w:spacing w:after="0" w:line="240" w:lineRule="auto"/>
              <w:jc w:val="center"/>
              <w:rPr>
                <w:rFonts w:ascii="Times New Roman" w:hAnsi="Times New Roman" w:cs="Times New Roman"/>
                <w:sz w:val="24"/>
                <w:szCs w:val="24"/>
              </w:rPr>
            </w:pPr>
            <w:r w:rsidRPr="00BF0F0A">
              <w:rPr>
                <w:rFonts w:ascii="Times New Roman" w:hAnsi="Times New Roman" w:cs="Times New Roman"/>
                <w:b/>
                <w:bCs/>
                <w:sz w:val="24"/>
                <w:szCs w:val="24"/>
              </w:rPr>
              <w:t>Emplacement géographique</w:t>
            </w:r>
          </w:p>
        </w:tc>
      </w:tr>
      <w:tr w:rsidR="00BF0F0A" w:rsidRPr="00BF0F0A" w:rsidTr="00F2289E">
        <w:trPr>
          <w:trHeight w:val="541"/>
        </w:trPr>
        <w:tc>
          <w:tcPr>
            <w:tcW w:w="2277" w:type="dxa"/>
            <w:tcBorders>
              <w:top w:val="single" w:sz="8" w:space="0" w:color="000000"/>
              <w:left w:val="single" w:sz="8" w:space="0" w:color="000000"/>
              <w:bottom w:val="single" w:sz="8" w:space="0" w:color="000000"/>
              <w:right w:val="double" w:sz="4" w:space="0" w:color="auto"/>
            </w:tcBorders>
            <w:shd w:val="clear" w:color="auto" w:fill="00703C"/>
            <w:tcMar>
              <w:top w:w="14" w:type="dxa"/>
              <w:left w:w="108" w:type="dxa"/>
              <w:bottom w:w="0" w:type="dxa"/>
              <w:right w:w="108" w:type="dxa"/>
            </w:tcMar>
            <w:hideMark/>
          </w:tcPr>
          <w:p w:rsidR="0038008E" w:rsidRPr="00BF0F0A" w:rsidRDefault="00BF0F0A" w:rsidP="00BF0F0A">
            <w:pPr>
              <w:spacing w:after="0"/>
              <w:rPr>
                <w:rFonts w:ascii="Times New Roman" w:hAnsi="Times New Roman" w:cs="Times New Roman"/>
                <w:color w:val="FFFFFF" w:themeColor="background1"/>
                <w:sz w:val="24"/>
                <w:szCs w:val="24"/>
              </w:rPr>
            </w:pPr>
            <w:r w:rsidRPr="00BF0F0A">
              <w:rPr>
                <w:rFonts w:ascii="Times New Roman" w:hAnsi="Times New Roman" w:cs="Times New Roman"/>
                <w:b/>
                <w:bCs/>
                <w:color w:val="FFFFFF" w:themeColor="background1"/>
                <w:sz w:val="32"/>
                <w:szCs w:val="32"/>
              </w:rPr>
              <w:t>I</w:t>
            </w:r>
            <w:r w:rsidRPr="00BF0F0A">
              <w:rPr>
                <w:rFonts w:ascii="Times New Roman" w:hAnsi="Times New Roman" w:cs="Times New Roman"/>
                <w:b/>
                <w:bCs/>
                <w:color w:val="FFFFFF" w:themeColor="background1"/>
                <w:sz w:val="24"/>
                <w:szCs w:val="24"/>
              </w:rPr>
              <w:t>nimitabilité</w:t>
            </w:r>
          </w:p>
        </w:tc>
        <w:tc>
          <w:tcPr>
            <w:tcW w:w="5103" w:type="dxa"/>
            <w:tcBorders>
              <w:top w:val="single" w:sz="8" w:space="0" w:color="000000"/>
              <w:left w:val="double" w:sz="4" w:space="0" w:color="auto"/>
              <w:bottom w:val="single" w:sz="8" w:space="0" w:color="000000"/>
              <w:right w:val="single" w:sz="8" w:space="0" w:color="000000"/>
            </w:tcBorders>
            <w:shd w:val="clear" w:color="auto" w:fill="C4960C"/>
            <w:tcMar>
              <w:top w:w="14" w:type="dxa"/>
              <w:left w:w="108" w:type="dxa"/>
              <w:bottom w:w="0" w:type="dxa"/>
              <w:right w:w="108" w:type="dxa"/>
            </w:tcMar>
            <w:vAlign w:val="center"/>
            <w:hideMark/>
          </w:tcPr>
          <w:p w:rsidR="0038008E" w:rsidRPr="00BF0F0A" w:rsidRDefault="00BF0F0A" w:rsidP="00F2289E">
            <w:pPr>
              <w:spacing w:after="0" w:line="240" w:lineRule="auto"/>
              <w:jc w:val="center"/>
              <w:rPr>
                <w:rFonts w:ascii="Times New Roman" w:hAnsi="Times New Roman" w:cs="Times New Roman"/>
                <w:sz w:val="24"/>
                <w:szCs w:val="24"/>
              </w:rPr>
            </w:pPr>
            <w:r w:rsidRPr="00BF0F0A">
              <w:rPr>
                <w:rFonts w:ascii="Times New Roman" w:hAnsi="Times New Roman" w:cs="Times New Roman"/>
                <w:b/>
                <w:bCs/>
                <w:sz w:val="24"/>
                <w:szCs w:val="24"/>
              </w:rPr>
              <w:t>Chaires et institutions de recherches</w:t>
            </w:r>
          </w:p>
        </w:tc>
      </w:tr>
      <w:tr w:rsidR="00BF0F0A" w:rsidRPr="00BF0F0A" w:rsidTr="00F2289E">
        <w:trPr>
          <w:trHeight w:val="960"/>
        </w:trPr>
        <w:tc>
          <w:tcPr>
            <w:tcW w:w="2277" w:type="dxa"/>
            <w:tcBorders>
              <w:top w:val="single" w:sz="8" w:space="0" w:color="000000"/>
              <w:left w:val="single" w:sz="8" w:space="0" w:color="000000"/>
              <w:bottom w:val="single" w:sz="8" w:space="0" w:color="000000"/>
              <w:right w:val="double" w:sz="4" w:space="0" w:color="auto"/>
            </w:tcBorders>
            <w:shd w:val="clear" w:color="auto" w:fill="00703C"/>
            <w:tcMar>
              <w:top w:w="14" w:type="dxa"/>
              <w:left w:w="108" w:type="dxa"/>
              <w:bottom w:w="0" w:type="dxa"/>
              <w:right w:w="108" w:type="dxa"/>
            </w:tcMar>
            <w:hideMark/>
          </w:tcPr>
          <w:p w:rsidR="0038008E" w:rsidRPr="00BF0F0A" w:rsidRDefault="00BF0F0A" w:rsidP="00BF0F0A">
            <w:pPr>
              <w:spacing w:after="0"/>
              <w:rPr>
                <w:rFonts w:ascii="Times New Roman" w:hAnsi="Times New Roman" w:cs="Times New Roman"/>
                <w:color w:val="FFFFFF" w:themeColor="background1"/>
                <w:sz w:val="24"/>
                <w:szCs w:val="24"/>
              </w:rPr>
            </w:pPr>
            <w:r w:rsidRPr="00BF0F0A">
              <w:rPr>
                <w:rFonts w:ascii="Times New Roman" w:hAnsi="Times New Roman" w:cs="Times New Roman"/>
                <w:b/>
                <w:bCs/>
                <w:color w:val="FFFFFF" w:themeColor="background1"/>
                <w:sz w:val="32"/>
                <w:szCs w:val="32"/>
              </w:rPr>
              <w:t>N</w:t>
            </w:r>
            <w:r w:rsidRPr="00BF0F0A">
              <w:rPr>
                <w:rFonts w:ascii="Times New Roman" w:hAnsi="Times New Roman" w:cs="Times New Roman"/>
                <w:b/>
                <w:bCs/>
                <w:color w:val="FFFFFF" w:themeColor="background1"/>
                <w:sz w:val="24"/>
                <w:szCs w:val="24"/>
              </w:rPr>
              <w:t>on-</w:t>
            </w:r>
            <w:proofErr w:type="spellStart"/>
            <w:r w:rsidRPr="00BF0F0A">
              <w:rPr>
                <w:rFonts w:ascii="Times New Roman" w:hAnsi="Times New Roman" w:cs="Times New Roman"/>
                <w:b/>
                <w:bCs/>
                <w:color w:val="FFFFFF" w:themeColor="background1"/>
                <w:sz w:val="24"/>
                <w:szCs w:val="24"/>
              </w:rPr>
              <w:t>Substitualité</w:t>
            </w:r>
            <w:proofErr w:type="spellEnd"/>
            <w:r w:rsidRPr="00BF0F0A">
              <w:rPr>
                <w:rFonts w:ascii="Times New Roman" w:hAnsi="Times New Roman" w:cs="Times New Roman"/>
                <w:b/>
                <w:bCs/>
                <w:color w:val="FFFFFF" w:themeColor="background1"/>
                <w:sz w:val="24"/>
                <w:szCs w:val="24"/>
              </w:rPr>
              <w:t xml:space="preserve"> </w:t>
            </w:r>
          </w:p>
        </w:tc>
        <w:tc>
          <w:tcPr>
            <w:tcW w:w="5103" w:type="dxa"/>
            <w:tcBorders>
              <w:top w:val="single" w:sz="8" w:space="0" w:color="000000"/>
              <w:left w:val="double" w:sz="4" w:space="0" w:color="auto"/>
              <w:bottom w:val="single" w:sz="8" w:space="0" w:color="000000"/>
              <w:right w:val="single" w:sz="8" w:space="0" w:color="000000"/>
            </w:tcBorders>
            <w:shd w:val="clear" w:color="auto" w:fill="C4960C"/>
            <w:tcMar>
              <w:top w:w="14" w:type="dxa"/>
              <w:left w:w="108" w:type="dxa"/>
              <w:bottom w:w="0" w:type="dxa"/>
              <w:right w:w="108" w:type="dxa"/>
            </w:tcMar>
            <w:vAlign w:val="center"/>
            <w:hideMark/>
          </w:tcPr>
          <w:p w:rsidR="0038008E" w:rsidRPr="00BF0F0A" w:rsidRDefault="00BF0F0A" w:rsidP="00F2289E">
            <w:pPr>
              <w:spacing w:after="0" w:line="240" w:lineRule="auto"/>
              <w:jc w:val="center"/>
              <w:rPr>
                <w:rFonts w:ascii="Times New Roman" w:hAnsi="Times New Roman" w:cs="Times New Roman"/>
                <w:sz w:val="24"/>
                <w:szCs w:val="24"/>
              </w:rPr>
            </w:pPr>
            <w:r w:rsidRPr="00BF0F0A">
              <w:rPr>
                <w:rFonts w:ascii="Times New Roman" w:hAnsi="Times New Roman" w:cs="Times New Roman"/>
                <w:b/>
                <w:bCs/>
                <w:sz w:val="24"/>
                <w:szCs w:val="24"/>
              </w:rPr>
              <w:t>L’éducation est un service essentiel</w:t>
            </w:r>
          </w:p>
        </w:tc>
      </w:tr>
    </w:tbl>
    <w:p w:rsidR="00BF0F0A" w:rsidRPr="00BF0F0A" w:rsidRDefault="00BF0F0A" w:rsidP="00BF0F0A">
      <w:pPr>
        <w:spacing w:after="0"/>
      </w:pPr>
    </w:p>
    <w:p w:rsidR="00747881" w:rsidRPr="00441F0A" w:rsidRDefault="00747881" w:rsidP="00747881">
      <w:pPr>
        <w:rPr>
          <w:rFonts w:ascii="Times New Roman" w:hAnsi="Times New Roman" w:cs="Times New Roman"/>
          <w:sz w:val="24"/>
          <w:szCs w:val="24"/>
        </w:rPr>
      </w:pPr>
    </w:p>
    <w:p w:rsidR="00747881" w:rsidRPr="00441F0A" w:rsidRDefault="00747881" w:rsidP="00747881">
      <w:pPr>
        <w:tabs>
          <w:tab w:val="left" w:pos="2655"/>
        </w:tabs>
        <w:spacing w:after="0" w:line="360" w:lineRule="auto"/>
        <w:jc w:val="both"/>
        <w:rPr>
          <w:rFonts w:ascii="Times New Roman" w:hAnsi="Times New Roman" w:cs="Times New Roman"/>
          <w:sz w:val="24"/>
          <w:szCs w:val="24"/>
        </w:rPr>
      </w:pPr>
      <w:r w:rsidRPr="00441F0A">
        <w:rPr>
          <w:rFonts w:ascii="Times New Roman" w:hAnsi="Times New Roman" w:cs="Times New Roman"/>
          <w:b/>
          <w:sz w:val="24"/>
          <w:szCs w:val="24"/>
        </w:rPr>
        <w:lastRenderedPageBreak/>
        <w:t>Valeur :</w:t>
      </w:r>
      <w:r w:rsidRPr="00441F0A">
        <w:rPr>
          <w:rFonts w:ascii="Times New Roman" w:hAnsi="Times New Roman" w:cs="Times New Roman"/>
          <w:sz w:val="24"/>
          <w:szCs w:val="24"/>
        </w:rPr>
        <w:t xml:space="preserve"> Afin d’apporter un avantage concurrentiel, les capacités d’une organisation doivent avoir de la valeur aux yeux des clients. On définit cette valeur comme « le prix qu’un client est prêt à payer pour l’obtenir</w:t>
      </w:r>
      <w:r w:rsidRPr="00441F0A">
        <w:rPr>
          <w:rStyle w:val="Appelnotedebasdep"/>
          <w:rFonts w:ascii="Times New Roman" w:hAnsi="Times New Roman" w:cs="Times New Roman"/>
          <w:sz w:val="24"/>
          <w:szCs w:val="24"/>
        </w:rPr>
        <w:footnoteReference w:id="56"/>
      </w:r>
      <w:r w:rsidRPr="00441F0A">
        <w:rPr>
          <w:rFonts w:ascii="Times New Roman" w:hAnsi="Times New Roman" w:cs="Times New Roman"/>
          <w:sz w:val="24"/>
          <w:szCs w:val="24"/>
        </w:rPr>
        <w:t xml:space="preserve"> ». Étant une école publique, l’UQTR ne peut se permettre de changer ses prix pour satisfaire les besoins de ses clients. En effet, contrairement aux écoles publiques, qui peuvent se permettre d’augmenter leurs prix lorsqu’ils bonifient leurs offres, les écoles publiques ont l’obligation d’offrir leurs services au prix indiqué par le gouvernement. Malgré un prix fixe, l’UQTR peut tout de même tenter d’augmenter sa valeur aux yeux des étudiants en offrant un service différent des autres écoles publiques. Par exemple, avec sa possibilité de concilier la pratique du sport et des études, le programme des Patriotes est très désiré par les étudiants sportifs.  </w:t>
      </w:r>
    </w:p>
    <w:p w:rsidR="00747881" w:rsidRPr="00441F0A" w:rsidRDefault="00747881" w:rsidP="00747881">
      <w:pPr>
        <w:tabs>
          <w:tab w:val="left" w:pos="2655"/>
        </w:tabs>
        <w:spacing w:after="0" w:line="360" w:lineRule="auto"/>
        <w:jc w:val="both"/>
        <w:rPr>
          <w:rFonts w:ascii="Times New Roman" w:hAnsi="Times New Roman" w:cs="Times New Roman"/>
          <w:sz w:val="24"/>
          <w:szCs w:val="24"/>
        </w:rPr>
      </w:pPr>
    </w:p>
    <w:p w:rsidR="00747881" w:rsidRPr="00441F0A" w:rsidRDefault="00747881" w:rsidP="00747881">
      <w:pPr>
        <w:tabs>
          <w:tab w:val="left" w:pos="2655"/>
        </w:tabs>
        <w:spacing w:after="0" w:line="360" w:lineRule="auto"/>
        <w:jc w:val="both"/>
        <w:rPr>
          <w:rFonts w:ascii="Times New Roman" w:hAnsi="Times New Roman" w:cs="Times New Roman"/>
          <w:sz w:val="24"/>
          <w:szCs w:val="24"/>
        </w:rPr>
      </w:pPr>
      <w:r w:rsidRPr="00441F0A">
        <w:rPr>
          <w:rFonts w:ascii="Times New Roman" w:hAnsi="Times New Roman" w:cs="Times New Roman"/>
          <w:sz w:val="24"/>
          <w:szCs w:val="24"/>
        </w:rPr>
        <w:t xml:space="preserve">          De plus, la ville de Trois-Rivières étant assez grande pour offrir plusieurs services que plusieurs plus petites villes universitaires ne peuvent offrir, mais assez petite pour ne pas apporter les désavantages des grandes villes comme les problèmes de circulations, celle-ci est créatrice de valeurs pour plusieurs étudiants. Étant située sur son territoire, l’UQTR bénéficie malgré elle de cette création de valeurs.   </w:t>
      </w:r>
    </w:p>
    <w:p w:rsidR="00747881" w:rsidRPr="00441F0A" w:rsidRDefault="00747881" w:rsidP="00747881">
      <w:pPr>
        <w:tabs>
          <w:tab w:val="left" w:pos="2655"/>
        </w:tabs>
        <w:spacing w:after="0" w:line="360" w:lineRule="auto"/>
        <w:jc w:val="both"/>
        <w:rPr>
          <w:rFonts w:ascii="Times New Roman" w:hAnsi="Times New Roman" w:cs="Times New Roman"/>
          <w:b/>
          <w:sz w:val="24"/>
          <w:szCs w:val="24"/>
        </w:rPr>
      </w:pPr>
    </w:p>
    <w:p w:rsidR="00747881" w:rsidRPr="00441F0A" w:rsidRDefault="00747881" w:rsidP="00747881">
      <w:pPr>
        <w:tabs>
          <w:tab w:val="left" w:pos="1515"/>
        </w:tabs>
        <w:spacing w:after="0" w:line="360" w:lineRule="auto"/>
        <w:jc w:val="both"/>
        <w:rPr>
          <w:rFonts w:ascii="Times New Roman" w:hAnsi="Times New Roman" w:cs="Times New Roman"/>
          <w:sz w:val="24"/>
          <w:szCs w:val="24"/>
          <w:shd w:val="clear" w:color="auto" w:fill="FAFAFA"/>
        </w:rPr>
      </w:pPr>
      <w:r w:rsidRPr="00441F0A">
        <w:rPr>
          <w:rFonts w:ascii="Times New Roman" w:hAnsi="Times New Roman" w:cs="Times New Roman"/>
          <w:b/>
          <w:sz w:val="24"/>
          <w:szCs w:val="24"/>
        </w:rPr>
        <w:t xml:space="preserve">Rareté : </w:t>
      </w:r>
      <w:r w:rsidRPr="00441F0A">
        <w:rPr>
          <w:rFonts w:ascii="Times New Roman" w:hAnsi="Times New Roman" w:cs="Times New Roman"/>
          <w:sz w:val="24"/>
          <w:szCs w:val="24"/>
        </w:rPr>
        <w:t xml:space="preserve">L’UQTR offre des programmes que ne l’on retrouve nulle part ailleurs dans la </w:t>
      </w:r>
      <w:r w:rsidRPr="009369FB">
        <w:rPr>
          <w:rFonts w:ascii="Times New Roman" w:hAnsi="Times New Roman" w:cs="Times New Roman"/>
          <w:sz w:val="24"/>
          <w:szCs w:val="24"/>
        </w:rPr>
        <w:t>province. L</w:t>
      </w:r>
      <w:r w:rsidRPr="009369FB">
        <w:rPr>
          <w:rFonts w:ascii="Times New Roman" w:hAnsi="Times New Roman" w:cs="Times New Roman"/>
          <w:sz w:val="24"/>
          <w:szCs w:val="24"/>
          <w:shd w:val="clear" w:color="auto" w:fill="FAFAFA"/>
        </w:rPr>
        <w:t>e baccalauréat intensif en sciences comptables</w:t>
      </w:r>
      <w:r w:rsidRPr="00441F0A">
        <w:rPr>
          <w:rFonts w:ascii="Times New Roman" w:hAnsi="Times New Roman" w:cs="Times New Roman"/>
          <w:sz w:val="24"/>
          <w:szCs w:val="24"/>
          <w:shd w:val="clear" w:color="auto" w:fill="FAFAFA"/>
        </w:rPr>
        <w:t xml:space="preserve"> et les baccalauréats en biophysique, en pratique sage-femme, en loisir, culture et tourisme et en communication sociale ne sont que des exemples des programmes qui sont offerts uniquement à Trois-Rivières. De plus, </w:t>
      </w:r>
      <w:r w:rsidRPr="00AC2A83">
        <w:rPr>
          <w:rFonts w:ascii="Times New Roman" w:hAnsi="Times New Roman" w:cs="Times New Roman"/>
          <w:b/>
          <w:i/>
          <w:sz w:val="24"/>
          <w:szCs w:val="24"/>
          <w:shd w:val="clear" w:color="auto" w:fill="FAFAFA"/>
        </w:rPr>
        <w:t>« </w:t>
      </w:r>
      <w:r w:rsidRPr="00AC2A83">
        <w:rPr>
          <w:rStyle w:val="lev"/>
          <w:rFonts w:ascii="Times New Roman" w:hAnsi="Times New Roman" w:cs="Times New Roman"/>
          <w:b w:val="0"/>
          <w:i/>
          <w:sz w:val="24"/>
          <w:szCs w:val="24"/>
          <w:shd w:val="clear" w:color="auto" w:fill="FAFAFA"/>
        </w:rPr>
        <w:t xml:space="preserve">l'UQTR est aussi la première université nord-américaine, et dans le monde francophone, à offrir un doctorat de premier cycle en chiropratique et </w:t>
      </w:r>
      <w:r w:rsidR="003520A0" w:rsidRPr="00AC2A83">
        <w:rPr>
          <w:rStyle w:val="lev"/>
          <w:rFonts w:ascii="Times New Roman" w:hAnsi="Times New Roman" w:cs="Times New Roman"/>
          <w:b w:val="0"/>
          <w:i/>
          <w:sz w:val="24"/>
          <w:szCs w:val="24"/>
          <w:shd w:val="clear" w:color="auto" w:fill="FAFAFA"/>
        </w:rPr>
        <w:t>à</w:t>
      </w:r>
      <w:r w:rsidRPr="00AC2A83">
        <w:rPr>
          <w:rStyle w:val="lev"/>
          <w:rFonts w:ascii="Times New Roman" w:hAnsi="Times New Roman" w:cs="Times New Roman"/>
          <w:b w:val="0"/>
          <w:i/>
          <w:sz w:val="24"/>
          <w:szCs w:val="24"/>
          <w:shd w:val="clear" w:color="auto" w:fill="FAFAFA"/>
        </w:rPr>
        <w:t xml:space="preserve"> </w:t>
      </w:r>
      <w:r w:rsidR="003520A0" w:rsidRPr="00AC2A83">
        <w:rPr>
          <w:rStyle w:val="lev"/>
          <w:rFonts w:ascii="Times New Roman" w:hAnsi="Times New Roman" w:cs="Times New Roman"/>
          <w:b w:val="0"/>
          <w:i/>
          <w:sz w:val="24"/>
          <w:szCs w:val="24"/>
          <w:shd w:val="clear" w:color="auto" w:fill="FAFAFA"/>
        </w:rPr>
        <w:t>innover</w:t>
      </w:r>
      <w:r w:rsidRPr="00AC2A83">
        <w:rPr>
          <w:rStyle w:val="lev"/>
          <w:rFonts w:ascii="Times New Roman" w:hAnsi="Times New Roman" w:cs="Times New Roman"/>
          <w:b w:val="0"/>
          <w:i/>
          <w:sz w:val="24"/>
          <w:szCs w:val="24"/>
          <w:shd w:val="clear" w:color="auto" w:fill="FAFAFA"/>
        </w:rPr>
        <w:t xml:space="preserve"> en lançant à l'automne 2004 un doctorat de premier cycle en médecine </w:t>
      </w:r>
      <w:proofErr w:type="spellStart"/>
      <w:r w:rsidRPr="00AC2A83">
        <w:rPr>
          <w:rStyle w:val="lev"/>
          <w:rFonts w:ascii="Times New Roman" w:hAnsi="Times New Roman" w:cs="Times New Roman"/>
          <w:b w:val="0"/>
          <w:i/>
          <w:sz w:val="24"/>
          <w:szCs w:val="24"/>
          <w:shd w:val="clear" w:color="auto" w:fill="FAFAFA"/>
        </w:rPr>
        <w:t>podiatrique</w:t>
      </w:r>
      <w:proofErr w:type="spellEnd"/>
      <w:r w:rsidRPr="00AC2A83">
        <w:rPr>
          <w:rStyle w:val="lev"/>
          <w:rFonts w:ascii="Times New Roman" w:hAnsi="Times New Roman" w:cs="Times New Roman"/>
          <w:b w:val="0"/>
          <w:i/>
          <w:sz w:val="24"/>
          <w:szCs w:val="24"/>
          <w:shd w:val="clear" w:color="auto" w:fill="FAFAFA"/>
        </w:rPr>
        <w:t> </w:t>
      </w:r>
      <w:r w:rsidR="009369FB" w:rsidRPr="00AC2A83">
        <w:rPr>
          <w:rStyle w:val="Appelnotedebasdep"/>
          <w:rFonts w:ascii="Times New Roman" w:hAnsi="Times New Roman" w:cs="Times New Roman"/>
          <w:bCs/>
          <w:i/>
          <w:sz w:val="24"/>
          <w:szCs w:val="24"/>
          <w:shd w:val="clear" w:color="auto" w:fill="FAFAFA"/>
        </w:rPr>
        <w:footnoteReference w:id="57"/>
      </w:r>
      <w:r w:rsidRPr="00AC2A83">
        <w:rPr>
          <w:rStyle w:val="lev"/>
          <w:rFonts w:ascii="Times New Roman" w:hAnsi="Times New Roman" w:cs="Times New Roman"/>
          <w:b w:val="0"/>
          <w:i/>
          <w:sz w:val="24"/>
          <w:szCs w:val="24"/>
          <w:shd w:val="clear" w:color="auto" w:fill="FAFAFA"/>
        </w:rPr>
        <w:t>».</w:t>
      </w:r>
      <w:r w:rsidRPr="006C3DB7">
        <w:rPr>
          <w:rStyle w:val="lev"/>
          <w:rFonts w:ascii="Times New Roman" w:hAnsi="Times New Roman" w:cs="Times New Roman"/>
          <w:b w:val="0"/>
          <w:sz w:val="24"/>
          <w:szCs w:val="24"/>
          <w:shd w:val="clear" w:color="auto" w:fill="FAFAFA"/>
        </w:rPr>
        <w:t xml:space="preserve"> Par ailleurs, des programmes de cycles supérieurs tels que</w:t>
      </w:r>
      <w:r w:rsidRPr="00441F0A">
        <w:rPr>
          <w:rStyle w:val="lev"/>
          <w:rFonts w:ascii="Times New Roman" w:hAnsi="Times New Roman" w:cs="Times New Roman"/>
          <w:sz w:val="24"/>
          <w:szCs w:val="24"/>
          <w:shd w:val="clear" w:color="auto" w:fill="FAFAFA"/>
        </w:rPr>
        <w:t xml:space="preserve"> </w:t>
      </w:r>
      <w:r w:rsidRPr="00441F0A">
        <w:rPr>
          <w:rFonts w:ascii="Times New Roman" w:hAnsi="Times New Roman" w:cs="Times New Roman"/>
          <w:sz w:val="24"/>
          <w:szCs w:val="24"/>
          <w:shd w:val="clear" w:color="auto" w:fill="FAFAFA"/>
        </w:rPr>
        <w:t xml:space="preserve">génie industriel, études québécoises, loisir, culture et tourisme, pâtes et papiers sont aussi offerts exclusivement dans la région. Ces capacités sont possédées que par quelques organisations en Amérique du Nord. Par conséquent, cette rareté crée un avantage concurrentiel.   Par ailleurs, il faut </w:t>
      </w:r>
      <w:r w:rsidRPr="009369FB">
        <w:rPr>
          <w:rFonts w:ascii="Times New Roman" w:hAnsi="Times New Roman" w:cs="Times New Roman"/>
          <w:sz w:val="24"/>
          <w:szCs w:val="24"/>
          <w:shd w:val="clear" w:color="auto" w:fill="FAFAFA"/>
        </w:rPr>
        <w:lastRenderedPageBreak/>
        <w:t>aussi ajouter comme rareté l’emplacement géographique de l’UQTR puisque celle-ci est la seule à desservir un très grand périmètre entre Montréal et Québec.</w:t>
      </w:r>
    </w:p>
    <w:p w:rsidR="00747881" w:rsidRPr="00441F0A" w:rsidRDefault="00747881" w:rsidP="00747881">
      <w:pPr>
        <w:tabs>
          <w:tab w:val="left" w:pos="1515"/>
        </w:tabs>
        <w:spacing w:after="0" w:line="360" w:lineRule="auto"/>
        <w:jc w:val="both"/>
        <w:rPr>
          <w:rFonts w:ascii="Times New Roman" w:hAnsi="Times New Roman" w:cs="Times New Roman"/>
          <w:sz w:val="24"/>
          <w:szCs w:val="24"/>
        </w:rPr>
      </w:pPr>
    </w:p>
    <w:p w:rsidR="00747881" w:rsidRPr="00441F0A" w:rsidRDefault="00747881" w:rsidP="00747881">
      <w:pPr>
        <w:spacing w:after="0" w:line="360" w:lineRule="auto"/>
        <w:jc w:val="both"/>
        <w:rPr>
          <w:rFonts w:ascii="Times New Roman" w:hAnsi="Times New Roman" w:cs="Times New Roman"/>
          <w:sz w:val="24"/>
          <w:szCs w:val="24"/>
        </w:rPr>
      </w:pPr>
      <w:r w:rsidRPr="00441F0A">
        <w:rPr>
          <w:rFonts w:ascii="Times New Roman" w:hAnsi="Times New Roman" w:cs="Times New Roman"/>
          <w:b/>
          <w:sz w:val="24"/>
          <w:szCs w:val="24"/>
        </w:rPr>
        <w:t>Inimitabilité :</w:t>
      </w:r>
      <w:r w:rsidRPr="00441F0A">
        <w:rPr>
          <w:rFonts w:ascii="Times New Roman" w:hAnsi="Times New Roman" w:cs="Times New Roman"/>
          <w:sz w:val="24"/>
          <w:szCs w:val="24"/>
        </w:rPr>
        <w:t xml:space="preserve"> Étant donné que l’éducation au Québec est réglementée par le gouvernement provincial, il est évident que ce service est considérablement le même d’un établissement universitaire à l’autre. Par conséquent, afin se créer un avantage concurrentiel, une organisation comme l’Université du Québec à Trois-Rivières se doit d’offrir ce service d’une manière différente. Encore une fois, comme décrit dans la description des capacités stratégiques, l’UQTR </w:t>
      </w:r>
      <w:r w:rsidR="003520A0">
        <w:rPr>
          <w:rFonts w:ascii="Times New Roman" w:hAnsi="Times New Roman" w:cs="Times New Roman"/>
          <w:sz w:val="24"/>
          <w:szCs w:val="24"/>
        </w:rPr>
        <w:t>accueille</w:t>
      </w:r>
      <w:r w:rsidRPr="00441F0A">
        <w:rPr>
          <w:rFonts w:ascii="Times New Roman" w:hAnsi="Times New Roman" w:cs="Times New Roman"/>
          <w:sz w:val="24"/>
          <w:szCs w:val="24"/>
        </w:rPr>
        <w:t xml:space="preserve"> plusieurs institutions sur son territoire tel que </w:t>
      </w:r>
      <w:r w:rsidRPr="00441F0A">
        <w:rPr>
          <w:rFonts w:ascii="Times New Roman" w:hAnsi="Times New Roman" w:cs="Times New Roman"/>
          <w:i/>
          <w:sz w:val="24"/>
          <w:szCs w:val="24"/>
        </w:rPr>
        <w:t xml:space="preserve">la Chaire de recherche sur la gestion des projets aéronautiques, </w:t>
      </w:r>
      <w:r w:rsidRPr="00441F0A">
        <w:rPr>
          <w:rFonts w:ascii="Times New Roman" w:hAnsi="Times New Roman" w:cs="Times New Roman"/>
          <w:sz w:val="24"/>
          <w:szCs w:val="24"/>
        </w:rPr>
        <w:t>l</w:t>
      </w:r>
      <w:r w:rsidRPr="00441F0A">
        <w:rPr>
          <w:rFonts w:ascii="Times New Roman" w:hAnsi="Times New Roman" w:cs="Times New Roman"/>
          <w:i/>
          <w:sz w:val="24"/>
          <w:szCs w:val="24"/>
        </w:rPr>
        <w:t>’Institut de recherche sur les PME</w:t>
      </w:r>
      <w:r w:rsidRPr="00441F0A">
        <w:rPr>
          <w:rFonts w:ascii="Times New Roman" w:hAnsi="Times New Roman" w:cs="Times New Roman"/>
          <w:sz w:val="24"/>
          <w:szCs w:val="24"/>
        </w:rPr>
        <w:t xml:space="preserve"> et l</w:t>
      </w:r>
      <w:r w:rsidRPr="00441F0A">
        <w:rPr>
          <w:rFonts w:ascii="Times New Roman" w:hAnsi="Times New Roman" w:cs="Times New Roman"/>
          <w:i/>
          <w:sz w:val="24"/>
          <w:szCs w:val="24"/>
        </w:rPr>
        <w:t>’Institut de recherche sur l’hydrogène</w:t>
      </w:r>
      <w:r w:rsidRPr="00441F0A">
        <w:rPr>
          <w:rFonts w:ascii="Times New Roman" w:hAnsi="Times New Roman" w:cs="Times New Roman"/>
          <w:sz w:val="24"/>
          <w:szCs w:val="24"/>
        </w:rPr>
        <w:t xml:space="preserve">. La présence de ces institutions nécessite une étroite collaboration entre chercheurs, professeurs et étudiants dans des milieux de recherches qui leur sont adéquats. Dans ces conditions, la complexité des liens constitués par les différentes parties prenantes crée un environnement qui serait très laborieux à reproduire pour des concurrents potentiels. </w:t>
      </w:r>
    </w:p>
    <w:p w:rsidR="00747881" w:rsidRPr="00441F0A" w:rsidRDefault="00747881" w:rsidP="00747881">
      <w:pPr>
        <w:spacing w:after="0" w:line="360" w:lineRule="auto"/>
        <w:jc w:val="both"/>
        <w:rPr>
          <w:rFonts w:ascii="Times New Roman" w:hAnsi="Times New Roman" w:cs="Times New Roman"/>
          <w:sz w:val="24"/>
          <w:szCs w:val="24"/>
        </w:rPr>
      </w:pPr>
    </w:p>
    <w:p w:rsidR="00747881" w:rsidRPr="00441F0A" w:rsidRDefault="00747881" w:rsidP="00747881">
      <w:pPr>
        <w:spacing w:after="0" w:line="360" w:lineRule="auto"/>
        <w:jc w:val="both"/>
        <w:rPr>
          <w:rFonts w:ascii="Times New Roman" w:hAnsi="Times New Roman" w:cs="Times New Roman"/>
          <w:sz w:val="24"/>
          <w:szCs w:val="24"/>
        </w:rPr>
      </w:pPr>
      <w:r w:rsidRPr="00441F0A">
        <w:rPr>
          <w:rFonts w:ascii="Times New Roman" w:hAnsi="Times New Roman" w:cs="Times New Roman"/>
          <w:b/>
          <w:sz w:val="24"/>
          <w:szCs w:val="24"/>
        </w:rPr>
        <w:t xml:space="preserve">Non-substituabilité : </w:t>
      </w:r>
      <w:r w:rsidRPr="00441F0A">
        <w:rPr>
          <w:rFonts w:ascii="Times New Roman" w:hAnsi="Times New Roman" w:cs="Times New Roman"/>
          <w:sz w:val="24"/>
          <w:szCs w:val="24"/>
        </w:rPr>
        <w:t xml:space="preserve">L’éducation étant un service essentiel à la population, le service offert par l’UQTR a peu de chance d’être remplacé par un substitut. Néanmoins, l’Université du Québec à Trois-Rivières n’est pas à l’abri des nouvelles technologies qui permettent de suivre des cours d’une façon différente des cours magistraux habituels. En effet, l’arrivée des cours en lignes représente un substitut qui a fort potentiel de modifier la manière de bâtir des cours universitaires. Par contre, dans le cas de l’UQTR, ce substitut aux cours magistraux ne représente pas nécessairement une menace pour sa survie. Il s’agit simplement d’une modification de la manière d’offrir son service.  </w:t>
      </w:r>
    </w:p>
    <w:p w:rsidR="00747881" w:rsidRPr="00441F0A" w:rsidRDefault="00747881" w:rsidP="00747881">
      <w:pPr>
        <w:jc w:val="both"/>
        <w:rPr>
          <w:rFonts w:ascii="Times New Roman" w:hAnsi="Times New Roman" w:cs="Times New Roman"/>
          <w:sz w:val="24"/>
          <w:szCs w:val="24"/>
        </w:rPr>
      </w:pPr>
    </w:p>
    <w:p w:rsidR="00747881" w:rsidRPr="00441F0A" w:rsidRDefault="00747881" w:rsidP="00747881">
      <w:pPr>
        <w:jc w:val="both"/>
        <w:rPr>
          <w:rFonts w:ascii="Times New Roman" w:hAnsi="Times New Roman" w:cs="Times New Roman"/>
          <w:sz w:val="24"/>
          <w:szCs w:val="24"/>
        </w:rPr>
      </w:pPr>
    </w:p>
    <w:p w:rsidR="00123FFA" w:rsidRDefault="00123FFA">
      <w:pPr>
        <w:rPr>
          <w:rFonts w:ascii="Times New Roman" w:hAnsi="Times New Roman" w:cs="Times New Roman"/>
          <w:sz w:val="24"/>
          <w:szCs w:val="24"/>
        </w:rPr>
      </w:pPr>
      <w:r>
        <w:rPr>
          <w:rFonts w:ascii="Times New Roman" w:hAnsi="Times New Roman" w:cs="Times New Roman"/>
          <w:sz w:val="24"/>
          <w:szCs w:val="24"/>
        </w:rPr>
        <w:br w:type="page"/>
      </w:r>
    </w:p>
    <w:p w:rsidR="00A30513" w:rsidRDefault="00EE58D6" w:rsidP="00A30513">
      <w:pPr>
        <w:pStyle w:val="Titre3"/>
        <w:rPr>
          <w:rFonts w:ascii="Times New Roman" w:hAnsi="Times New Roman" w:cs="Times New Roman"/>
          <w:color w:val="auto"/>
          <w:sz w:val="24"/>
          <w:szCs w:val="24"/>
        </w:rPr>
      </w:pPr>
      <w:bookmarkStart w:id="24" w:name="_Toc417486237"/>
      <w:r>
        <w:lastRenderedPageBreak/>
        <w:t>3</w:t>
      </w:r>
      <w:r w:rsidR="00A30513" w:rsidRPr="00A30513">
        <w:t>.3</w:t>
      </w:r>
      <w:r w:rsidR="00A30513">
        <w:t xml:space="preserve"> </w:t>
      </w:r>
      <w:r w:rsidR="000D0609" w:rsidRPr="00A30513">
        <w:t>Le diagnostic de la capacité stratégique</w:t>
      </w:r>
      <w:bookmarkEnd w:id="24"/>
      <w:r w:rsidR="00372433" w:rsidRPr="00441F0A">
        <w:rPr>
          <w:rFonts w:ascii="Times New Roman" w:hAnsi="Times New Roman" w:cs="Times New Roman"/>
          <w:color w:val="auto"/>
          <w:sz w:val="24"/>
          <w:szCs w:val="24"/>
        </w:rPr>
        <w:t> </w:t>
      </w:r>
    </w:p>
    <w:p w:rsidR="000D0609" w:rsidRDefault="00EE58D6" w:rsidP="00A30513">
      <w:pPr>
        <w:pStyle w:val="Titre4"/>
        <w:ind w:left="708"/>
      </w:pPr>
      <w:bookmarkStart w:id="25" w:name="_Toc417486238"/>
      <w:r>
        <w:t>3</w:t>
      </w:r>
      <w:r w:rsidR="00A30513">
        <w:t xml:space="preserve">.3.1 </w:t>
      </w:r>
      <w:r w:rsidR="000D0609" w:rsidRPr="00441F0A">
        <w:t>L’étalonnage</w:t>
      </w:r>
      <w:bookmarkEnd w:id="25"/>
    </w:p>
    <w:p w:rsidR="00ED4F25" w:rsidRPr="00ED4F25" w:rsidRDefault="00ED4F25" w:rsidP="00ED4F25"/>
    <w:p w:rsidR="00CE6106" w:rsidRPr="00CE6106" w:rsidRDefault="00CE6106" w:rsidP="00CE6106">
      <w:pPr>
        <w:spacing w:line="360" w:lineRule="auto"/>
        <w:rPr>
          <w:rFonts w:ascii="Times New Roman" w:hAnsi="Times New Roman" w:cs="Times New Roman"/>
          <w:b/>
          <w:sz w:val="24"/>
        </w:rPr>
      </w:pPr>
      <w:r w:rsidRPr="00CE6106">
        <w:rPr>
          <w:rFonts w:ascii="Times New Roman" w:hAnsi="Times New Roman" w:cs="Times New Roman"/>
          <w:b/>
          <w:sz w:val="24"/>
        </w:rPr>
        <w:t xml:space="preserve">Étalonnage historique : </w:t>
      </w:r>
    </w:p>
    <w:p w:rsidR="00CE6106" w:rsidRPr="00CE6106" w:rsidRDefault="00CE6106" w:rsidP="00CE6106">
      <w:pPr>
        <w:spacing w:line="360" w:lineRule="auto"/>
        <w:jc w:val="both"/>
        <w:rPr>
          <w:rFonts w:ascii="Times New Roman" w:hAnsi="Times New Roman" w:cs="Times New Roman"/>
          <w:sz w:val="24"/>
        </w:rPr>
      </w:pPr>
      <w:r w:rsidRPr="00CE6106">
        <w:rPr>
          <w:rFonts w:ascii="Times New Roman" w:hAnsi="Times New Roman" w:cs="Times New Roman"/>
          <w:b/>
          <w:sz w:val="24"/>
        </w:rPr>
        <w:t xml:space="preserve">            </w:t>
      </w:r>
      <w:r w:rsidRPr="00CE6106">
        <w:rPr>
          <w:rFonts w:ascii="Times New Roman" w:hAnsi="Times New Roman" w:cs="Times New Roman"/>
          <w:sz w:val="24"/>
        </w:rPr>
        <w:t>Afin de réaliser l’étalonnage historique, nous avons comparé les évolutions de deux éléments différents, soit l’évolution des actifs immobiliers de l’UQTR ainsi que le nombre d’étudiants qui fréquentent cet établissement.</w:t>
      </w:r>
    </w:p>
    <w:p w:rsidR="00CE6106" w:rsidRPr="00CE6106" w:rsidRDefault="00CE6106" w:rsidP="00CE6106">
      <w:pPr>
        <w:spacing w:line="360" w:lineRule="auto"/>
        <w:jc w:val="both"/>
        <w:rPr>
          <w:rFonts w:ascii="Times New Roman" w:hAnsi="Times New Roman" w:cs="Times New Roman"/>
          <w:color w:val="FF0000"/>
          <w:sz w:val="24"/>
        </w:rPr>
      </w:pPr>
      <w:r w:rsidRPr="00CE6106">
        <w:rPr>
          <w:rFonts w:ascii="Times New Roman" w:hAnsi="Times New Roman" w:cs="Times New Roman"/>
          <w:sz w:val="24"/>
        </w:rPr>
        <w:t xml:space="preserve">           Pour commencer, voici donc un résumé de quelques éléments qui ont contribué à l’agrandissement des ressources immobilières de l’université. Comme on peut le constater dans la ligne du temps ci-dessous, suite à son inauguration en 1969</w:t>
      </w:r>
      <w:r w:rsidRPr="00CE6106">
        <w:rPr>
          <w:rStyle w:val="Appelnotedebasdep"/>
          <w:rFonts w:ascii="Times New Roman" w:hAnsi="Times New Roman" w:cs="Times New Roman"/>
          <w:sz w:val="24"/>
        </w:rPr>
        <w:footnoteReference w:id="58"/>
      </w:r>
      <w:r w:rsidRPr="00CE6106">
        <w:rPr>
          <w:rFonts w:ascii="Times New Roman" w:hAnsi="Times New Roman" w:cs="Times New Roman"/>
          <w:sz w:val="24"/>
        </w:rPr>
        <w:t>,  l’UQTR n’a cessé d’augmenter le nombre total d’établissements sur son territoire. En effet, la construction du pavillon principal, soit le Ringuet en 1973</w:t>
      </w:r>
      <w:r w:rsidRPr="00CE6106">
        <w:rPr>
          <w:rStyle w:val="Appelnotedebasdep"/>
          <w:rFonts w:ascii="Times New Roman" w:hAnsi="Times New Roman" w:cs="Times New Roman"/>
          <w:sz w:val="24"/>
        </w:rPr>
        <w:footnoteReference w:id="59"/>
      </w:r>
      <w:r w:rsidRPr="00CE6106">
        <w:rPr>
          <w:rFonts w:ascii="Times New Roman" w:hAnsi="Times New Roman" w:cs="Times New Roman"/>
          <w:sz w:val="24"/>
        </w:rPr>
        <w:t>, s’est suivi de l’agrandissement de ses installations sportives en 2004</w:t>
      </w:r>
      <w:r w:rsidRPr="00CE6106">
        <w:rPr>
          <w:rStyle w:val="Appelnotedebasdep"/>
          <w:rFonts w:ascii="Times New Roman" w:hAnsi="Times New Roman" w:cs="Times New Roman"/>
          <w:sz w:val="24"/>
        </w:rPr>
        <w:footnoteReference w:id="60"/>
      </w:r>
      <w:r w:rsidRPr="00CE6106">
        <w:rPr>
          <w:rFonts w:ascii="Times New Roman" w:hAnsi="Times New Roman" w:cs="Times New Roman"/>
          <w:sz w:val="24"/>
        </w:rPr>
        <w:t>, de l’inauguration du pavillon de la santé en 2009</w:t>
      </w:r>
      <w:r w:rsidRPr="00CE6106">
        <w:rPr>
          <w:rStyle w:val="Appelnotedebasdep"/>
          <w:rFonts w:ascii="Times New Roman" w:hAnsi="Times New Roman" w:cs="Times New Roman"/>
          <w:sz w:val="24"/>
        </w:rPr>
        <w:footnoteReference w:id="61"/>
      </w:r>
      <w:r w:rsidRPr="00CE6106">
        <w:rPr>
          <w:rFonts w:ascii="Times New Roman" w:hAnsi="Times New Roman" w:cs="Times New Roman"/>
          <w:sz w:val="24"/>
        </w:rPr>
        <w:t xml:space="preserve"> et de l’annonce de la construction d’un nouveau campus à Drummondville en 2014</w:t>
      </w:r>
      <w:r w:rsidRPr="00CE6106">
        <w:rPr>
          <w:rStyle w:val="Appelnotedebasdep"/>
          <w:rFonts w:ascii="Times New Roman" w:hAnsi="Times New Roman" w:cs="Times New Roman"/>
          <w:sz w:val="24"/>
        </w:rPr>
        <w:footnoteReference w:id="62"/>
      </w:r>
      <w:r w:rsidRPr="00CE6106">
        <w:rPr>
          <w:rFonts w:ascii="Times New Roman" w:hAnsi="Times New Roman" w:cs="Times New Roman"/>
          <w:sz w:val="24"/>
        </w:rPr>
        <w:t>. Évidemment, plusieurs autres constructions ont eu lieu entre ces dates. En fait, à ce jour l’UQTR possède près de 15 édifices sur son territoire. On peut donc dire que de 1969 à aujourd’hui, l’UQTR a su profiter des occasions d’agrandir</w:t>
      </w:r>
      <w:r w:rsidRPr="00CE6106">
        <w:rPr>
          <w:rFonts w:ascii="Times New Roman" w:hAnsi="Times New Roman" w:cs="Times New Roman"/>
          <w:color w:val="FF0000"/>
          <w:sz w:val="24"/>
        </w:rPr>
        <w:t xml:space="preserve"> </w:t>
      </w:r>
      <w:r w:rsidRPr="00CE6106">
        <w:rPr>
          <w:rFonts w:ascii="Times New Roman" w:hAnsi="Times New Roman" w:cs="Times New Roman"/>
          <w:sz w:val="24"/>
        </w:rPr>
        <w:t>ses actifs immobiliers.</w:t>
      </w:r>
      <w:r w:rsidRPr="00CE6106">
        <w:rPr>
          <w:rFonts w:ascii="Times New Roman" w:hAnsi="Times New Roman" w:cs="Times New Roman"/>
          <w:color w:val="FF0000"/>
          <w:sz w:val="24"/>
        </w:rPr>
        <w:t xml:space="preserve"> </w:t>
      </w:r>
    </w:p>
    <w:p w:rsidR="00CE6106" w:rsidRPr="00CE6106" w:rsidRDefault="00CE6106" w:rsidP="00CE6106">
      <w:pPr>
        <w:spacing w:line="360" w:lineRule="auto"/>
        <w:rPr>
          <w:rFonts w:ascii="Times New Roman" w:hAnsi="Times New Roman" w:cs="Times New Roman"/>
          <w:sz w:val="24"/>
        </w:rPr>
      </w:pPr>
      <w:r w:rsidRPr="00CE6106">
        <w:rPr>
          <w:rFonts w:ascii="Times New Roman" w:hAnsi="Times New Roman" w:cs="Times New Roman"/>
          <w:noProof/>
          <w:sz w:val="24"/>
          <w:lang w:eastAsia="fr-CA"/>
        </w:rPr>
        <w:lastRenderedPageBreak/>
        <w:drawing>
          <wp:inline distT="0" distB="0" distL="0" distR="0">
            <wp:extent cx="5486400" cy="1419225"/>
            <wp:effectExtent l="19050" t="0" r="19050" b="0"/>
            <wp:docPr id="24" name="Diagramme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CE6106" w:rsidRPr="00CE6106" w:rsidRDefault="00CE6106" w:rsidP="00CE6106">
      <w:pPr>
        <w:spacing w:line="360" w:lineRule="auto"/>
        <w:jc w:val="both"/>
        <w:rPr>
          <w:rFonts w:ascii="Times New Roman" w:hAnsi="Times New Roman" w:cs="Times New Roman"/>
          <w:sz w:val="24"/>
        </w:rPr>
      </w:pPr>
      <w:r w:rsidRPr="00CE6106">
        <w:rPr>
          <w:rFonts w:ascii="Times New Roman" w:hAnsi="Times New Roman" w:cs="Times New Roman"/>
          <w:sz w:val="24"/>
        </w:rPr>
        <w:t xml:space="preserve">          </w:t>
      </w:r>
    </w:p>
    <w:p w:rsidR="00CE6106" w:rsidRPr="00CE6106" w:rsidRDefault="00CE6106" w:rsidP="00CE6106">
      <w:pPr>
        <w:spacing w:line="360" w:lineRule="auto"/>
        <w:jc w:val="both"/>
        <w:rPr>
          <w:rFonts w:ascii="Times New Roman" w:hAnsi="Times New Roman" w:cs="Times New Roman"/>
          <w:sz w:val="24"/>
        </w:rPr>
      </w:pPr>
      <w:r w:rsidRPr="00CE6106">
        <w:rPr>
          <w:rFonts w:ascii="Times New Roman" w:hAnsi="Times New Roman" w:cs="Times New Roman"/>
          <w:sz w:val="24"/>
        </w:rPr>
        <w:t>Au niveau de l’évolution de la population étudiante, nous pouvons remarquer sur le graphique</w:t>
      </w:r>
      <w:r w:rsidRPr="00CE6106">
        <w:rPr>
          <w:rStyle w:val="Appelnotedebasdep"/>
          <w:rFonts w:ascii="Times New Roman" w:hAnsi="Times New Roman" w:cs="Times New Roman"/>
          <w:sz w:val="24"/>
        </w:rPr>
        <w:footnoteReference w:id="63"/>
      </w:r>
      <w:r w:rsidRPr="00CE6106">
        <w:rPr>
          <w:rFonts w:ascii="Times New Roman" w:hAnsi="Times New Roman" w:cs="Times New Roman"/>
          <w:sz w:val="24"/>
        </w:rPr>
        <w:t xml:space="preserve"> ci-dessous que celle-ci a une tendance à la hausse depuis 2010-2011. Passant de 11 186 à la session d’hiver 2011</w:t>
      </w:r>
      <w:r w:rsidRPr="00CE6106">
        <w:rPr>
          <w:rStyle w:val="Appelnotedebasdep"/>
          <w:rFonts w:ascii="Times New Roman" w:hAnsi="Times New Roman" w:cs="Times New Roman"/>
          <w:sz w:val="24"/>
        </w:rPr>
        <w:footnoteReference w:id="64"/>
      </w:r>
      <w:r w:rsidRPr="00CE6106">
        <w:rPr>
          <w:rFonts w:ascii="Times New Roman" w:hAnsi="Times New Roman" w:cs="Times New Roman"/>
          <w:sz w:val="24"/>
        </w:rPr>
        <w:t xml:space="preserve"> à 13 224 en 2015</w:t>
      </w:r>
      <w:r w:rsidRPr="00CE6106">
        <w:rPr>
          <w:rStyle w:val="Appelnotedebasdep"/>
          <w:rFonts w:ascii="Times New Roman" w:hAnsi="Times New Roman" w:cs="Times New Roman"/>
          <w:sz w:val="24"/>
        </w:rPr>
        <w:footnoteReference w:id="65"/>
      </w:r>
      <w:r w:rsidRPr="00CE6106">
        <w:rPr>
          <w:rFonts w:ascii="Times New Roman" w:hAnsi="Times New Roman" w:cs="Times New Roman"/>
          <w:sz w:val="24"/>
        </w:rPr>
        <w:t>, le nombre d’étudiants à l’UQTR a progressé de 18% entre ces deux années. Auparavant, sur une période de 10 ans, la population étudiante avait grimpé de 36%</w:t>
      </w:r>
      <w:r w:rsidRPr="00CE6106">
        <w:rPr>
          <w:rStyle w:val="Appelnotedebasdep"/>
          <w:rFonts w:ascii="Times New Roman" w:hAnsi="Times New Roman" w:cs="Times New Roman"/>
          <w:sz w:val="24"/>
        </w:rPr>
        <w:footnoteReference w:id="66"/>
      </w:r>
      <w:r w:rsidRPr="00CE6106">
        <w:rPr>
          <w:rFonts w:ascii="Times New Roman" w:hAnsi="Times New Roman" w:cs="Times New Roman"/>
          <w:sz w:val="24"/>
        </w:rPr>
        <w:t xml:space="preserve"> de 2001 à 2011. Une progression du nombre d’étudiants admis confirme que cette université est de plus en plus choisie comme premier choix par les étudiants de la région et d’ailleurs. </w:t>
      </w:r>
    </w:p>
    <w:p w:rsidR="00CE6106" w:rsidRPr="00CE6106" w:rsidRDefault="00E21339" w:rsidP="00E21339">
      <w:pPr>
        <w:spacing w:line="360" w:lineRule="auto"/>
        <w:jc w:val="center"/>
        <w:rPr>
          <w:rFonts w:ascii="Times New Roman" w:hAnsi="Times New Roman" w:cs="Times New Roman"/>
          <w:sz w:val="24"/>
        </w:rPr>
      </w:pPr>
      <w:r>
        <w:rPr>
          <w:rFonts w:ascii="Times New Roman" w:hAnsi="Times New Roman" w:cs="Times New Roman"/>
          <w:noProof/>
          <w:sz w:val="24"/>
          <w:lang w:eastAsia="fr-CA"/>
        </w:rPr>
        <w:drawing>
          <wp:inline distT="0" distB="0" distL="0" distR="0">
            <wp:extent cx="4505325" cy="2256580"/>
            <wp:effectExtent l="19050" t="0" r="9525" b="0"/>
            <wp:docPr id="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4513161" cy="2260505"/>
                    </a:xfrm>
                    <a:prstGeom prst="rect">
                      <a:avLst/>
                    </a:prstGeom>
                    <a:noFill/>
                    <a:ln w="9525">
                      <a:noFill/>
                      <a:miter lim="800000"/>
                      <a:headEnd/>
                      <a:tailEnd/>
                    </a:ln>
                  </pic:spPr>
                </pic:pic>
              </a:graphicData>
            </a:graphic>
          </wp:inline>
        </w:drawing>
      </w:r>
    </w:p>
    <w:p w:rsidR="00CE6106" w:rsidRPr="00CE6106" w:rsidRDefault="00CE6106" w:rsidP="00CE6106">
      <w:pPr>
        <w:spacing w:line="360" w:lineRule="auto"/>
        <w:rPr>
          <w:rFonts w:ascii="Times New Roman" w:hAnsi="Times New Roman" w:cs="Times New Roman"/>
          <w:b/>
          <w:sz w:val="24"/>
        </w:rPr>
      </w:pPr>
      <w:r w:rsidRPr="00CE6106">
        <w:rPr>
          <w:rFonts w:ascii="Times New Roman" w:hAnsi="Times New Roman" w:cs="Times New Roman"/>
          <w:b/>
          <w:sz w:val="24"/>
        </w:rPr>
        <w:lastRenderedPageBreak/>
        <w:t xml:space="preserve">Étalonnage interne : </w:t>
      </w:r>
    </w:p>
    <w:p w:rsidR="00CE6106" w:rsidRDefault="00CE6106" w:rsidP="00CE6106">
      <w:pPr>
        <w:spacing w:line="360" w:lineRule="auto"/>
        <w:jc w:val="both"/>
        <w:rPr>
          <w:rFonts w:ascii="Times New Roman" w:hAnsi="Times New Roman" w:cs="Times New Roman"/>
          <w:sz w:val="24"/>
        </w:rPr>
      </w:pPr>
      <w:r w:rsidRPr="00CE6106">
        <w:rPr>
          <w:rFonts w:ascii="Times New Roman" w:hAnsi="Times New Roman" w:cs="Times New Roman"/>
          <w:b/>
          <w:sz w:val="24"/>
        </w:rPr>
        <w:t xml:space="preserve">        </w:t>
      </w:r>
      <w:r w:rsidRPr="00CE6106">
        <w:rPr>
          <w:rFonts w:ascii="Times New Roman" w:hAnsi="Times New Roman" w:cs="Times New Roman"/>
          <w:sz w:val="24"/>
        </w:rPr>
        <w:t xml:space="preserve">Suite à la compilation des données d’un sondage maison que nous avons réalisé (résultat du sondage situé </w:t>
      </w:r>
      <w:r w:rsidR="00753ED9" w:rsidRPr="00753ED9">
        <w:rPr>
          <w:rFonts w:ascii="Times New Roman" w:hAnsi="Times New Roman" w:cs="Times New Roman"/>
          <w:sz w:val="24"/>
        </w:rPr>
        <w:t>à l’</w:t>
      </w:r>
      <w:r w:rsidRPr="00753ED9">
        <w:rPr>
          <w:rFonts w:ascii="Times New Roman" w:hAnsi="Times New Roman" w:cs="Times New Roman"/>
          <w:sz w:val="24"/>
        </w:rPr>
        <w:t>annexe</w:t>
      </w:r>
      <w:r w:rsidR="00753ED9">
        <w:rPr>
          <w:rFonts w:ascii="Times New Roman" w:hAnsi="Times New Roman" w:cs="Times New Roman"/>
          <w:sz w:val="24"/>
        </w:rPr>
        <w:t xml:space="preserve"> D</w:t>
      </w:r>
      <w:r w:rsidRPr="00CE6106">
        <w:rPr>
          <w:rFonts w:ascii="Times New Roman" w:hAnsi="Times New Roman" w:cs="Times New Roman"/>
          <w:sz w:val="24"/>
        </w:rPr>
        <w:t xml:space="preserve">), nous avons pu comparer la performance de plusieurs programmes offerts par l’UQTR selon l’appréciation des étudiants envers ceux-ci. On peut constater grâce au tableau suivant que les programmes de physiothérapie et ergothérapie sont ceux qui méritent la plus grande satisfaction de la part des élèves alors que les programmes d’enseignement primaire ainsi qu’éducation physique font moins bonne figure. </w:t>
      </w:r>
    </w:p>
    <w:tbl>
      <w:tblPr>
        <w:tblStyle w:val="Tramemoyenne2-Accent5"/>
        <w:tblpPr w:leftFromText="141" w:rightFromText="141" w:vertAnchor="text" w:horzAnchor="margin" w:tblpXSpec="center" w:tblpY="149"/>
        <w:tblW w:w="2852" w:type="pct"/>
        <w:tblLook w:val="0660"/>
      </w:tblPr>
      <w:tblGrid>
        <w:gridCol w:w="4292"/>
        <w:gridCol w:w="760"/>
      </w:tblGrid>
      <w:tr w:rsidR="00E21339" w:rsidRPr="00CE6106" w:rsidTr="00E21339">
        <w:trPr>
          <w:cnfStyle w:val="100000000000"/>
          <w:trHeight w:val="175"/>
        </w:trPr>
        <w:tc>
          <w:tcPr>
            <w:tcW w:w="4248" w:type="pct"/>
            <w:tcBorders>
              <w:left w:val="single" w:sz="12" w:space="0" w:color="auto"/>
              <w:right w:val="single" w:sz="4" w:space="0" w:color="auto"/>
            </w:tcBorders>
            <w:shd w:val="clear" w:color="auto" w:fill="00703C"/>
            <w:noWrap/>
          </w:tcPr>
          <w:p w:rsidR="00E21339" w:rsidRPr="00CE6106" w:rsidRDefault="00E21339" w:rsidP="00E21339">
            <w:pPr>
              <w:jc w:val="center"/>
              <w:rPr>
                <w:rFonts w:ascii="Times New Roman" w:hAnsi="Times New Roman" w:cs="Times New Roman"/>
              </w:rPr>
            </w:pPr>
            <w:r w:rsidRPr="00CE6106">
              <w:rPr>
                <w:rFonts w:ascii="Times New Roman" w:hAnsi="Times New Roman" w:cs="Times New Roman"/>
              </w:rPr>
              <w:t>Université</w:t>
            </w:r>
          </w:p>
        </w:tc>
        <w:tc>
          <w:tcPr>
            <w:tcW w:w="752" w:type="pct"/>
            <w:tcBorders>
              <w:left w:val="single" w:sz="4" w:space="0" w:color="auto"/>
              <w:right w:val="single" w:sz="4" w:space="0" w:color="auto"/>
            </w:tcBorders>
            <w:shd w:val="clear" w:color="auto" w:fill="00703C"/>
          </w:tcPr>
          <w:p w:rsidR="00E21339" w:rsidRPr="00CE6106" w:rsidRDefault="00E21339" w:rsidP="00E21339">
            <w:pPr>
              <w:jc w:val="center"/>
              <w:rPr>
                <w:rFonts w:ascii="Times New Roman" w:hAnsi="Times New Roman" w:cs="Times New Roman"/>
              </w:rPr>
            </w:pPr>
            <w:r w:rsidRPr="00CE6106">
              <w:rPr>
                <w:rFonts w:ascii="Times New Roman" w:hAnsi="Times New Roman" w:cs="Times New Roman"/>
              </w:rPr>
              <w:t>Note</w:t>
            </w:r>
          </w:p>
        </w:tc>
      </w:tr>
      <w:tr w:rsidR="00E21339" w:rsidRPr="00CE6106" w:rsidTr="00E21339">
        <w:trPr>
          <w:trHeight w:val="270"/>
        </w:trPr>
        <w:tc>
          <w:tcPr>
            <w:tcW w:w="4248" w:type="pct"/>
            <w:tcBorders>
              <w:left w:val="single" w:sz="12" w:space="0" w:color="auto"/>
              <w:bottom w:val="single" w:sz="8" w:space="0" w:color="auto"/>
              <w:right w:val="single" w:sz="4" w:space="0" w:color="auto"/>
            </w:tcBorders>
            <w:noWrap/>
          </w:tcPr>
          <w:p w:rsidR="00E21339" w:rsidRPr="00CE6106" w:rsidRDefault="00E21339" w:rsidP="00E21339">
            <w:pPr>
              <w:jc w:val="center"/>
              <w:rPr>
                <w:rFonts w:ascii="Times New Roman" w:hAnsi="Times New Roman" w:cs="Times New Roman"/>
                <w:b/>
                <w:bCs/>
                <w:color w:val="000000"/>
                <w:lang w:val="fr-CA"/>
              </w:rPr>
            </w:pPr>
            <w:r w:rsidRPr="00CE6106">
              <w:rPr>
                <w:rFonts w:ascii="Times New Roman" w:hAnsi="Times New Roman" w:cs="Times New Roman"/>
                <w:b/>
                <w:bCs/>
                <w:color w:val="000000"/>
                <w:lang w:val="fr-CA"/>
              </w:rPr>
              <w:t>Physiothérapie</w:t>
            </w:r>
          </w:p>
        </w:tc>
        <w:tc>
          <w:tcPr>
            <w:tcW w:w="752" w:type="pct"/>
            <w:tcBorders>
              <w:left w:val="single" w:sz="4" w:space="0" w:color="auto"/>
              <w:bottom w:val="single" w:sz="8" w:space="0" w:color="auto"/>
              <w:right w:val="single" w:sz="4" w:space="0" w:color="auto"/>
            </w:tcBorders>
          </w:tcPr>
          <w:p w:rsidR="00E21339" w:rsidRPr="00CE6106" w:rsidRDefault="00E21339" w:rsidP="00E21339">
            <w:pPr>
              <w:pStyle w:val="DecimalAligned"/>
              <w:spacing w:line="240" w:lineRule="auto"/>
              <w:jc w:val="center"/>
              <w:rPr>
                <w:rFonts w:ascii="Times New Roman" w:hAnsi="Times New Roman" w:cs="Times New Roman"/>
                <w:lang w:val="fr-CA"/>
              </w:rPr>
            </w:pPr>
            <w:r w:rsidRPr="00CE6106">
              <w:rPr>
                <w:rFonts w:ascii="Times New Roman" w:hAnsi="Times New Roman" w:cs="Times New Roman"/>
                <w:lang w:val="fr-CA"/>
              </w:rPr>
              <w:t>85%</w:t>
            </w:r>
          </w:p>
        </w:tc>
      </w:tr>
      <w:tr w:rsidR="00E21339" w:rsidRPr="00CE6106" w:rsidTr="00E21339">
        <w:trPr>
          <w:trHeight w:val="270"/>
        </w:trPr>
        <w:tc>
          <w:tcPr>
            <w:tcW w:w="4248" w:type="pct"/>
            <w:tcBorders>
              <w:top w:val="single" w:sz="8" w:space="0" w:color="auto"/>
              <w:left w:val="single" w:sz="12" w:space="0" w:color="auto"/>
              <w:bottom w:val="single" w:sz="8" w:space="0" w:color="auto"/>
              <w:right w:val="single" w:sz="4" w:space="0" w:color="auto"/>
            </w:tcBorders>
            <w:noWrap/>
          </w:tcPr>
          <w:p w:rsidR="00E21339" w:rsidRPr="00CE6106" w:rsidRDefault="00E21339" w:rsidP="00E21339">
            <w:pPr>
              <w:jc w:val="center"/>
              <w:rPr>
                <w:rFonts w:ascii="Times New Roman" w:hAnsi="Times New Roman" w:cs="Times New Roman"/>
                <w:b/>
                <w:bCs/>
                <w:color w:val="000000"/>
                <w:lang w:val="fr-CA"/>
              </w:rPr>
            </w:pPr>
            <w:r w:rsidRPr="00CE6106">
              <w:rPr>
                <w:rFonts w:ascii="Times New Roman" w:hAnsi="Times New Roman" w:cs="Times New Roman"/>
                <w:b/>
                <w:bCs/>
                <w:color w:val="000000"/>
                <w:lang w:val="fr-CA"/>
              </w:rPr>
              <w:t>Ergothérapie</w:t>
            </w:r>
          </w:p>
        </w:tc>
        <w:tc>
          <w:tcPr>
            <w:tcW w:w="752" w:type="pct"/>
            <w:tcBorders>
              <w:top w:val="single" w:sz="8" w:space="0" w:color="auto"/>
              <w:left w:val="single" w:sz="4" w:space="0" w:color="auto"/>
              <w:bottom w:val="single" w:sz="8" w:space="0" w:color="auto"/>
              <w:right w:val="single" w:sz="4" w:space="0" w:color="auto"/>
            </w:tcBorders>
          </w:tcPr>
          <w:p w:rsidR="00E21339" w:rsidRPr="00CE6106" w:rsidRDefault="00E21339" w:rsidP="00E21339">
            <w:pPr>
              <w:pStyle w:val="DecimalAligned"/>
              <w:spacing w:line="240" w:lineRule="auto"/>
              <w:jc w:val="center"/>
              <w:rPr>
                <w:rFonts w:ascii="Times New Roman" w:hAnsi="Times New Roman" w:cs="Times New Roman"/>
                <w:lang w:val="fr-CA"/>
              </w:rPr>
            </w:pPr>
            <w:r w:rsidRPr="00CE6106">
              <w:rPr>
                <w:rFonts w:ascii="Times New Roman" w:hAnsi="Times New Roman" w:cs="Times New Roman"/>
                <w:lang w:val="fr-CA"/>
              </w:rPr>
              <w:t>85%</w:t>
            </w:r>
          </w:p>
        </w:tc>
      </w:tr>
      <w:tr w:rsidR="00E21339" w:rsidRPr="00CE6106" w:rsidTr="00E21339">
        <w:trPr>
          <w:trHeight w:val="270"/>
        </w:trPr>
        <w:tc>
          <w:tcPr>
            <w:tcW w:w="4248" w:type="pct"/>
            <w:tcBorders>
              <w:top w:val="single" w:sz="8" w:space="0" w:color="auto"/>
              <w:left w:val="single" w:sz="12" w:space="0" w:color="auto"/>
              <w:bottom w:val="single" w:sz="8" w:space="0" w:color="auto"/>
              <w:right w:val="single" w:sz="4" w:space="0" w:color="auto"/>
            </w:tcBorders>
            <w:noWrap/>
          </w:tcPr>
          <w:p w:rsidR="00E21339" w:rsidRPr="00CE6106" w:rsidRDefault="00E21339" w:rsidP="00E21339">
            <w:pPr>
              <w:jc w:val="center"/>
              <w:rPr>
                <w:rFonts w:ascii="Times New Roman" w:hAnsi="Times New Roman" w:cs="Times New Roman"/>
                <w:b/>
                <w:bCs/>
                <w:color w:val="000000"/>
                <w:lang w:val="fr-CA"/>
              </w:rPr>
            </w:pPr>
            <w:r w:rsidRPr="00CE6106">
              <w:rPr>
                <w:rFonts w:ascii="Times New Roman" w:hAnsi="Times New Roman" w:cs="Times New Roman"/>
                <w:b/>
                <w:bCs/>
                <w:color w:val="000000"/>
                <w:lang w:val="fr-CA"/>
              </w:rPr>
              <w:t>Psychologie</w:t>
            </w:r>
          </w:p>
        </w:tc>
        <w:tc>
          <w:tcPr>
            <w:tcW w:w="752" w:type="pct"/>
            <w:tcBorders>
              <w:top w:val="single" w:sz="8" w:space="0" w:color="auto"/>
              <w:left w:val="single" w:sz="4" w:space="0" w:color="auto"/>
              <w:bottom w:val="single" w:sz="8" w:space="0" w:color="auto"/>
              <w:right w:val="single" w:sz="4" w:space="0" w:color="auto"/>
            </w:tcBorders>
          </w:tcPr>
          <w:p w:rsidR="00E21339" w:rsidRPr="00CE6106" w:rsidRDefault="00E21339" w:rsidP="00E21339">
            <w:pPr>
              <w:pStyle w:val="DecimalAligned"/>
              <w:spacing w:line="240" w:lineRule="auto"/>
              <w:jc w:val="center"/>
              <w:rPr>
                <w:rFonts w:ascii="Times New Roman" w:hAnsi="Times New Roman" w:cs="Times New Roman"/>
                <w:lang w:val="fr-CA"/>
              </w:rPr>
            </w:pPr>
            <w:r w:rsidRPr="00CE6106">
              <w:rPr>
                <w:rFonts w:ascii="Times New Roman" w:hAnsi="Times New Roman" w:cs="Times New Roman"/>
                <w:lang w:val="fr-CA"/>
              </w:rPr>
              <w:t>83%</w:t>
            </w:r>
          </w:p>
        </w:tc>
      </w:tr>
      <w:tr w:rsidR="00E21339" w:rsidRPr="00CE6106" w:rsidTr="00E21339">
        <w:trPr>
          <w:trHeight w:val="225"/>
        </w:trPr>
        <w:tc>
          <w:tcPr>
            <w:tcW w:w="4248" w:type="pct"/>
            <w:tcBorders>
              <w:top w:val="single" w:sz="8" w:space="0" w:color="auto"/>
              <w:left w:val="single" w:sz="12" w:space="0" w:color="auto"/>
              <w:bottom w:val="single" w:sz="8" w:space="0" w:color="auto"/>
              <w:right w:val="single" w:sz="4" w:space="0" w:color="auto"/>
            </w:tcBorders>
            <w:noWrap/>
          </w:tcPr>
          <w:p w:rsidR="00E21339" w:rsidRPr="00CE6106" w:rsidRDefault="00E21339" w:rsidP="00E21339">
            <w:pPr>
              <w:jc w:val="center"/>
              <w:rPr>
                <w:rFonts w:ascii="Times New Roman" w:hAnsi="Times New Roman" w:cs="Times New Roman"/>
                <w:b/>
                <w:bCs/>
                <w:color w:val="000000"/>
                <w:lang w:val="fr-CA"/>
              </w:rPr>
            </w:pPr>
            <w:r w:rsidRPr="00CE6106">
              <w:rPr>
                <w:rFonts w:ascii="Times New Roman" w:hAnsi="Times New Roman" w:cs="Times New Roman"/>
                <w:b/>
                <w:bCs/>
                <w:color w:val="000000"/>
                <w:lang w:val="fr-CA"/>
              </w:rPr>
              <w:t>Sciences comptables</w:t>
            </w:r>
          </w:p>
        </w:tc>
        <w:tc>
          <w:tcPr>
            <w:tcW w:w="752" w:type="pct"/>
            <w:tcBorders>
              <w:top w:val="single" w:sz="8" w:space="0" w:color="auto"/>
              <w:left w:val="single" w:sz="4" w:space="0" w:color="auto"/>
              <w:bottom w:val="single" w:sz="8" w:space="0" w:color="auto"/>
              <w:right w:val="single" w:sz="4" w:space="0" w:color="auto"/>
            </w:tcBorders>
          </w:tcPr>
          <w:p w:rsidR="00E21339" w:rsidRPr="00CE6106" w:rsidRDefault="00E21339" w:rsidP="00E21339">
            <w:pPr>
              <w:pStyle w:val="DecimalAligned"/>
              <w:spacing w:line="240" w:lineRule="auto"/>
              <w:jc w:val="center"/>
              <w:rPr>
                <w:rFonts w:ascii="Times New Roman" w:hAnsi="Times New Roman" w:cs="Times New Roman"/>
                <w:lang w:val="fr-CA"/>
              </w:rPr>
            </w:pPr>
            <w:r w:rsidRPr="00CE6106">
              <w:rPr>
                <w:rFonts w:ascii="Times New Roman" w:hAnsi="Times New Roman" w:cs="Times New Roman"/>
                <w:lang w:val="fr-CA"/>
              </w:rPr>
              <w:t>80%</w:t>
            </w:r>
          </w:p>
        </w:tc>
      </w:tr>
      <w:tr w:rsidR="00E21339" w:rsidRPr="00CE6106" w:rsidTr="00E21339">
        <w:trPr>
          <w:trHeight w:val="240"/>
        </w:trPr>
        <w:tc>
          <w:tcPr>
            <w:tcW w:w="4248" w:type="pct"/>
            <w:tcBorders>
              <w:top w:val="single" w:sz="8" w:space="0" w:color="auto"/>
              <w:left w:val="single" w:sz="12" w:space="0" w:color="auto"/>
              <w:bottom w:val="single" w:sz="8" w:space="0" w:color="auto"/>
              <w:right w:val="single" w:sz="4" w:space="0" w:color="auto"/>
            </w:tcBorders>
            <w:noWrap/>
          </w:tcPr>
          <w:p w:rsidR="00E21339" w:rsidRPr="00CE6106" w:rsidRDefault="00E21339" w:rsidP="00E21339">
            <w:pPr>
              <w:jc w:val="center"/>
              <w:rPr>
                <w:rFonts w:ascii="Times New Roman" w:hAnsi="Times New Roman" w:cs="Times New Roman"/>
                <w:b/>
                <w:bCs/>
                <w:color w:val="000000"/>
                <w:lang w:val="en-CA"/>
              </w:rPr>
            </w:pPr>
            <w:r w:rsidRPr="00CE6106">
              <w:rPr>
                <w:rFonts w:ascii="Times New Roman" w:hAnsi="Times New Roman" w:cs="Times New Roman"/>
                <w:b/>
                <w:bCs/>
                <w:color w:val="000000"/>
                <w:lang w:val="fr-CA"/>
              </w:rPr>
              <w:t xml:space="preserve">Administration des </w:t>
            </w:r>
            <w:proofErr w:type="spellStart"/>
            <w:r w:rsidRPr="00CE6106">
              <w:rPr>
                <w:rFonts w:ascii="Times New Roman" w:hAnsi="Times New Roman" w:cs="Times New Roman"/>
                <w:b/>
                <w:bCs/>
                <w:color w:val="000000"/>
                <w:lang w:val="fr-CA"/>
              </w:rPr>
              <w:t>affai</w:t>
            </w:r>
            <w:proofErr w:type="spellEnd"/>
            <w:r w:rsidRPr="00CE6106">
              <w:rPr>
                <w:rFonts w:ascii="Times New Roman" w:hAnsi="Times New Roman" w:cs="Times New Roman"/>
                <w:b/>
                <w:bCs/>
                <w:color w:val="000000"/>
                <w:lang w:val="en-CA"/>
              </w:rPr>
              <w:t>res</w:t>
            </w:r>
          </w:p>
        </w:tc>
        <w:tc>
          <w:tcPr>
            <w:tcW w:w="752" w:type="pct"/>
            <w:tcBorders>
              <w:top w:val="single" w:sz="8" w:space="0" w:color="auto"/>
              <w:left w:val="single" w:sz="4" w:space="0" w:color="auto"/>
              <w:bottom w:val="single" w:sz="8" w:space="0" w:color="auto"/>
              <w:right w:val="single" w:sz="4" w:space="0" w:color="auto"/>
            </w:tcBorders>
          </w:tcPr>
          <w:p w:rsidR="00E21339" w:rsidRPr="00CE6106" w:rsidRDefault="00E21339" w:rsidP="00E21339">
            <w:pPr>
              <w:pStyle w:val="DecimalAligned"/>
              <w:spacing w:line="240" w:lineRule="auto"/>
              <w:jc w:val="center"/>
              <w:rPr>
                <w:rFonts w:ascii="Times New Roman" w:hAnsi="Times New Roman" w:cs="Times New Roman"/>
                <w:lang w:val="en-CA"/>
              </w:rPr>
            </w:pPr>
            <w:r w:rsidRPr="00CE6106">
              <w:rPr>
                <w:rFonts w:ascii="Times New Roman" w:hAnsi="Times New Roman" w:cs="Times New Roman"/>
                <w:lang w:val="en-CA"/>
              </w:rPr>
              <w:t>78%</w:t>
            </w:r>
          </w:p>
        </w:tc>
      </w:tr>
      <w:tr w:rsidR="00E21339" w:rsidRPr="00CE6106" w:rsidTr="00E21339">
        <w:trPr>
          <w:trHeight w:val="240"/>
        </w:trPr>
        <w:tc>
          <w:tcPr>
            <w:tcW w:w="4248" w:type="pct"/>
            <w:tcBorders>
              <w:top w:val="single" w:sz="8" w:space="0" w:color="auto"/>
              <w:left w:val="single" w:sz="12" w:space="0" w:color="auto"/>
              <w:bottom w:val="single" w:sz="8" w:space="0" w:color="auto"/>
              <w:right w:val="single" w:sz="4" w:space="0" w:color="auto"/>
            </w:tcBorders>
            <w:noWrap/>
          </w:tcPr>
          <w:p w:rsidR="00E21339" w:rsidRPr="00CE6106" w:rsidRDefault="00E21339" w:rsidP="00E21339">
            <w:pPr>
              <w:jc w:val="center"/>
              <w:rPr>
                <w:rFonts w:ascii="Times New Roman" w:hAnsi="Times New Roman" w:cs="Times New Roman"/>
                <w:b/>
                <w:bCs/>
                <w:color w:val="000000"/>
                <w:lang w:val="en-CA"/>
              </w:rPr>
            </w:pPr>
            <w:proofErr w:type="spellStart"/>
            <w:r w:rsidRPr="00CE6106">
              <w:rPr>
                <w:rFonts w:ascii="Times New Roman" w:hAnsi="Times New Roman" w:cs="Times New Roman"/>
                <w:b/>
                <w:bCs/>
                <w:color w:val="000000"/>
                <w:lang w:val="en-CA"/>
              </w:rPr>
              <w:t>Chiropratie</w:t>
            </w:r>
            <w:proofErr w:type="spellEnd"/>
          </w:p>
        </w:tc>
        <w:tc>
          <w:tcPr>
            <w:tcW w:w="752" w:type="pct"/>
            <w:tcBorders>
              <w:top w:val="single" w:sz="8" w:space="0" w:color="auto"/>
              <w:left w:val="single" w:sz="4" w:space="0" w:color="auto"/>
              <w:bottom w:val="single" w:sz="8" w:space="0" w:color="auto"/>
              <w:right w:val="single" w:sz="4" w:space="0" w:color="auto"/>
            </w:tcBorders>
          </w:tcPr>
          <w:p w:rsidR="00E21339" w:rsidRPr="00CE6106" w:rsidRDefault="00E21339" w:rsidP="00E21339">
            <w:pPr>
              <w:pStyle w:val="DecimalAligned"/>
              <w:spacing w:line="240" w:lineRule="auto"/>
              <w:jc w:val="center"/>
              <w:rPr>
                <w:rFonts w:ascii="Times New Roman" w:hAnsi="Times New Roman" w:cs="Times New Roman"/>
                <w:lang w:val="en-CA"/>
              </w:rPr>
            </w:pPr>
            <w:r w:rsidRPr="00CE6106">
              <w:rPr>
                <w:rFonts w:ascii="Times New Roman" w:hAnsi="Times New Roman" w:cs="Times New Roman"/>
                <w:lang w:val="en-CA"/>
              </w:rPr>
              <w:t>75%</w:t>
            </w:r>
          </w:p>
        </w:tc>
      </w:tr>
      <w:tr w:rsidR="00E21339" w:rsidRPr="00CE6106" w:rsidTr="00E21339">
        <w:trPr>
          <w:trHeight w:val="345"/>
        </w:trPr>
        <w:tc>
          <w:tcPr>
            <w:tcW w:w="4248" w:type="pct"/>
            <w:tcBorders>
              <w:top w:val="single" w:sz="8" w:space="0" w:color="auto"/>
              <w:left w:val="single" w:sz="12" w:space="0" w:color="auto"/>
              <w:bottom w:val="single" w:sz="6" w:space="0" w:color="auto"/>
              <w:right w:val="single" w:sz="4" w:space="0" w:color="auto"/>
            </w:tcBorders>
            <w:noWrap/>
          </w:tcPr>
          <w:p w:rsidR="00E21339" w:rsidRPr="00CE6106" w:rsidRDefault="00E21339" w:rsidP="00E21339">
            <w:pPr>
              <w:jc w:val="center"/>
              <w:rPr>
                <w:rFonts w:ascii="Times New Roman" w:hAnsi="Times New Roman" w:cs="Times New Roman"/>
                <w:b/>
                <w:bCs/>
                <w:color w:val="000000"/>
                <w:lang w:val="fr-CA"/>
              </w:rPr>
            </w:pPr>
            <w:proofErr w:type="spellStart"/>
            <w:r w:rsidRPr="00CE6106">
              <w:rPr>
                <w:rFonts w:ascii="Times New Roman" w:hAnsi="Times New Roman" w:cs="Times New Roman"/>
                <w:b/>
                <w:bCs/>
                <w:color w:val="000000"/>
                <w:lang w:val="fr-CA"/>
              </w:rPr>
              <w:t>Éduc</w:t>
            </w:r>
            <w:proofErr w:type="spellEnd"/>
            <w:r w:rsidRPr="00CE6106">
              <w:rPr>
                <w:rFonts w:ascii="Times New Roman" w:hAnsi="Times New Roman" w:cs="Times New Roman"/>
                <w:b/>
                <w:bCs/>
                <w:color w:val="000000"/>
                <w:lang w:val="fr-CA"/>
              </w:rPr>
              <w:t>. préscolaire et enseignement primaire</w:t>
            </w:r>
          </w:p>
        </w:tc>
        <w:tc>
          <w:tcPr>
            <w:tcW w:w="752" w:type="pct"/>
            <w:tcBorders>
              <w:top w:val="single" w:sz="8" w:space="0" w:color="auto"/>
              <w:left w:val="single" w:sz="4" w:space="0" w:color="auto"/>
              <w:bottom w:val="single" w:sz="6" w:space="0" w:color="auto"/>
              <w:right w:val="single" w:sz="4" w:space="0" w:color="auto"/>
            </w:tcBorders>
          </w:tcPr>
          <w:p w:rsidR="00E21339" w:rsidRPr="00CE6106" w:rsidRDefault="00E21339" w:rsidP="00E21339">
            <w:pPr>
              <w:pStyle w:val="DecimalAligned"/>
              <w:spacing w:line="240" w:lineRule="auto"/>
              <w:jc w:val="center"/>
              <w:rPr>
                <w:rFonts w:ascii="Times New Roman" w:hAnsi="Times New Roman" w:cs="Times New Roman"/>
                <w:lang w:val="fr-CA"/>
              </w:rPr>
            </w:pPr>
            <w:r w:rsidRPr="00CE6106">
              <w:rPr>
                <w:rFonts w:ascii="Times New Roman" w:hAnsi="Times New Roman" w:cs="Times New Roman"/>
                <w:lang w:val="fr-CA"/>
              </w:rPr>
              <w:t>75%</w:t>
            </w:r>
          </w:p>
        </w:tc>
      </w:tr>
      <w:tr w:rsidR="00E21339" w:rsidRPr="00CE6106" w:rsidTr="00E21339">
        <w:trPr>
          <w:trHeight w:val="345"/>
        </w:trPr>
        <w:tc>
          <w:tcPr>
            <w:tcW w:w="4248" w:type="pct"/>
            <w:tcBorders>
              <w:top w:val="single" w:sz="6" w:space="0" w:color="auto"/>
              <w:left w:val="single" w:sz="12" w:space="0" w:color="auto"/>
              <w:bottom w:val="single" w:sz="6" w:space="0" w:color="auto"/>
              <w:right w:val="single" w:sz="4" w:space="0" w:color="auto"/>
            </w:tcBorders>
            <w:noWrap/>
          </w:tcPr>
          <w:p w:rsidR="00E21339" w:rsidRPr="00CE6106" w:rsidRDefault="00E21339" w:rsidP="00E21339">
            <w:pPr>
              <w:jc w:val="center"/>
              <w:rPr>
                <w:rFonts w:ascii="Times New Roman" w:hAnsi="Times New Roman" w:cs="Times New Roman"/>
                <w:b/>
                <w:bCs/>
                <w:color w:val="000000"/>
              </w:rPr>
            </w:pPr>
            <w:r w:rsidRPr="00CE6106">
              <w:rPr>
                <w:rFonts w:ascii="Times New Roman" w:hAnsi="Times New Roman" w:cs="Times New Roman"/>
                <w:b/>
                <w:bCs/>
                <w:color w:val="000000"/>
              </w:rPr>
              <w:t>Kinésiologie</w:t>
            </w:r>
          </w:p>
        </w:tc>
        <w:tc>
          <w:tcPr>
            <w:tcW w:w="752" w:type="pct"/>
            <w:tcBorders>
              <w:top w:val="single" w:sz="6" w:space="0" w:color="auto"/>
              <w:left w:val="single" w:sz="4" w:space="0" w:color="auto"/>
              <w:bottom w:val="single" w:sz="6" w:space="0" w:color="auto"/>
              <w:right w:val="single" w:sz="4" w:space="0" w:color="auto"/>
            </w:tcBorders>
          </w:tcPr>
          <w:p w:rsidR="00E21339" w:rsidRPr="00CE6106" w:rsidRDefault="00E21339" w:rsidP="00E21339">
            <w:pPr>
              <w:pStyle w:val="DecimalAligned"/>
              <w:spacing w:line="240" w:lineRule="auto"/>
              <w:jc w:val="center"/>
              <w:rPr>
                <w:rFonts w:ascii="Times New Roman" w:hAnsi="Times New Roman" w:cs="Times New Roman"/>
                <w:lang w:val="fr-CA"/>
              </w:rPr>
            </w:pPr>
            <w:r w:rsidRPr="00CE6106">
              <w:rPr>
                <w:rFonts w:ascii="Times New Roman" w:hAnsi="Times New Roman" w:cs="Times New Roman"/>
                <w:lang w:val="fr-CA"/>
              </w:rPr>
              <w:t>70%</w:t>
            </w:r>
          </w:p>
        </w:tc>
      </w:tr>
      <w:tr w:rsidR="00E21339" w:rsidRPr="00CE6106" w:rsidTr="00E21339">
        <w:trPr>
          <w:trHeight w:val="345"/>
        </w:trPr>
        <w:tc>
          <w:tcPr>
            <w:tcW w:w="4248" w:type="pct"/>
            <w:tcBorders>
              <w:top w:val="single" w:sz="6" w:space="0" w:color="auto"/>
              <w:left w:val="single" w:sz="12" w:space="0" w:color="auto"/>
              <w:bottom w:val="thinThickSmallGap" w:sz="12" w:space="0" w:color="auto"/>
              <w:right w:val="single" w:sz="4" w:space="0" w:color="auto"/>
            </w:tcBorders>
            <w:noWrap/>
          </w:tcPr>
          <w:p w:rsidR="00E21339" w:rsidRPr="00CE6106" w:rsidRDefault="00E21339" w:rsidP="00E21339">
            <w:pPr>
              <w:jc w:val="center"/>
              <w:rPr>
                <w:rFonts w:ascii="Times New Roman" w:hAnsi="Times New Roman" w:cs="Times New Roman"/>
                <w:b/>
                <w:bCs/>
                <w:color w:val="000000"/>
              </w:rPr>
            </w:pPr>
            <w:r w:rsidRPr="00CE6106">
              <w:rPr>
                <w:rFonts w:ascii="Times New Roman" w:hAnsi="Times New Roman" w:cs="Times New Roman"/>
                <w:b/>
                <w:bCs/>
                <w:color w:val="000000"/>
              </w:rPr>
              <w:t>Enseignement et éducation physique</w:t>
            </w:r>
          </w:p>
        </w:tc>
        <w:tc>
          <w:tcPr>
            <w:tcW w:w="752" w:type="pct"/>
            <w:tcBorders>
              <w:top w:val="single" w:sz="6" w:space="0" w:color="auto"/>
              <w:left w:val="single" w:sz="4" w:space="0" w:color="auto"/>
              <w:bottom w:val="thinThickSmallGap" w:sz="12" w:space="0" w:color="auto"/>
              <w:right w:val="single" w:sz="4" w:space="0" w:color="auto"/>
            </w:tcBorders>
          </w:tcPr>
          <w:p w:rsidR="00E21339" w:rsidRPr="00CE6106" w:rsidRDefault="00E21339" w:rsidP="00E21339">
            <w:pPr>
              <w:pStyle w:val="DecimalAligned"/>
              <w:spacing w:line="240" w:lineRule="auto"/>
              <w:jc w:val="center"/>
              <w:rPr>
                <w:rFonts w:ascii="Times New Roman" w:hAnsi="Times New Roman" w:cs="Times New Roman"/>
                <w:lang w:val="fr-CA"/>
              </w:rPr>
            </w:pPr>
            <w:r w:rsidRPr="00CE6106">
              <w:rPr>
                <w:rFonts w:ascii="Times New Roman" w:hAnsi="Times New Roman" w:cs="Times New Roman"/>
                <w:lang w:val="fr-CA"/>
              </w:rPr>
              <w:t>70%</w:t>
            </w:r>
          </w:p>
        </w:tc>
      </w:tr>
      <w:tr w:rsidR="00E21339" w:rsidRPr="00CE6106" w:rsidTr="00E21339">
        <w:tblPrEx>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CellMar>
            <w:left w:w="70" w:type="dxa"/>
            <w:right w:w="70" w:type="dxa"/>
          </w:tblCellMar>
          <w:tblLook w:val="0000"/>
        </w:tblPrEx>
        <w:trPr>
          <w:trHeight w:val="330"/>
        </w:trPr>
        <w:tc>
          <w:tcPr>
            <w:cnfStyle w:val="000010000000"/>
            <w:tcW w:w="5000" w:type="pct"/>
            <w:gridSpan w:val="2"/>
            <w:tcBorders>
              <w:top w:val="thinThickSmallGap" w:sz="12" w:space="0" w:color="auto"/>
              <w:left w:val="single" w:sz="6" w:space="0" w:color="auto"/>
              <w:bottom w:val="thinThickSmallGap" w:sz="12" w:space="0" w:color="auto"/>
              <w:right w:val="single" w:sz="6" w:space="0" w:color="auto"/>
            </w:tcBorders>
            <w:shd w:val="clear" w:color="auto" w:fill="C4960C"/>
          </w:tcPr>
          <w:p w:rsidR="00E21339" w:rsidRPr="00CE6106" w:rsidRDefault="00E21339" w:rsidP="00E21339">
            <w:pPr>
              <w:ind w:left="108"/>
              <w:jc w:val="center"/>
              <w:rPr>
                <w:rFonts w:ascii="Times New Roman" w:hAnsi="Times New Roman" w:cs="Times New Roman"/>
                <w:sz w:val="24"/>
              </w:rPr>
            </w:pPr>
            <w:r w:rsidRPr="00CE6106">
              <w:rPr>
                <w:rFonts w:ascii="Times New Roman" w:hAnsi="Times New Roman" w:cs="Times New Roman"/>
                <w:sz w:val="24"/>
              </w:rPr>
              <w:t>Moyenne : 77,8%</w:t>
            </w:r>
          </w:p>
        </w:tc>
      </w:tr>
    </w:tbl>
    <w:p w:rsidR="00CE6106" w:rsidRPr="00CE6106" w:rsidRDefault="00CE6106" w:rsidP="00CE6106">
      <w:pPr>
        <w:spacing w:line="360" w:lineRule="auto"/>
        <w:jc w:val="both"/>
        <w:rPr>
          <w:rFonts w:ascii="Times New Roman" w:hAnsi="Times New Roman" w:cs="Times New Roman"/>
          <w:sz w:val="24"/>
        </w:rPr>
      </w:pPr>
    </w:p>
    <w:p w:rsidR="00CE6106" w:rsidRPr="00CE6106" w:rsidRDefault="00CE6106" w:rsidP="00CE6106">
      <w:pPr>
        <w:spacing w:line="360" w:lineRule="auto"/>
        <w:rPr>
          <w:rFonts w:ascii="Times New Roman" w:hAnsi="Times New Roman" w:cs="Times New Roman"/>
          <w:sz w:val="24"/>
        </w:rPr>
      </w:pPr>
    </w:p>
    <w:p w:rsidR="00CE6106" w:rsidRDefault="00CE6106">
      <w:pPr>
        <w:rPr>
          <w:rFonts w:ascii="Times New Roman" w:hAnsi="Times New Roman" w:cs="Times New Roman"/>
          <w:b/>
          <w:sz w:val="24"/>
        </w:rPr>
      </w:pPr>
      <w:r>
        <w:rPr>
          <w:rFonts w:ascii="Times New Roman" w:hAnsi="Times New Roman" w:cs="Times New Roman"/>
          <w:b/>
          <w:sz w:val="24"/>
        </w:rPr>
        <w:br w:type="page"/>
      </w:r>
    </w:p>
    <w:p w:rsidR="00CE6106" w:rsidRPr="00CE6106" w:rsidRDefault="00CE6106" w:rsidP="00CE6106">
      <w:pPr>
        <w:spacing w:line="360" w:lineRule="auto"/>
        <w:rPr>
          <w:rFonts w:ascii="Times New Roman" w:hAnsi="Times New Roman" w:cs="Times New Roman"/>
          <w:b/>
          <w:sz w:val="24"/>
        </w:rPr>
      </w:pPr>
      <w:r w:rsidRPr="00CE6106">
        <w:rPr>
          <w:rFonts w:ascii="Times New Roman" w:hAnsi="Times New Roman" w:cs="Times New Roman"/>
          <w:b/>
          <w:sz w:val="24"/>
        </w:rPr>
        <w:lastRenderedPageBreak/>
        <w:t xml:space="preserve">Étalonnage avec les concurrents : </w:t>
      </w:r>
    </w:p>
    <w:p w:rsidR="00CE6106" w:rsidRPr="00CE6106" w:rsidRDefault="00CE6106" w:rsidP="00CE6106">
      <w:pPr>
        <w:spacing w:line="360" w:lineRule="auto"/>
        <w:jc w:val="both"/>
        <w:rPr>
          <w:rFonts w:ascii="Times New Roman" w:hAnsi="Times New Roman" w:cs="Times New Roman"/>
          <w:sz w:val="24"/>
        </w:rPr>
      </w:pPr>
      <w:r w:rsidRPr="00CE6106">
        <w:rPr>
          <w:rFonts w:ascii="Times New Roman" w:hAnsi="Times New Roman" w:cs="Times New Roman"/>
          <w:sz w:val="24"/>
        </w:rPr>
        <w:t xml:space="preserve">         En ce qui concerne l’étalonnage avec les concurrents, il faut habituellement comparer les éléments analysés dans l’étalonnage historique avec les concurrents de l’entreprise. Dû au fait que certains éléments analysés dans le l’étalonnage historique étaient difficilement comparable avec les concurrents, nous avons décidé de pousser notre analyse un peu plus loin en analysant aussi d’autres facteurs intéressants qui permettent d’évaluer la performance de l’université face à ses compétiteurs. Par ailleurs, pour certains critères de cette analyse, nous avons non seulement évalué la performance de l’UQTR face à ses concurrents provinciaux, mais aussi face à d’autres universités à l’échelle planétaire. Prendre note que tous les éléments de cette analyse ont été réalisés grâce à notre sondage maison.</w:t>
      </w:r>
    </w:p>
    <w:p w:rsidR="00CE6106" w:rsidRPr="00CE6106" w:rsidRDefault="00CE6106" w:rsidP="00CE6106">
      <w:pPr>
        <w:spacing w:line="360" w:lineRule="auto"/>
        <w:jc w:val="both"/>
        <w:rPr>
          <w:rFonts w:ascii="Times New Roman" w:hAnsi="Times New Roman" w:cs="Times New Roman"/>
          <w:sz w:val="24"/>
        </w:rPr>
      </w:pPr>
      <w:r w:rsidRPr="00CE6106">
        <w:rPr>
          <w:rFonts w:ascii="Times New Roman" w:hAnsi="Times New Roman" w:cs="Times New Roman"/>
          <w:sz w:val="24"/>
        </w:rPr>
        <w:t xml:space="preserve">           Étant donné qu’une des ressources offertes aux étudiants par l’UQTR est les cours en lignes, nous allons premièrement analyser si cette ressource procure un avantage concurrentiel à l’université grâce aux deux graphiques suivants :</w:t>
      </w:r>
    </w:p>
    <w:p w:rsidR="00CE6106" w:rsidRPr="00CE6106" w:rsidRDefault="00CE6106" w:rsidP="00CE6106">
      <w:pPr>
        <w:spacing w:line="360" w:lineRule="auto"/>
        <w:jc w:val="both"/>
        <w:rPr>
          <w:rFonts w:ascii="Times New Roman" w:hAnsi="Times New Roman" w:cs="Times New Roman"/>
          <w:sz w:val="24"/>
        </w:rPr>
      </w:pPr>
    </w:p>
    <w:p w:rsidR="00CE6106" w:rsidRPr="00CE6106" w:rsidRDefault="00CE6106" w:rsidP="00CE6106">
      <w:pPr>
        <w:spacing w:line="360" w:lineRule="auto"/>
        <w:jc w:val="both"/>
        <w:rPr>
          <w:rFonts w:ascii="Times New Roman" w:hAnsi="Times New Roman" w:cs="Times New Roman"/>
          <w:sz w:val="24"/>
        </w:rPr>
      </w:pPr>
    </w:p>
    <w:p w:rsidR="00CE6106" w:rsidRPr="00CE6106" w:rsidRDefault="00CE6106" w:rsidP="00CE6106">
      <w:pPr>
        <w:spacing w:line="360" w:lineRule="auto"/>
        <w:jc w:val="center"/>
        <w:rPr>
          <w:rFonts w:ascii="Times New Roman" w:hAnsi="Times New Roman" w:cs="Times New Roman"/>
          <w:sz w:val="24"/>
        </w:rPr>
      </w:pPr>
      <w:r w:rsidRPr="00CE6106">
        <w:rPr>
          <w:rFonts w:ascii="Times New Roman" w:hAnsi="Times New Roman" w:cs="Times New Roman"/>
          <w:noProof/>
          <w:sz w:val="24"/>
          <w:lang w:eastAsia="fr-CA"/>
        </w:rPr>
        <w:drawing>
          <wp:inline distT="0" distB="0" distL="0" distR="0">
            <wp:extent cx="4572000" cy="2743200"/>
            <wp:effectExtent l="19050" t="0" r="19050" b="0"/>
            <wp:docPr id="26"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E6106" w:rsidRPr="00CE6106" w:rsidRDefault="00CE6106" w:rsidP="00CE6106">
      <w:pPr>
        <w:spacing w:line="360" w:lineRule="auto"/>
        <w:jc w:val="both"/>
        <w:rPr>
          <w:rFonts w:ascii="Times New Roman" w:hAnsi="Times New Roman" w:cs="Times New Roman"/>
          <w:sz w:val="24"/>
        </w:rPr>
      </w:pPr>
      <w:r w:rsidRPr="00CE6106">
        <w:rPr>
          <w:rFonts w:ascii="Times New Roman" w:hAnsi="Times New Roman" w:cs="Times New Roman"/>
          <w:noProof/>
          <w:sz w:val="24"/>
          <w:lang w:eastAsia="fr-CA"/>
        </w:rPr>
        <w:lastRenderedPageBreak/>
        <w:drawing>
          <wp:inline distT="0" distB="0" distL="0" distR="0">
            <wp:extent cx="5457825" cy="3676650"/>
            <wp:effectExtent l="19050" t="0" r="9525" b="0"/>
            <wp:docPr id="2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5457825" cy="3676650"/>
                    </a:xfrm>
                    <a:prstGeom prst="rect">
                      <a:avLst/>
                    </a:prstGeom>
                    <a:noFill/>
                    <a:ln w="9525">
                      <a:noFill/>
                      <a:miter lim="800000"/>
                      <a:headEnd/>
                      <a:tailEnd/>
                    </a:ln>
                  </pic:spPr>
                </pic:pic>
              </a:graphicData>
            </a:graphic>
          </wp:inline>
        </w:drawing>
      </w:r>
    </w:p>
    <w:p w:rsidR="00CE6106" w:rsidRDefault="00CE6106" w:rsidP="00CE6106">
      <w:pPr>
        <w:spacing w:line="360" w:lineRule="auto"/>
        <w:jc w:val="both"/>
        <w:rPr>
          <w:rFonts w:ascii="Times New Roman" w:hAnsi="Times New Roman" w:cs="Times New Roman"/>
          <w:sz w:val="24"/>
        </w:rPr>
      </w:pPr>
      <w:r w:rsidRPr="00CE6106">
        <w:rPr>
          <w:rFonts w:ascii="Times New Roman" w:hAnsi="Times New Roman" w:cs="Times New Roman"/>
          <w:sz w:val="24"/>
        </w:rPr>
        <w:t xml:space="preserve">          Comme on peut le remarquer dans le premier graphique, 62 % des étudiants interrogés ont accès à des cours en ligne à leur école. Le fait que l’UQTR offre des cours en ligne pour certains cours en particulier apporte donc un avantage concurrentiel face à 38% des universités. En ce qui a trait à la qualité des cours en lignes offerts, on peut se rendre compte que 63 % des étudiants de l’UQTR interrogés ont attribué une note de 7/10 ou plus à ce sujet alors c’est plutôt 81% des étudiants des autres universités qui ont attribué le même score. D’ailleurs, il faut dire que 36 % des étudiants de l’UQTR ont attribué une note inférieure à la note de passage qui est de 6/10. Ceci est donc signe que pour bénéficier de l’avantage concurrentiel que sont la mise ne place de cours en ligne, l’UQTR devrait miser sur l’amélioration de la qualité de ceux-ci.     </w:t>
      </w:r>
    </w:p>
    <w:p w:rsidR="00CE6106" w:rsidRPr="00CE6106" w:rsidRDefault="00CE6106" w:rsidP="00CE6106">
      <w:pPr>
        <w:spacing w:line="360" w:lineRule="auto"/>
        <w:jc w:val="both"/>
        <w:rPr>
          <w:rFonts w:ascii="Times New Roman" w:hAnsi="Times New Roman" w:cs="Times New Roman"/>
          <w:sz w:val="24"/>
        </w:rPr>
      </w:pPr>
    </w:p>
    <w:p w:rsidR="00CE6106" w:rsidRDefault="00CE6106" w:rsidP="00CE6106">
      <w:pPr>
        <w:spacing w:line="360" w:lineRule="auto"/>
        <w:jc w:val="both"/>
        <w:rPr>
          <w:rFonts w:ascii="Times New Roman" w:hAnsi="Times New Roman" w:cs="Times New Roman"/>
          <w:sz w:val="24"/>
        </w:rPr>
      </w:pPr>
      <w:r w:rsidRPr="00CE6106">
        <w:rPr>
          <w:rFonts w:ascii="Times New Roman" w:hAnsi="Times New Roman" w:cs="Times New Roman"/>
          <w:color w:val="FF0000"/>
          <w:sz w:val="24"/>
        </w:rPr>
        <w:t xml:space="preserve">          </w:t>
      </w:r>
      <w:r w:rsidRPr="00CE6106">
        <w:rPr>
          <w:rFonts w:ascii="Times New Roman" w:hAnsi="Times New Roman" w:cs="Times New Roman"/>
          <w:sz w:val="24"/>
        </w:rPr>
        <w:t xml:space="preserve">De plus, une autre analyse a été faite par rapport à la performance générale des enseignants. Comme on peut le constater dans le graphique ci-dessous, la performance attribuée aux enseignants par les élèves est plutôt similaire d’une université à l’autre. En fait, les étudiants ont attribué une note de 73 % en moyenne à leurs enseignants alors que la moyenne des autres universités était de 72%. On peut donc en conclure que l’UQTR </w:t>
      </w:r>
      <w:r w:rsidRPr="00CE6106">
        <w:rPr>
          <w:rFonts w:ascii="Times New Roman" w:hAnsi="Times New Roman" w:cs="Times New Roman"/>
          <w:sz w:val="24"/>
        </w:rPr>
        <w:lastRenderedPageBreak/>
        <w:t xml:space="preserve">suit les standards des autres établissements universitaires. De ce fait, il serait intéressant de voir la performance générale des enseignants de l’UQTR progresser à un niveau supérieur afin de profiter de l’avantage concurrentiel potentiel décrit dans l’Océan bleu. </w:t>
      </w:r>
    </w:p>
    <w:p w:rsidR="00CE6106" w:rsidRPr="00CE6106" w:rsidRDefault="00CE6106" w:rsidP="00CE6106">
      <w:pPr>
        <w:spacing w:line="360" w:lineRule="auto"/>
        <w:jc w:val="both"/>
        <w:rPr>
          <w:rFonts w:ascii="Times New Roman" w:hAnsi="Times New Roman" w:cs="Times New Roman"/>
          <w:sz w:val="24"/>
        </w:rPr>
      </w:pPr>
    </w:p>
    <w:p w:rsidR="00CE6106" w:rsidRPr="00CE6106" w:rsidRDefault="00CE6106" w:rsidP="00CE6106">
      <w:pPr>
        <w:spacing w:line="360" w:lineRule="auto"/>
        <w:jc w:val="both"/>
        <w:rPr>
          <w:rFonts w:ascii="Times New Roman" w:hAnsi="Times New Roman" w:cs="Times New Roman"/>
          <w:sz w:val="24"/>
        </w:rPr>
      </w:pPr>
      <w:r w:rsidRPr="00CE6106">
        <w:rPr>
          <w:rFonts w:ascii="Times New Roman" w:hAnsi="Times New Roman" w:cs="Times New Roman"/>
          <w:noProof/>
          <w:sz w:val="24"/>
          <w:lang w:eastAsia="fr-CA"/>
        </w:rPr>
        <w:drawing>
          <wp:inline distT="0" distB="0" distL="0" distR="0">
            <wp:extent cx="5181600" cy="2981325"/>
            <wp:effectExtent l="19050" t="0" r="0" b="0"/>
            <wp:docPr id="2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181600" cy="2981325"/>
                    </a:xfrm>
                    <a:prstGeom prst="rect">
                      <a:avLst/>
                    </a:prstGeom>
                    <a:noFill/>
                    <a:ln w="9525">
                      <a:noFill/>
                      <a:miter lim="800000"/>
                      <a:headEnd/>
                      <a:tailEnd/>
                    </a:ln>
                  </pic:spPr>
                </pic:pic>
              </a:graphicData>
            </a:graphic>
          </wp:inline>
        </w:drawing>
      </w:r>
    </w:p>
    <w:p w:rsidR="00CE6106" w:rsidRPr="00CE6106" w:rsidRDefault="00CE6106" w:rsidP="00CE6106">
      <w:pPr>
        <w:spacing w:line="360" w:lineRule="auto"/>
        <w:jc w:val="both"/>
        <w:rPr>
          <w:rFonts w:ascii="Times New Roman" w:hAnsi="Times New Roman" w:cs="Times New Roman"/>
          <w:sz w:val="24"/>
        </w:rPr>
      </w:pPr>
      <w:r w:rsidRPr="00CE6106">
        <w:rPr>
          <w:rFonts w:ascii="Times New Roman" w:hAnsi="Times New Roman" w:cs="Times New Roman"/>
          <w:sz w:val="24"/>
        </w:rPr>
        <w:t xml:space="preserve">         </w:t>
      </w:r>
    </w:p>
    <w:p w:rsidR="00CE6106" w:rsidRPr="00CE6106" w:rsidRDefault="00CE6106" w:rsidP="00CE6106">
      <w:pPr>
        <w:spacing w:line="360" w:lineRule="auto"/>
        <w:jc w:val="both"/>
        <w:rPr>
          <w:rFonts w:ascii="Times New Roman" w:hAnsi="Times New Roman" w:cs="Times New Roman"/>
          <w:sz w:val="24"/>
        </w:rPr>
      </w:pPr>
      <w:r w:rsidRPr="00CE6106">
        <w:rPr>
          <w:rFonts w:ascii="Times New Roman" w:hAnsi="Times New Roman" w:cs="Times New Roman"/>
          <w:sz w:val="24"/>
        </w:rPr>
        <w:t xml:space="preserve">            En ce qui concerne la satisfaction à l’égard des programmes respectifs de chacun des répondants, ont peut constater dans le graphique ci-dessous que l’UQTR se mérite une note légèrement meilleure que la moyenne des autres universités. En fait, avec des moyennes respectives de 77% et 74 %, l’UQTR dépasse de 3% les autres universités. Une fois de plus comme décrit dans la l’Océan bleu,  une stratégie qui viserait encore plus à l’amélioration de la réputation des programmes enseignés permettrait à l’UQTR de bénéficier d’une supériorité face à ses principaux concurrents. </w:t>
      </w:r>
    </w:p>
    <w:p w:rsidR="00CE6106" w:rsidRPr="00CE6106" w:rsidRDefault="00CE6106" w:rsidP="00123FFA">
      <w:pPr>
        <w:spacing w:line="360" w:lineRule="auto"/>
        <w:jc w:val="both"/>
        <w:rPr>
          <w:rFonts w:ascii="Times New Roman" w:hAnsi="Times New Roman" w:cs="Times New Roman"/>
          <w:sz w:val="24"/>
        </w:rPr>
      </w:pPr>
      <w:r w:rsidRPr="00CE6106">
        <w:rPr>
          <w:rFonts w:ascii="Times New Roman" w:hAnsi="Times New Roman" w:cs="Times New Roman"/>
          <w:noProof/>
          <w:sz w:val="24"/>
          <w:lang w:eastAsia="fr-CA"/>
        </w:rPr>
        <w:lastRenderedPageBreak/>
        <w:drawing>
          <wp:anchor distT="0" distB="0" distL="114300" distR="114300" simplePos="0" relativeHeight="251652608" behindDoc="0" locked="0" layoutInCell="1" allowOverlap="1">
            <wp:simplePos x="0" y="0"/>
            <wp:positionH relativeFrom="column">
              <wp:posOffset>85725</wp:posOffset>
            </wp:positionH>
            <wp:positionV relativeFrom="paragraph">
              <wp:posOffset>-238125</wp:posOffset>
            </wp:positionV>
            <wp:extent cx="5235575" cy="3419475"/>
            <wp:effectExtent l="19050" t="0" r="3175" b="0"/>
            <wp:wrapThrough wrapText="bothSides">
              <wp:wrapPolygon edited="0">
                <wp:start x="-79" y="0"/>
                <wp:lineTo x="-79" y="21540"/>
                <wp:lineTo x="21613" y="21540"/>
                <wp:lineTo x="21613" y="0"/>
                <wp:lineTo x="-79" y="0"/>
              </wp:wrapPolygon>
            </wp:wrapThrough>
            <wp:docPr id="3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5235575" cy="3419475"/>
                    </a:xfrm>
                    <a:prstGeom prst="rect">
                      <a:avLst/>
                    </a:prstGeom>
                    <a:noFill/>
                    <a:ln w="9525">
                      <a:noFill/>
                      <a:miter lim="800000"/>
                      <a:headEnd/>
                      <a:tailEnd/>
                    </a:ln>
                  </pic:spPr>
                </pic:pic>
              </a:graphicData>
            </a:graphic>
          </wp:anchor>
        </w:drawing>
      </w:r>
      <w:r w:rsidRPr="00CE6106">
        <w:rPr>
          <w:rFonts w:ascii="Times New Roman" w:hAnsi="Times New Roman" w:cs="Times New Roman"/>
          <w:sz w:val="24"/>
        </w:rPr>
        <w:t xml:space="preserve">        Finalement, suite à l’analyse de notre sondage, nous avons pu établir un classement des universités québécoises. Il est à noter que plusieurs classements publiés habituellement dans les journaux sont évalués grâce à la performance des élèves. Notre sondage nous a plutôt permis d’évaluer la perception des étudiants à l’égard de la performance générale de leur université. Il est bien entendu que notre sondage ne permet pas d’établir des résultats d’une extrême fiabilité dû au fait du trop petit nombre de répondants. Par contre, celui-ci nous permet tout de même d’établir une tendance. </w:t>
      </w:r>
    </w:p>
    <w:p w:rsidR="00CE6106" w:rsidRDefault="00CE6106" w:rsidP="00CE6106">
      <w:pPr>
        <w:rPr>
          <w:rFonts w:ascii="Times New Roman" w:hAnsi="Times New Roman" w:cs="Times New Roman"/>
          <w:sz w:val="24"/>
        </w:rPr>
      </w:pPr>
      <w:r w:rsidRPr="00CE6106">
        <w:rPr>
          <w:rFonts w:ascii="Times New Roman" w:hAnsi="Times New Roman" w:cs="Times New Roman"/>
          <w:sz w:val="24"/>
        </w:rPr>
        <w:t>Voici donc</w:t>
      </w:r>
      <w:r w:rsidR="00E21339">
        <w:rPr>
          <w:rFonts w:ascii="Times New Roman" w:hAnsi="Times New Roman" w:cs="Times New Roman"/>
          <w:sz w:val="24"/>
        </w:rPr>
        <w:t>, à la page suivante,</w:t>
      </w:r>
      <w:r w:rsidRPr="00CE6106">
        <w:rPr>
          <w:rFonts w:ascii="Times New Roman" w:hAnsi="Times New Roman" w:cs="Times New Roman"/>
          <w:sz w:val="24"/>
        </w:rPr>
        <w:t xml:space="preserve"> le classement réalisé au niveau québécois : </w:t>
      </w:r>
    </w:p>
    <w:tbl>
      <w:tblPr>
        <w:tblStyle w:val="Tramemoyenne2-Accent5"/>
        <w:tblW w:w="3640" w:type="pct"/>
        <w:jc w:val="center"/>
        <w:tblLook w:val="0660"/>
      </w:tblPr>
      <w:tblGrid>
        <w:gridCol w:w="2150"/>
        <w:gridCol w:w="2149"/>
        <w:gridCol w:w="2148"/>
      </w:tblGrid>
      <w:tr w:rsidR="00CE6106" w:rsidRPr="00CE6106" w:rsidTr="00E21339">
        <w:trPr>
          <w:cnfStyle w:val="100000000000"/>
          <w:trHeight w:val="159"/>
          <w:jc w:val="center"/>
        </w:trPr>
        <w:tc>
          <w:tcPr>
            <w:tcW w:w="1667" w:type="pct"/>
            <w:tcBorders>
              <w:left w:val="single" w:sz="12" w:space="0" w:color="auto"/>
              <w:right w:val="single" w:sz="4" w:space="0" w:color="auto"/>
            </w:tcBorders>
            <w:shd w:val="clear" w:color="auto" w:fill="00703C"/>
            <w:noWrap/>
          </w:tcPr>
          <w:p w:rsidR="00CE6106" w:rsidRPr="00CE6106" w:rsidRDefault="00CE6106" w:rsidP="00CE6106">
            <w:pPr>
              <w:jc w:val="center"/>
              <w:rPr>
                <w:rFonts w:ascii="Times New Roman" w:hAnsi="Times New Roman" w:cs="Times New Roman"/>
              </w:rPr>
            </w:pPr>
            <w:r w:rsidRPr="00CE6106">
              <w:rPr>
                <w:rFonts w:ascii="Times New Roman" w:hAnsi="Times New Roman" w:cs="Times New Roman"/>
              </w:rPr>
              <w:t>Université</w:t>
            </w:r>
          </w:p>
        </w:tc>
        <w:tc>
          <w:tcPr>
            <w:tcW w:w="1667" w:type="pct"/>
            <w:tcBorders>
              <w:left w:val="single" w:sz="4" w:space="0" w:color="auto"/>
              <w:right w:val="single" w:sz="4" w:space="0" w:color="auto"/>
            </w:tcBorders>
            <w:shd w:val="clear" w:color="auto" w:fill="00703C"/>
          </w:tcPr>
          <w:p w:rsidR="00CE6106" w:rsidRPr="00CE6106" w:rsidRDefault="00CE6106" w:rsidP="00CE6106">
            <w:pPr>
              <w:jc w:val="center"/>
              <w:rPr>
                <w:rFonts w:ascii="Times New Roman" w:hAnsi="Times New Roman" w:cs="Times New Roman"/>
              </w:rPr>
            </w:pPr>
            <w:r w:rsidRPr="00CE6106">
              <w:rPr>
                <w:rFonts w:ascii="Times New Roman" w:hAnsi="Times New Roman" w:cs="Times New Roman"/>
              </w:rPr>
              <w:t>Note</w:t>
            </w:r>
          </w:p>
        </w:tc>
        <w:tc>
          <w:tcPr>
            <w:tcW w:w="1666" w:type="pct"/>
            <w:tcBorders>
              <w:left w:val="single" w:sz="4" w:space="0" w:color="auto"/>
              <w:right w:val="single" w:sz="12" w:space="0" w:color="auto"/>
            </w:tcBorders>
            <w:shd w:val="clear" w:color="auto" w:fill="00703C"/>
          </w:tcPr>
          <w:p w:rsidR="00CE6106" w:rsidRPr="00CE6106" w:rsidRDefault="00CE6106" w:rsidP="00CE6106">
            <w:pPr>
              <w:jc w:val="center"/>
              <w:rPr>
                <w:rFonts w:ascii="Times New Roman" w:hAnsi="Times New Roman" w:cs="Times New Roman"/>
              </w:rPr>
            </w:pPr>
            <w:r w:rsidRPr="00CE6106">
              <w:rPr>
                <w:rFonts w:ascii="Times New Roman" w:hAnsi="Times New Roman" w:cs="Times New Roman"/>
              </w:rPr>
              <w:t>Classement</w:t>
            </w:r>
          </w:p>
        </w:tc>
      </w:tr>
      <w:tr w:rsidR="00CE6106" w:rsidRPr="00CE6106" w:rsidTr="00CE6106">
        <w:trPr>
          <w:trHeight w:val="245"/>
          <w:jc w:val="center"/>
        </w:trPr>
        <w:tc>
          <w:tcPr>
            <w:tcW w:w="1667" w:type="pct"/>
            <w:tcBorders>
              <w:left w:val="single" w:sz="12" w:space="0" w:color="auto"/>
              <w:bottom w:val="single" w:sz="8" w:space="0" w:color="auto"/>
              <w:right w:val="single" w:sz="4" w:space="0" w:color="auto"/>
            </w:tcBorders>
            <w:noWrap/>
          </w:tcPr>
          <w:p w:rsidR="00CE6106" w:rsidRPr="00CE6106" w:rsidRDefault="00CE6106" w:rsidP="00CE6106">
            <w:pPr>
              <w:jc w:val="center"/>
              <w:rPr>
                <w:rFonts w:ascii="Times New Roman" w:hAnsi="Times New Roman" w:cs="Times New Roman"/>
                <w:b/>
                <w:bCs/>
                <w:color w:val="000000"/>
                <w:lang w:val="en-CA"/>
              </w:rPr>
            </w:pPr>
            <w:proofErr w:type="spellStart"/>
            <w:r w:rsidRPr="00CE6106">
              <w:rPr>
                <w:rFonts w:ascii="Times New Roman" w:hAnsi="Times New Roman" w:cs="Times New Roman"/>
                <w:b/>
                <w:bCs/>
                <w:color w:val="000000"/>
                <w:lang w:val="en-CA"/>
              </w:rPr>
              <w:t>Sherbrooke</w:t>
            </w:r>
            <w:proofErr w:type="spellEnd"/>
          </w:p>
        </w:tc>
        <w:tc>
          <w:tcPr>
            <w:tcW w:w="1667" w:type="pct"/>
            <w:tcBorders>
              <w:left w:val="single" w:sz="4" w:space="0" w:color="auto"/>
              <w:bottom w:val="single" w:sz="8" w:space="0" w:color="auto"/>
              <w:right w:val="single" w:sz="4" w:space="0" w:color="auto"/>
            </w:tcBorders>
          </w:tcPr>
          <w:p w:rsidR="00CE6106" w:rsidRPr="00CE6106" w:rsidRDefault="00CE6106" w:rsidP="00CE6106">
            <w:pPr>
              <w:pStyle w:val="DecimalAligned"/>
              <w:spacing w:line="240" w:lineRule="auto"/>
              <w:jc w:val="center"/>
              <w:rPr>
                <w:rFonts w:ascii="Times New Roman" w:hAnsi="Times New Roman" w:cs="Times New Roman"/>
                <w:lang w:val="en-CA"/>
              </w:rPr>
            </w:pPr>
            <w:r w:rsidRPr="00CE6106">
              <w:rPr>
                <w:rFonts w:ascii="Times New Roman" w:hAnsi="Times New Roman" w:cs="Times New Roman"/>
                <w:lang w:val="en-CA"/>
              </w:rPr>
              <w:t>85%</w:t>
            </w:r>
          </w:p>
        </w:tc>
        <w:tc>
          <w:tcPr>
            <w:tcW w:w="1666" w:type="pct"/>
            <w:tcBorders>
              <w:left w:val="single" w:sz="4" w:space="0" w:color="auto"/>
              <w:bottom w:val="single" w:sz="8" w:space="0" w:color="auto"/>
              <w:right w:val="single" w:sz="12" w:space="0" w:color="auto"/>
            </w:tcBorders>
          </w:tcPr>
          <w:p w:rsidR="00CE6106" w:rsidRPr="00CE6106" w:rsidRDefault="00CE6106" w:rsidP="00CE6106">
            <w:pPr>
              <w:pStyle w:val="DecimalAligned"/>
              <w:spacing w:line="240" w:lineRule="auto"/>
              <w:jc w:val="center"/>
              <w:rPr>
                <w:rFonts w:ascii="Times New Roman" w:hAnsi="Times New Roman" w:cs="Times New Roman"/>
                <w:lang w:val="en-CA"/>
              </w:rPr>
            </w:pPr>
            <w:r w:rsidRPr="00CE6106">
              <w:rPr>
                <w:rFonts w:ascii="Times New Roman" w:hAnsi="Times New Roman" w:cs="Times New Roman"/>
                <w:lang w:val="en-CA"/>
              </w:rPr>
              <w:t>1 (</w:t>
            </w:r>
            <w:proofErr w:type="spellStart"/>
            <w:r w:rsidRPr="00CE6106">
              <w:rPr>
                <w:rFonts w:ascii="Times New Roman" w:hAnsi="Times New Roman" w:cs="Times New Roman"/>
                <w:lang w:val="en-CA"/>
              </w:rPr>
              <w:t>égalité</w:t>
            </w:r>
            <w:proofErr w:type="spellEnd"/>
            <w:r w:rsidRPr="00CE6106">
              <w:rPr>
                <w:rFonts w:ascii="Times New Roman" w:hAnsi="Times New Roman" w:cs="Times New Roman"/>
                <w:lang w:val="en-CA"/>
              </w:rPr>
              <w:t>)</w:t>
            </w:r>
          </w:p>
        </w:tc>
      </w:tr>
      <w:tr w:rsidR="00CE6106" w:rsidRPr="00CE6106" w:rsidTr="00CE6106">
        <w:trPr>
          <w:trHeight w:val="350"/>
          <w:jc w:val="center"/>
        </w:trPr>
        <w:tc>
          <w:tcPr>
            <w:tcW w:w="1667" w:type="pct"/>
            <w:tcBorders>
              <w:top w:val="single" w:sz="8" w:space="0" w:color="auto"/>
              <w:left w:val="single" w:sz="12" w:space="0" w:color="auto"/>
              <w:bottom w:val="single" w:sz="8" w:space="0" w:color="auto"/>
              <w:right w:val="single" w:sz="4" w:space="0" w:color="auto"/>
            </w:tcBorders>
            <w:noWrap/>
          </w:tcPr>
          <w:p w:rsidR="00CE6106" w:rsidRPr="00CE6106" w:rsidRDefault="00CE6106" w:rsidP="00CE6106">
            <w:pPr>
              <w:jc w:val="center"/>
              <w:rPr>
                <w:rFonts w:ascii="Times New Roman" w:hAnsi="Times New Roman" w:cs="Times New Roman"/>
                <w:b/>
                <w:bCs/>
                <w:color w:val="000000"/>
                <w:lang w:val="en-CA"/>
              </w:rPr>
            </w:pPr>
            <w:r w:rsidRPr="00CE6106">
              <w:rPr>
                <w:rFonts w:ascii="Times New Roman" w:hAnsi="Times New Roman" w:cs="Times New Roman"/>
                <w:b/>
                <w:bCs/>
                <w:color w:val="000000"/>
                <w:lang w:val="en-CA"/>
              </w:rPr>
              <w:t>HEC</w:t>
            </w:r>
          </w:p>
        </w:tc>
        <w:tc>
          <w:tcPr>
            <w:tcW w:w="1667" w:type="pct"/>
            <w:tcBorders>
              <w:top w:val="single" w:sz="8" w:space="0" w:color="auto"/>
              <w:left w:val="single" w:sz="4" w:space="0" w:color="auto"/>
              <w:bottom w:val="single" w:sz="8" w:space="0" w:color="auto"/>
              <w:right w:val="single" w:sz="4" w:space="0" w:color="auto"/>
            </w:tcBorders>
          </w:tcPr>
          <w:p w:rsidR="00CE6106" w:rsidRPr="00CE6106" w:rsidRDefault="00CE6106" w:rsidP="00CE6106">
            <w:pPr>
              <w:pStyle w:val="DecimalAligned"/>
              <w:spacing w:line="240" w:lineRule="auto"/>
              <w:jc w:val="center"/>
              <w:rPr>
                <w:rFonts w:ascii="Times New Roman" w:hAnsi="Times New Roman" w:cs="Times New Roman"/>
                <w:lang w:val="en-CA"/>
              </w:rPr>
            </w:pPr>
            <w:r w:rsidRPr="00CE6106">
              <w:rPr>
                <w:rFonts w:ascii="Times New Roman" w:hAnsi="Times New Roman" w:cs="Times New Roman"/>
                <w:lang w:val="en-CA"/>
              </w:rPr>
              <w:t>85%</w:t>
            </w:r>
          </w:p>
        </w:tc>
        <w:tc>
          <w:tcPr>
            <w:tcW w:w="1666" w:type="pct"/>
            <w:tcBorders>
              <w:top w:val="single" w:sz="8" w:space="0" w:color="auto"/>
              <w:left w:val="single" w:sz="4" w:space="0" w:color="auto"/>
              <w:bottom w:val="single" w:sz="8" w:space="0" w:color="auto"/>
              <w:right w:val="single" w:sz="12" w:space="0" w:color="auto"/>
            </w:tcBorders>
          </w:tcPr>
          <w:p w:rsidR="00CE6106" w:rsidRPr="00CE6106" w:rsidRDefault="00CE6106" w:rsidP="00CE6106">
            <w:pPr>
              <w:pStyle w:val="DecimalAligned"/>
              <w:spacing w:line="240" w:lineRule="auto"/>
              <w:jc w:val="center"/>
              <w:rPr>
                <w:rFonts w:ascii="Times New Roman" w:hAnsi="Times New Roman" w:cs="Times New Roman"/>
                <w:lang w:val="en-CA"/>
              </w:rPr>
            </w:pPr>
            <w:r w:rsidRPr="00CE6106">
              <w:rPr>
                <w:rFonts w:ascii="Times New Roman" w:hAnsi="Times New Roman" w:cs="Times New Roman"/>
                <w:lang w:val="en-CA"/>
              </w:rPr>
              <w:t>1 (</w:t>
            </w:r>
            <w:proofErr w:type="spellStart"/>
            <w:r w:rsidRPr="00CE6106">
              <w:rPr>
                <w:rFonts w:ascii="Times New Roman" w:hAnsi="Times New Roman" w:cs="Times New Roman"/>
                <w:lang w:val="en-CA"/>
              </w:rPr>
              <w:t>égalité</w:t>
            </w:r>
            <w:proofErr w:type="spellEnd"/>
            <w:r w:rsidRPr="00CE6106">
              <w:rPr>
                <w:rFonts w:ascii="Times New Roman" w:hAnsi="Times New Roman" w:cs="Times New Roman"/>
                <w:lang w:val="en-CA"/>
              </w:rPr>
              <w:t>)</w:t>
            </w:r>
          </w:p>
        </w:tc>
      </w:tr>
      <w:tr w:rsidR="00CE6106" w:rsidRPr="00CE6106" w:rsidTr="00CE6106">
        <w:trPr>
          <w:trHeight w:val="245"/>
          <w:jc w:val="center"/>
        </w:trPr>
        <w:tc>
          <w:tcPr>
            <w:tcW w:w="1667" w:type="pct"/>
            <w:tcBorders>
              <w:top w:val="single" w:sz="8" w:space="0" w:color="auto"/>
              <w:left w:val="single" w:sz="12" w:space="0" w:color="auto"/>
              <w:bottom w:val="single" w:sz="8" w:space="0" w:color="auto"/>
              <w:right w:val="single" w:sz="4" w:space="0" w:color="auto"/>
            </w:tcBorders>
            <w:noWrap/>
          </w:tcPr>
          <w:p w:rsidR="00CE6106" w:rsidRPr="00CE6106" w:rsidRDefault="00CE6106" w:rsidP="00CE6106">
            <w:pPr>
              <w:jc w:val="center"/>
              <w:rPr>
                <w:rFonts w:ascii="Times New Roman" w:hAnsi="Times New Roman" w:cs="Times New Roman"/>
                <w:b/>
                <w:bCs/>
                <w:color w:val="000000"/>
                <w:lang w:val="en-CA"/>
              </w:rPr>
            </w:pPr>
            <w:r w:rsidRPr="00CE6106">
              <w:rPr>
                <w:rFonts w:ascii="Times New Roman" w:hAnsi="Times New Roman" w:cs="Times New Roman"/>
                <w:b/>
                <w:bCs/>
                <w:color w:val="000000"/>
                <w:lang w:val="en-CA"/>
              </w:rPr>
              <w:t>McGill</w:t>
            </w:r>
          </w:p>
        </w:tc>
        <w:tc>
          <w:tcPr>
            <w:tcW w:w="1667" w:type="pct"/>
            <w:tcBorders>
              <w:top w:val="single" w:sz="8" w:space="0" w:color="auto"/>
              <w:left w:val="single" w:sz="4" w:space="0" w:color="auto"/>
              <w:bottom w:val="single" w:sz="8" w:space="0" w:color="auto"/>
              <w:right w:val="single" w:sz="4" w:space="0" w:color="auto"/>
            </w:tcBorders>
          </w:tcPr>
          <w:p w:rsidR="00CE6106" w:rsidRPr="00CE6106" w:rsidRDefault="00CE6106" w:rsidP="00CE6106">
            <w:pPr>
              <w:pStyle w:val="DecimalAligned"/>
              <w:spacing w:line="240" w:lineRule="auto"/>
              <w:jc w:val="center"/>
              <w:rPr>
                <w:rFonts w:ascii="Times New Roman" w:hAnsi="Times New Roman" w:cs="Times New Roman"/>
                <w:lang w:val="en-CA"/>
              </w:rPr>
            </w:pPr>
            <w:r w:rsidRPr="00CE6106">
              <w:rPr>
                <w:rFonts w:ascii="Times New Roman" w:hAnsi="Times New Roman" w:cs="Times New Roman"/>
                <w:lang w:val="en-CA"/>
              </w:rPr>
              <w:t>80%</w:t>
            </w:r>
          </w:p>
        </w:tc>
        <w:tc>
          <w:tcPr>
            <w:tcW w:w="1666" w:type="pct"/>
            <w:tcBorders>
              <w:top w:val="single" w:sz="8" w:space="0" w:color="auto"/>
              <w:left w:val="single" w:sz="4" w:space="0" w:color="auto"/>
              <w:bottom w:val="single" w:sz="8" w:space="0" w:color="auto"/>
              <w:right w:val="single" w:sz="12" w:space="0" w:color="auto"/>
            </w:tcBorders>
          </w:tcPr>
          <w:p w:rsidR="00CE6106" w:rsidRPr="00CE6106" w:rsidRDefault="00CE6106" w:rsidP="00CE6106">
            <w:pPr>
              <w:pStyle w:val="DecimalAligned"/>
              <w:spacing w:line="240" w:lineRule="auto"/>
              <w:jc w:val="center"/>
              <w:rPr>
                <w:rFonts w:ascii="Times New Roman" w:hAnsi="Times New Roman" w:cs="Times New Roman"/>
                <w:lang w:val="en-CA"/>
              </w:rPr>
            </w:pPr>
            <w:r w:rsidRPr="00CE6106">
              <w:rPr>
                <w:rFonts w:ascii="Times New Roman" w:hAnsi="Times New Roman" w:cs="Times New Roman"/>
                <w:lang w:val="en-CA"/>
              </w:rPr>
              <w:t>2</w:t>
            </w:r>
          </w:p>
        </w:tc>
      </w:tr>
      <w:tr w:rsidR="00CE6106" w:rsidRPr="00CE6106" w:rsidTr="00CE6106">
        <w:trPr>
          <w:trHeight w:val="113"/>
          <w:jc w:val="center"/>
        </w:trPr>
        <w:tc>
          <w:tcPr>
            <w:tcW w:w="1667" w:type="pct"/>
            <w:tcBorders>
              <w:top w:val="single" w:sz="8" w:space="0" w:color="auto"/>
              <w:left w:val="single" w:sz="12" w:space="0" w:color="auto"/>
              <w:bottom w:val="single" w:sz="8" w:space="0" w:color="auto"/>
              <w:right w:val="single" w:sz="4" w:space="0" w:color="auto"/>
            </w:tcBorders>
            <w:noWrap/>
          </w:tcPr>
          <w:p w:rsidR="00CE6106" w:rsidRPr="00CE6106" w:rsidRDefault="00CE6106" w:rsidP="00CE6106">
            <w:pPr>
              <w:jc w:val="center"/>
              <w:rPr>
                <w:rFonts w:ascii="Times New Roman" w:hAnsi="Times New Roman" w:cs="Times New Roman"/>
                <w:b/>
                <w:bCs/>
                <w:color w:val="000000"/>
                <w:lang w:val="en-CA"/>
              </w:rPr>
            </w:pPr>
            <w:r w:rsidRPr="00CE6106">
              <w:rPr>
                <w:rFonts w:ascii="Times New Roman" w:hAnsi="Times New Roman" w:cs="Times New Roman"/>
                <w:b/>
                <w:bCs/>
                <w:color w:val="000000"/>
                <w:lang w:val="en-CA"/>
              </w:rPr>
              <w:t>Laval</w:t>
            </w:r>
          </w:p>
        </w:tc>
        <w:tc>
          <w:tcPr>
            <w:tcW w:w="1667" w:type="pct"/>
            <w:tcBorders>
              <w:top w:val="single" w:sz="8" w:space="0" w:color="auto"/>
              <w:left w:val="single" w:sz="4" w:space="0" w:color="auto"/>
              <w:bottom w:val="single" w:sz="8" w:space="0" w:color="auto"/>
              <w:right w:val="single" w:sz="4" w:space="0" w:color="auto"/>
            </w:tcBorders>
          </w:tcPr>
          <w:p w:rsidR="00CE6106" w:rsidRPr="00CE6106" w:rsidRDefault="00CE6106" w:rsidP="00CE6106">
            <w:pPr>
              <w:pStyle w:val="DecimalAligned"/>
              <w:spacing w:line="240" w:lineRule="auto"/>
              <w:jc w:val="center"/>
              <w:rPr>
                <w:rFonts w:ascii="Times New Roman" w:hAnsi="Times New Roman" w:cs="Times New Roman"/>
                <w:lang w:val="en-CA"/>
              </w:rPr>
            </w:pPr>
            <w:r w:rsidRPr="00CE6106">
              <w:rPr>
                <w:rFonts w:ascii="Times New Roman" w:hAnsi="Times New Roman" w:cs="Times New Roman"/>
                <w:lang w:val="en-CA"/>
              </w:rPr>
              <w:t>79%</w:t>
            </w:r>
          </w:p>
        </w:tc>
        <w:tc>
          <w:tcPr>
            <w:tcW w:w="1666" w:type="pct"/>
            <w:tcBorders>
              <w:top w:val="single" w:sz="8" w:space="0" w:color="auto"/>
              <w:left w:val="single" w:sz="4" w:space="0" w:color="auto"/>
              <w:bottom w:val="single" w:sz="8" w:space="0" w:color="auto"/>
              <w:right w:val="single" w:sz="12" w:space="0" w:color="auto"/>
            </w:tcBorders>
          </w:tcPr>
          <w:p w:rsidR="00CE6106" w:rsidRPr="00CE6106" w:rsidRDefault="00CE6106" w:rsidP="00CE6106">
            <w:pPr>
              <w:pStyle w:val="DecimalAligned"/>
              <w:spacing w:line="240" w:lineRule="auto"/>
              <w:jc w:val="center"/>
              <w:rPr>
                <w:rFonts w:ascii="Times New Roman" w:hAnsi="Times New Roman" w:cs="Times New Roman"/>
                <w:lang w:val="en-CA"/>
              </w:rPr>
            </w:pPr>
            <w:r w:rsidRPr="00CE6106">
              <w:rPr>
                <w:rFonts w:ascii="Times New Roman" w:hAnsi="Times New Roman" w:cs="Times New Roman"/>
                <w:lang w:val="en-CA"/>
              </w:rPr>
              <w:t>3</w:t>
            </w:r>
          </w:p>
        </w:tc>
      </w:tr>
      <w:tr w:rsidR="00CE6106" w:rsidRPr="00CE6106" w:rsidTr="00CE6106">
        <w:trPr>
          <w:trHeight w:val="75"/>
          <w:jc w:val="center"/>
        </w:trPr>
        <w:tc>
          <w:tcPr>
            <w:tcW w:w="1667" w:type="pct"/>
            <w:tcBorders>
              <w:top w:val="single" w:sz="8" w:space="0" w:color="auto"/>
              <w:left w:val="single" w:sz="12" w:space="0" w:color="auto"/>
              <w:bottom w:val="single" w:sz="8" w:space="0" w:color="auto"/>
              <w:right w:val="single" w:sz="4" w:space="0" w:color="auto"/>
            </w:tcBorders>
            <w:noWrap/>
          </w:tcPr>
          <w:p w:rsidR="00CE6106" w:rsidRPr="00CE6106" w:rsidRDefault="00CE6106" w:rsidP="00CE6106">
            <w:pPr>
              <w:jc w:val="center"/>
              <w:rPr>
                <w:rFonts w:ascii="Times New Roman" w:hAnsi="Times New Roman" w:cs="Times New Roman"/>
                <w:b/>
                <w:bCs/>
                <w:color w:val="000000"/>
                <w:lang w:val="en-CA"/>
              </w:rPr>
            </w:pPr>
            <w:r w:rsidRPr="00CE6106">
              <w:rPr>
                <w:rFonts w:ascii="Times New Roman" w:hAnsi="Times New Roman" w:cs="Times New Roman"/>
                <w:b/>
                <w:bCs/>
                <w:color w:val="000000"/>
                <w:lang w:val="en-CA"/>
              </w:rPr>
              <w:t>UQTR</w:t>
            </w:r>
          </w:p>
        </w:tc>
        <w:tc>
          <w:tcPr>
            <w:tcW w:w="1667" w:type="pct"/>
            <w:tcBorders>
              <w:top w:val="single" w:sz="8" w:space="0" w:color="auto"/>
              <w:left w:val="single" w:sz="4" w:space="0" w:color="auto"/>
              <w:bottom w:val="single" w:sz="8" w:space="0" w:color="auto"/>
              <w:right w:val="single" w:sz="4" w:space="0" w:color="auto"/>
            </w:tcBorders>
          </w:tcPr>
          <w:p w:rsidR="00CE6106" w:rsidRPr="00CE6106" w:rsidRDefault="00CE6106" w:rsidP="00CE6106">
            <w:pPr>
              <w:pStyle w:val="DecimalAligned"/>
              <w:spacing w:line="240" w:lineRule="auto"/>
              <w:jc w:val="center"/>
              <w:rPr>
                <w:rFonts w:ascii="Times New Roman" w:hAnsi="Times New Roman" w:cs="Times New Roman"/>
                <w:lang w:val="en-CA"/>
              </w:rPr>
            </w:pPr>
            <w:r w:rsidRPr="00CE6106">
              <w:rPr>
                <w:rFonts w:ascii="Times New Roman" w:hAnsi="Times New Roman" w:cs="Times New Roman"/>
                <w:lang w:val="en-CA"/>
              </w:rPr>
              <w:t>76%</w:t>
            </w:r>
          </w:p>
        </w:tc>
        <w:tc>
          <w:tcPr>
            <w:tcW w:w="1666" w:type="pct"/>
            <w:tcBorders>
              <w:top w:val="single" w:sz="8" w:space="0" w:color="auto"/>
              <w:left w:val="single" w:sz="4" w:space="0" w:color="auto"/>
              <w:bottom w:val="single" w:sz="8" w:space="0" w:color="auto"/>
              <w:right w:val="single" w:sz="12" w:space="0" w:color="auto"/>
            </w:tcBorders>
          </w:tcPr>
          <w:p w:rsidR="00CE6106" w:rsidRPr="00CE6106" w:rsidRDefault="00CE6106" w:rsidP="00CE6106">
            <w:pPr>
              <w:pStyle w:val="DecimalAligned"/>
              <w:spacing w:line="240" w:lineRule="auto"/>
              <w:jc w:val="center"/>
              <w:rPr>
                <w:rFonts w:ascii="Times New Roman" w:hAnsi="Times New Roman" w:cs="Times New Roman"/>
                <w:lang w:val="en-CA"/>
              </w:rPr>
            </w:pPr>
            <w:r w:rsidRPr="00CE6106">
              <w:rPr>
                <w:rFonts w:ascii="Times New Roman" w:hAnsi="Times New Roman" w:cs="Times New Roman"/>
                <w:lang w:val="en-CA"/>
              </w:rPr>
              <w:t>4</w:t>
            </w:r>
          </w:p>
        </w:tc>
      </w:tr>
      <w:tr w:rsidR="00CE6106" w:rsidRPr="00CE6106" w:rsidTr="00CE6106">
        <w:trPr>
          <w:trHeight w:val="75"/>
          <w:jc w:val="center"/>
        </w:trPr>
        <w:tc>
          <w:tcPr>
            <w:tcW w:w="1667" w:type="pct"/>
            <w:tcBorders>
              <w:top w:val="single" w:sz="8" w:space="0" w:color="auto"/>
              <w:left w:val="single" w:sz="12" w:space="0" w:color="auto"/>
              <w:bottom w:val="single" w:sz="8" w:space="0" w:color="auto"/>
              <w:right w:val="single" w:sz="4" w:space="0" w:color="auto"/>
            </w:tcBorders>
            <w:noWrap/>
          </w:tcPr>
          <w:p w:rsidR="00CE6106" w:rsidRPr="00CE6106" w:rsidRDefault="00CE6106" w:rsidP="00CE6106">
            <w:pPr>
              <w:jc w:val="center"/>
              <w:rPr>
                <w:rFonts w:ascii="Times New Roman" w:hAnsi="Times New Roman" w:cs="Times New Roman"/>
                <w:b/>
                <w:bCs/>
                <w:color w:val="000000"/>
                <w:lang w:val="en-CA"/>
              </w:rPr>
            </w:pPr>
            <w:r w:rsidRPr="00CE6106">
              <w:rPr>
                <w:rFonts w:ascii="Times New Roman" w:hAnsi="Times New Roman" w:cs="Times New Roman"/>
                <w:b/>
                <w:bCs/>
                <w:color w:val="000000"/>
                <w:lang w:val="en-CA"/>
              </w:rPr>
              <w:t>UD</w:t>
            </w:r>
            <w:r w:rsidR="000F7EDB">
              <w:rPr>
                <w:rFonts w:ascii="Times New Roman" w:hAnsi="Times New Roman" w:cs="Times New Roman"/>
                <w:b/>
                <w:bCs/>
                <w:color w:val="000000"/>
                <w:lang w:val="en-CA"/>
              </w:rPr>
              <w:t>E</w:t>
            </w:r>
            <w:r w:rsidRPr="00CE6106">
              <w:rPr>
                <w:rFonts w:ascii="Times New Roman" w:hAnsi="Times New Roman" w:cs="Times New Roman"/>
                <w:b/>
                <w:bCs/>
                <w:color w:val="000000"/>
                <w:lang w:val="en-CA"/>
              </w:rPr>
              <w:t>M</w:t>
            </w:r>
          </w:p>
        </w:tc>
        <w:tc>
          <w:tcPr>
            <w:tcW w:w="1667" w:type="pct"/>
            <w:tcBorders>
              <w:top w:val="single" w:sz="8" w:space="0" w:color="auto"/>
              <w:left w:val="single" w:sz="4" w:space="0" w:color="auto"/>
              <w:bottom w:val="single" w:sz="8" w:space="0" w:color="auto"/>
              <w:right w:val="single" w:sz="4" w:space="0" w:color="auto"/>
            </w:tcBorders>
          </w:tcPr>
          <w:p w:rsidR="00CE6106" w:rsidRPr="00CE6106" w:rsidRDefault="00CE6106" w:rsidP="00CE6106">
            <w:pPr>
              <w:pStyle w:val="DecimalAligned"/>
              <w:spacing w:line="240" w:lineRule="auto"/>
              <w:jc w:val="center"/>
              <w:rPr>
                <w:rFonts w:ascii="Times New Roman" w:hAnsi="Times New Roman" w:cs="Times New Roman"/>
                <w:lang w:val="en-CA"/>
              </w:rPr>
            </w:pPr>
            <w:r w:rsidRPr="00CE6106">
              <w:rPr>
                <w:rFonts w:ascii="Times New Roman" w:hAnsi="Times New Roman" w:cs="Times New Roman"/>
                <w:lang w:val="en-CA"/>
              </w:rPr>
              <w:t>75%</w:t>
            </w:r>
          </w:p>
        </w:tc>
        <w:tc>
          <w:tcPr>
            <w:tcW w:w="1666" w:type="pct"/>
            <w:tcBorders>
              <w:top w:val="single" w:sz="8" w:space="0" w:color="auto"/>
              <w:left w:val="single" w:sz="4" w:space="0" w:color="auto"/>
              <w:bottom w:val="single" w:sz="8" w:space="0" w:color="auto"/>
              <w:right w:val="single" w:sz="12" w:space="0" w:color="auto"/>
            </w:tcBorders>
          </w:tcPr>
          <w:p w:rsidR="00CE6106" w:rsidRPr="00CE6106" w:rsidRDefault="00CE6106" w:rsidP="00CE6106">
            <w:pPr>
              <w:pStyle w:val="DecimalAligned"/>
              <w:spacing w:line="240" w:lineRule="auto"/>
              <w:jc w:val="center"/>
              <w:rPr>
                <w:rFonts w:ascii="Times New Roman" w:hAnsi="Times New Roman" w:cs="Times New Roman"/>
                <w:lang w:val="en-CA"/>
              </w:rPr>
            </w:pPr>
            <w:r w:rsidRPr="00CE6106">
              <w:rPr>
                <w:rFonts w:ascii="Times New Roman" w:hAnsi="Times New Roman" w:cs="Times New Roman"/>
                <w:lang w:val="en-CA"/>
              </w:rPr>
              <w:t>5</w:t>
            </w:r>
          </w:p>
        </w:tc>
      </w:tr>
      <w:tr w:rsidR="00CE6106" w:rsidRPr="00CE6106" w:rsidTr="00CE6106">
        <w:trPr>
          <w:trHeight w:val="122"/>
          <w:jc w:val="center"/>
        </w:trPr>
        <w:tc>
          <w:tcPr>
            <w:tcW w:w="1667" w:type="pct"/>
            <w:tcBorders>
              <w:top w:val="single" w:sz="8" w:space="0" w:color="auto"/>
              <w:left w:val="single" w:sz="12" w:space="0" w:color="auto"/>
              <w:bottom w:val="thinThickSmallGap" w:sz="12" w:space="0" w:color="auto"/>
              <w:right w:val="single" w:sz="4" w:space="0" w:color="auto"/>
            </w:tcBorders>
            <w:noWrap/>
          </w:tcPr>
          <w:p w:rsidR="00CE6106" w:rsidRPr="00CE6106" w:rsidRDefault="00CE6106" w:rsidP="00CE6106">
            <w:pPr>
              <w:jc w:val="center"/>
              <w:rPr>
                <w:rFonts w:ascii="Times New Roman" w:hAnsi="Times New Roman" w:cs="Times New Roman"/>
                <w:b/>
                <w:bCs/>
                <w:color w:val="000000"/>
                <w:lang w:val="en-CA"/>
              </w:rPr>
            </w:pPr>
            <w:r w:rsidRPr="00CE6106">
              <w:rPr>
                <w:rFonts w:ascii="Times New Roman" w:hAnsi="Times New Roman" w:cs="Times New Roman"/>
                <w:b/>
                <w:bCs/>
                <w:color w:val="000000"/>
                <w:lang w:val="en-CA"/>
              </w:rPr>
              <w:t>Concordia</w:t>
            </w:r>
          </w:p>
        </w:tc>
        <w:tc>
          <w:tcPr>
            <w:tcW w:w="1667" w:type="pct"/>
            <w:tcBorders>
              <w:top w:val="single" w:sz="8" w:space="0" w:color="auto"/>
              <w:left w:val="single" w:sz="4" w:space="0" w:color="auto"/>
              <w:bottom w:val="thinThickSmallGap" w:sz="12" w:space="0" w:color="auto"/>
              <w:right w:val="single" w:sz="4" w:space="0" w:color="auto"/>
            </w:tcBorders>
          </w:tcPr>
          <w:p w:rsidR="00CE6106" w:rsidRPr="00CE6106" w:rsidRDefault="00CE6106" w:rsidP="00CE6106">
            <w:pPr>
              <w:pStyle w:val="DecimalAligned"/>
              <w:spacing w:line="240" w:lineRule="auto"/>
              <w:jc w:val="center"/>
              <w:rPr>
                <w:rFonts w:ascii="Times New Roman" w:hAnsi="Times New Roman" w:cs="Times New Roman"/>
                <w:lang w:val="en-CA"/>
              </w:rPr>
            </w:pPr>
            <w:r w:rsidRPr="00CE6106">
              <w:rPr>
                <w:rFonts w:ascii="Times New Roman" w:hAnsi="Times New Roman" w:cs="Times New Roman"/>
                <w:lang w:val="en-CA"/>
              </w:rPr>
              <w:t>70%</w:t>
            </w:r>
          </w:p>
        </w:tc>
        <w:tc>
          <w:tcPr>
            <w:tcW w:w="1666" w:type="pct"/>
            <w:tcBorders>
              <w:top w:val="single" w:sz="8" w:space="0" w:color="auto"/>
              <w:left w:val="single" w:sz="4" w:space="0" w:color="auto"/>
              <w:bottom w:val="thinThickSmallGap" w:sz="12" w:space="0" w:color="auto"/>
              <w:right w:val="single" w:sz="12" w:space="0" w:color="auto"/>
            </w:tcBorders>
          </w:tcPr>
          <w:p w:rsidR="00CE6106" w:rsidRPr="00CE6106" w:rsidRDefault="00CE6106" w:rsidP="00CE6106">
            <w:pPr>
              <w:pStyle w:val="DecimalAligned"/>
              <w:spacing w:line="240" w:lineRule="auto"/>
              <w:jc w:val="center"/>
              <w:rPr>
                <w:rFonts w:ascii="Times New Roman" w:hAnsi="Times New Roman" w:cs="Times New Roman"/>
                <w:lang w:val="en-CA"/>
              </w:rPr>
            </w:pPr>
            <w:r w:rsidRPr="00CE6106">
              <w:rPr>
                <w:rFonts w:ascii="Times New Roman" w:hAnsi="Times New Roman" w:cs="Times New Roman"/>
                <w:lang w:val="en-CA"/>
              </w:rPr>
              <w:t>6</w:t>
            </w:r>
          </w:p>
        </w:tc>
      </w:tr>
      <w:tr w:rsidR="00CE6106" w:rsidRPr="00CE6106" w:rsidTr="00E21339">
        <w:tblPrEx>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CellMar>
            <w:left w:w="70" w:type="dxa"/>
            <w:right w:w="70" w:type="dxa"/>
          </w:tblCellMar>
          <w:tblLook w:val="0000"/>
        </w:tblPrEx>
        <w:trPr>
          <w:trHeight w:val="185"/>
          <w:jc w:val="center"/>
        </w:trPr>
        <w:tc>
          <w:tcPr>
            <w:cnfStyle w:val="000010000000"/>
            <w:tcW w:w="5000" w:type="pct"/>
            <w:gridSpan w:val="3"/>
            <w:tcBorders>
              <w:top w:val="thinThickSmallGap" w:sz="12" w:space="0" w:color="auto"/>
              <w:left w:val="single" w:sz="6" w:space="0" w:color="auto"/>
              <w:bottom w:val="thinThickSmallGap" w:sz="12" w:space="0" w:color="auto"/>
              <w:right w:val="single" w:sz="6" w:space="0" w:color="auto"/>
            </w:tcBorders>
            <w:shd w:val="clear" w:color="auto" w:fill="C4960C"/>
          </w:tcPr>
          <w:p w:rsidR="00CE6106" w:rsidRPr="00CE6106" w:rsidRDefault="00CE6106" w:rsidP="00CE6106">
            <w:pPr>
              <w:ind w:left="108"/>
              <w:jc w:val="center"/>
              <w:rPr>
                <w:rFonts w:ascii="Times New Roman" w:hAnsi="Times New Roman" w:cs="Times New Roman"/>
                <w:sz w:val="24"/>
              </w:rPr>
            </w:pPr>
            <w:r w:rsidRPr="00CE6106">
              <w:rPr>
                <w:rFonts w:ascii="Times New Roman" w:hAnsi="Times New Roman" w:cs="Times New Roman"/>
                <w:sz w:val="24"/>
              </w:rPr>
              <w:t>Moyenne : 78,5%</w:t>
            </w:r>
          </w:p>
        </w:tc>
      </w:tr>
    </w:tbl>
    <w:p w:rsidR="00CE6106" w:rsidRPr="00CE6106" w:rsidRDefault="00CE6106" w:rsidP="00CE6106">
      <w:pPr>
        <w:spacing w:line="360" w:lineRule="auto"/>
        <w:rPr>
          <w:rFonts w:ascii="Times New Roman" w:hAnsi="Times New Roman" w:cs="Times New Roman"/>
          <w:sz w:val="24"/>
        </w:rPr>
      </w:pPr>
      <w:r w:rsidRPr="00CE6106">
        <w:rPr>
          <w:rFonts w:ascii="Times New Roman" w:hAnsi="Times New Roman" w:cs="Times New Roman"/>
          <w:sz w:val="24"/>
        </w:rPr>
        <w:lastRenderedPageBreak/>
        <w:t xml:space="preserve"> </w:t>
      </w:r>
    </w:p>
    <w:p w:rsidR="00CE6106" w:rsidRPr="00CE6106" w:rsidRDefault="00CE6106" w:rsidP="00CE6106">
      <w:pPr>
        <w:spacing w:line="360" w:lineRule="auto"/>
        <w:jc w:val="both"/>
        <w:rPr>
          <w:rFonts w:ascii="Times New Roman" w:hAnsi="Times New Roman" w:cs="Times New Roman"/>
          <w:sz w:val="24"/>
        </w:rPr>
      </w:pPr>
      <w:r w:rsidRPr="00CE6106">
        <w:rPr>
          <w:rFonts w:ascii="Times New Roman" w:hAnsi="Times New Roman" w:cs="Times New Roman"/>
          <w:sz w:val="24"/>
        </w:rPr>
        <w:t xml:space="preserve">            En regardant le tableau ci-haut on peut réaliser que les étudiants de l’UQTR attribuent une plus basse note à la performance générale de leur université que la moyenne des universités québécoises interrogées. Par contre, en ce qui a trait à la totalité des universités participantes au sondage, on peut réaliser que l’UQTR fait meilleure figue. En effet, face à ses concurrents mondiaux, l’université obtient une note moyenne de 76% alors que la moyenne mondiale est de 75%. </w:t>
      </w:r>
    </w:p>
    <w:p w:rsidR="00E21339" w:rsidRDefault="00CE6106" w:rsidP="00E21339">
      <w:pPr>
        <w:spacing w:line="360" w:lineRule="auto"/>
        <w:jc w:val="both"/>
        <w:rPr>
          <w:rFonts w:ascii="Times New Roman" w:hAnsi="Times New Roman" w:cs="Times New Roman"/>
          <w:sz w:val="24"/>
        </w:rPr>
      </w:pPr>
      <w:r w:rsidRPr="00CE6106">
        <w:rPr>
          <w:rFonts w:ascii="Times New Roman" w:hAnsi="Times New Roman" w:cs="Times New Roman"/>
          <w:sz w:val="24"/>
        </w:rPr>
        <w:t xml:space="preserve">On peut constater ces résultats grâce au graphique suivant : </w:t>
      </w:r>
    </w:p>
    <w:p w:rsidR="00CE6106" w:rsidRPr="00CE6106" w:rsidRDefault="00CE6106" w:rsidP="00E21339">
      <w:pPr>
        <w:spacing w:line="360" w:lineRule="auto"/>
        <w:jc w:val="both"/>
        <w:rPr>
          <w:rFonts w:ascii="Times New Roman" w:hAnsi="Times New Roman" w:cs="Times New Roman"/>
          <w:sz w:val="24"/>
        </w:rPr>
      </w:pPr>
      <w:r w:rsidRPr="00CE6106">
        <w:rPr>
          <w:rFonts w:ascii="Times New Roman" w:hAnsi="Times New Roman" w:cs="Times New Roman"/>
          <w:noProof/>
          <w:sz w:val="24"/>
          <w:lang w:eastAsia="fr-CA"/>
        </w:rPr>
        <w:drawing>
          <wp:inline distT="0" distB="0" distL="0" distR="0">
            <wp:extent cx="5486400" cy="3076575"/>
            <wp:effectExtent l="19050" t="0" r="0" b="0"/>
            <wp:docPr id="3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5486400" cy="3076575"/>
                    </a:xfrm>
                    <a:prstGeom prst="rect">
                      <a:avLst/>
                    </a:prstGeom>
                    <a:noFill/>
                    <a:ln w="9525">
                      <a:noFill/>
                      <a:miter lim="800000"/>
                      <a:headEnd/>
                      <a:tailEnd/>
                    </a:ln>
                  </pic:spPr>
                </pic:pic>
              </a:graphicData>
            </a:graphic>
          </wp:inline>
        </w:drawing>
      </w:r>
    </w:p>
    <w:p w:rsidR="00CE6106" w:rsidRPr="00CE6106" w:rsidRDefault="00CE6106" w:rsidP="00CE6106">
      <w:pPr>
        <w:spacing w:line="360" w:lineRule="auto"/>
        <w:rPr>
          <w:rFonts w:ascii="Times New Roman" w:hAnsi="Times New Roman" w:cs="Times New Roman"/>
          <w:sz w:val="24"/>
        </w:rPr>
      </w:pPr>
      <w:r w:rsidRPr="00CE6106">
        <w:rPr>
          <w:rFonts w:ascii="Times New Roman" w:hAnsi="Times New Roman" w:cs="Times New Roman"/>
          <w:b/>
          <w:sz w:val="24"/>
        </w:rPr>
        <w:t xml:space="preserve">Étalonnage avec les meilleures pratiques : </w:t>
      </w:r>
      <w:r w:rsidRPr="00CE6106">
        <w:rPr>
          <w:rFonts w:ascii="Times New Roman" w:hAnsi="Times New Roman" w:cs="Times New Roman"/>
          <w:sz w:val="24"/>
        </w:rPr>
        <w:t xml:space="preserve"> </w:t>
      </w:r>
    </w:p>
    <w:p w:rsidR="00CE6106" w:rsidRPr="00CE6106" w:rsidRDefault="00CE6106" w:rsidP="00CE6106">
      <w:pPr>
        <w:spacing w:line="360" w:lineRule="auto"/>
        <w:jc w:val="both"/>
        <w:rPr>
          <w:rFonts w:ascii="Times New Roman" w:hAnsi="Times New Roman" w:cs="Times New Roman"/>
          <w:sz w:val="24"/>
        </w:rPr>
      </w:pPr>
      <w:r w:rsidRPr="00CE6106">
        <w:rPr>
          <w:rFonts w:ascii="Times New Roman" w:hAnsi="Times New Roman" w:cs="Times New Roman"/>
          <w:sz w:val="24"/>
        </w:rPr>
        <w:t xml:space="preserve">         </w:t>
      </w:r>
      <w:r>
        <w:rPr>
          <w:rFonts w:ascii="Times New Roman" w:hAnsi="Times New Roman" w:cs="Times New Roman"/>
          <w:sz w:val="24"/>
        </w:rPr>
        <w:t>L’é</w:t>
      </w:r>
      <w:r w:rsidRPr="00CE6106">
        <w:rPr>
          <w:rFonts w:ascii="Times New Roman" w:hAnsi="Times New Roman" w:cs="Times New Roman"/>
          <w:sz w:val="24"/>
        </w:rPr>
        <w:t xml:space="preserve">talonnage avec les meilleures pratiques consiste à comparer une organisation avec les meilleures pratiques qui se situent hors de la frontière de son activité principale. Puisque l’éducation est un service, nous avons décidé de comparer l’UQTR avec une organisation qui est réputée comme ayant un des meilleurs services à la clientèle, soit BMW. Selon une étude réalisée par </w:t>
      </w:r>
      <w:proofErr w:type="spellStart"/>
      <w:r w:rsidRPr="00CE6106">
        <w:rPr>
          <w:rFonts w:ascii="Times New Roman" w:hAnsi="Times New Roman" w:cs="Times New Roman"/>
          <w:i/>
          <w:sz w:val="24"/>
        </w:rPr>
        <w:t>Human</w:t>
      </w:r>
      <w:proofErr w:type="spellEnd"/>
      <w:r w:rsidRPr="00CE6106">
        <w:rPr>
          <w:rFonts w:ascii="Times New Roman" w:hAnsi="Times New Roman" w:cs="Times New Roman"/>
          <w:i/>
          <w:sz w:val="24"/>
        </w:rPr>
        <w:t xml:space="preserve"> Consulting Group</w:t>
      </w:r>
      <w:r w:rsidRPr="00CE6106">
        <w:rPr>
          <w:rStyle w:val="Appelnotedebasdep"/>
          <w:rFonts w:ascii="Times New Roman" w:hAnsi="Times New Roman" w:cs="Times New Roman"/>
          <w:i/>
          <w:sz w:val="24"/>
        </w:rPr>
        <w:footnoteReference w:id="67"/>
      </w:r>
      <w:r w:rsidRPr="00CE6106">
        <w:rPr>
          <w:rFonts w:ascii="Times New Roman" w:hAnsi="Times New Roman" w:cs="Times New Roman"/>
          <w:sz w:val="24"/>
        </w:rPr>
        <w:t xml:space="preserve">sur plus de 200 entreprises, BMW s’est retrouvée bonne première concernant la qualité de son service à </w:t>
      </w:r>
      <w:r w:rsidRPr="00CE6106">
        <w:rPr>
          <w:rFonts w:ascii="Times New Roman" w:hAnsi="Times New Roman" w:cs="Times New Roman"/>
          <w:sz w:val="24"/>
        </w:rPr>
        <w:lastRenderedPageBreak/>
        <w:t xml:space="preserve">la clientèle. En effet, sur une possibilité de 20, cette entreprise a obtenu une note 17,86, soit 89%. L’UQTR quant à elle a obtenu une note de 76% face au service général offert aux étudiants (voir tableau classement des universités dans étalonnage des concurrents). Pour améliorer son service, l’UQTR pourrait imiter des caractéristiques propres à BMW comme l’amélioration de son site internet, l’amélioration du service direct aux clients ainsi qu’une présence accrue sur les réseaux sociaux. </w:t>
      </w:r>
    </w:p>
    <w:p w:rsidR="00CE6106" w:rsidRPr="00CD3975" w:rsidRDefault="00CE6106" w:rsidP="00CE6106">
      <w:pPr>
        <w:rPr>
          <w:rFonts w:ascii="Times New Roman" w:hAnsi="Times New Roman" w:cs="Times New Roman"/>
          <w:sz w:val="24"/>
        </w:rPr>
      </w:pPr>
    </w:p>
    <w:p w:rsidR="00E21339" w:rsidRPr="00E21339" w:rsidRDefault="00EE58D6" w:rsidP="00CA6E46">
      <w:pPr>
        <w:pStyle w:val="Titre4"/>
        <w:ind w:left="708"/>
        <w:rPr>
          <w:noProof/>
          <w:lang w:eastAsia="fr-CA"/>
        </w:rPr>
      </w:pPr>
      <w:bookmarkStart w:id="26" w:name="_Toc417486239"/>
      <w:r w:rsidRPr="00077152">
        <w:rPr>
          <w:noProof/>
          <w:lang w:eastAsia="fr-CA"/>
        </w:rPr>
        <w:t>3</w:t>
      </w:r>
      <w:r w:rsidR="00CA6E46" w:rsidRPr="00077152">
        <w:rPr>
          <w:noProof/>
          <w:lang w:eastAsia="fr-CA"/>
        </w:rPr>
        <w:t xml:space="preserve">.3.2 </w:t>
      </w:r>
      <w:r w:rsidR="00E21339" w:rsidRPr="00077152">
        <w:rPr>
          <w:noProof/>
          <w:lang w:eastAsia="fr-CA"/>
        </w:rPr>
        <w:t>Chaîne de valeur</w:t>
      </w:r>
      <w:bookmarkEnd w:id="26"/>
    </w:p>
    <w:p w:rsidR="009E3733" w:rsidRPr="00441F0A" w:rsidRDefault="00077152" w:rsidP="007D78BF">
      <w:pPr>
        <w:spacing w:line="360" w:lineRule="auto"/>
        <w:rPr>
          <w:rFonts w:ascii="Times New Roman" w:hAnsi="Times New Roman" w:cs="Times New Roman"/>
          <w:sz w:val="24"/>
          <w:szCs w:val="24"/>
        </w:rPr>
      </w:pPr>
      <w:r>
        <w:rPr>
          <w:rFonts w:ascii="Times New Roman" w:hAnsi="Times New Roman" w:cs="Times New Roman"/>
          <w:noProof/>
          <w:sz w:val="24"/>
          <w:szCs w:val="24"/>
          <w:lang w:eastAsia="fr-CA"/>
        </w:rPr>
        <w:drawing>
          <wp:inline distT="0" distB="0" distL="0" distR="0">
            <wp:extent cx="5486400" cy="3480435"/>
            <wp:effectExtent l="19050" t="0" r="0" b="0"/>
            <wp:docPr id="41" name="Image 7" descr="C:\Users\Célia\Documents\Administration des affaires\Hiver 2015\Gestion stratégique des entreprises\chaine de valeur vert nouvel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élia\Documents\Administration des affaires\Hiver 2015\Gestion stratégique des entreprises\chaine de valeur vert nouvelles.jpg"/>
                    <pic:cNvPicPr>
                      <a:picLocks noChangeAspect="1" noChangeArrowheads="1"/>
                    </pic:cNvPicPr>
                  </pic:nvPicPr>
                  <pic:blipFill>
                    <a:blip r:embed="rId26" cstate="print"/>
                    <a:srcRect/>
                    <a:stretch>
                      <a:fillRect/>
                    </a:stretch>
                  </pic:blipFill>
                  <pic:spPr bwMode="auto">
                    <a:xfrm>
                      <a:off x="0" y="0"/>
                      <a:ext cx="5486400" cy="3480435"/>
                    </a:xfrm>
                    <a:prstGeom prst="rect">
                      <a:avLst/>
                    </a:prstGeom>
                    <a:noFill/>
                    <a:ln w="9525">
                      <a:noFill/>
                      <a:miter lim="800000"/>
                      <a:headEnd/>
                      <a:tailEnd/>
                    </a:ln>
                  </pic:spPr>
                </pic:pic>
              </a:graphicData>
            </a:graphic>
          </wp:inline>
        </w:drawing>
      </w:r>
    </w:p>
    <w:p w:rsidR="009E3733" w:rsidRPr="00441F0A" w:rsidRDefault="007C52F2" w:rsidP="007D78BF">
      <w:pPr>
        <w:spacing w:line="360" w:lineRule="auto"/>
        <w:jc w:val="both"/>
        <w:rPr>
          <w:rFonts w:ascii="Times New Roman" w:hAnsi="Times New Roman" w:cs="Times New Roman"/>
          <w:sz w:val="24"/>
          <w:szCs w:val="24"/>
          <w:u w:val="single"/>
        </w:rPr>
      </w:pPr>
      <w:r w:rsidRPr="00441F0A">
        <w:rPr>
          <w:rFonts w:ascii="Times New Roman" w:hAnsi="Times New Roman" w:cs="Times New Roman"/>
          <w:sz w:val="24"/>
          <w:szCs w:val="24"/>
          <w:u w:val="single"/>
        </w:rPr>
        <w:t>Les fonctions primaires :</w:t>
      </w:r>
    </w:p>
    <w:p w:rsidR="007D170B" w:rsidRDefault="00290527" w:rsidP="00540A65">
      <w:pPr>
        <w:pStyle w:val="Paragraphedeliste"/>
        <w:numPr>
          <w:ilvl w:val="0"/>
          <w:numId w:val="1"/>
        </w:numPr>
        <w:spacing w:line="360" w:lineRule="auto"/>
        <w:jc w:val="both"/>
        <w:rPr>
          <w:rFonts w:ascii="Times New Roman" w:hAnsi="Times New Roman" w:cs="Times New Roman"/>
          <w:sz w:val="24"/>
          <w:szCs w:val="24"/>
        </w:rPr>
      </w:pPr>
      <w:r w:rsidRPr="00441F0A">
        <w:rPr>
          <w:rFonts w:ascii="Times New Roman" w:hAnsi="Times New Roman" w:cs="Times New Roman"/>
          <w:sz w:val="24"/>
          <w:szCs w:val="24"/>
        </w:rPr>
        <w:t>L’approvisionnement est le fait d’acquérir des ressources</w:t>
      </w:r>
      <w:r w:rsidR="00582B79" w:rsidRPr="00441F0A">
        <w:rPr>
          <w:rFonts w:ascii="Times New Roman" w:hAnsi="Times New Roman" w:cs="Times New Roman"/>
          <w:sz w:val="24"/>
          <w:szCs w:val="24"/>
        </w:rPr>
        <w:t xml:space="preserve"> afin de produire l‘offre de service. À l’université</w:t>
      </w:r>
      <w:r w:rsidR="00E465E0" w:rsidRPr="00441F0A">
        <w:rPr>
          <w:rFonts w:ascii="Times New Roman" w:hAnsi="Times New Roman" w:cs="Times New Roman"/>
          <w:sz w:val="24"/>
          <w:szCs w:val="24"/>
        </w:rPr>
        <w:t>,</w:t>
      </w:r>
      <w:r w:rsidRPr="00441F0A">
        <w:rPr>
          <w:rFonts w:ascii="Times New Roman" w:hAnsi="Times New Roman" w:cs="Times New Roman"/>
          <w:sz w:val="24"/>
          <w:szCs w:val="24"/>
        </w:rPr>
        <w:t xml:space="preserve"> </w:t>
      </w:r>
      <w:r w:rsidR="00582B79" w:rsidRPr="00441F0A">
        <w:rPr>
          <w:rFonts w:ascii="Times New Roman" w:hAnsi="Times New Roman" w:cs="Times New Roman"/>
          <w:sz w:val="24"/>
          <w:szCs w:val="24"/>
        </w:rPr>
        <w:t xml:space="preserve">le service offert est l’éducation. Afin de créer une valeur chez l’étudiant, il faut sélectionner les composantes qui feront en sorte que le client soit interpellé par l’éducation à l’UQTR. La </w:t>
      </w:r>
      <w:r w:rsidR="00582B79" w:rsidRPr="00441F0A">
        <w:rPr>
          <w:rFonts w:ascii="Times New Roman" w:hAnsi="Times New Roman" w:cs="Times New Roman"/>
          <w:i/>
          <w:sz w:val="24"/>
          <w:szCs w:val="24"/>
        </w:rPr>
        <w:t>Journée portes o</w:t>
      </w:r>
      <w:r w:rsidRPr="00441F0A">
        <w:rPr>
          <w:rFonts w:ascii="Times New Roman" w:hAnsi="Times New Roman" w:cs="Times New Roman"/>
          <w:i/>
          <w:sz w:val="24"/>
          <w:szCs w:val="24"/>
        </w:rPr>
        <w:t>uvertes</w:t>
      </w:r>
      <w:r w:rsidR="00582B79" w:rsidRPr="00441F0A">
        <w:rPr>
          <w:rFonts w:ascii="Times New Roman" w:hAnsi="Times New Roman" w:cs="Times New Roman"/>
          <w:sz w:val="24"/>
          <w:szCs w:val="24"/>
        </w:rPr>
        <w:t xml:space="preserve"> est un bon exemple d’offre de service.</w:t>
      </w:r>
      <w:r w:rsidR="007D170B" w:rsidRPr="00441F0A">
        <w:rPr>
          <w:rFonts w:ascii="Times New Roman" w:hAnsi="Times New Roman" w:cs="Times New Roman"/>
          <w:sz w:val="24"/>
          <w:szCs w:val="24"/>
        </w:rPr>
        <w:t xml:space="preserve"> Cet évènement est tout indiqué pour faire valoir aux futurs étudiants la formation donnée à l’université ainsi que ces meilleures facettes comme la vie étudiante sur le campus.</w:t>
      </w:r>
      <w:r w:rsidR="00582B79" w:rsidRPr="00441F0A">
        <w:rPr>
          <w:rFonts w:ascii="Times New Roman" w:hAnsi="Times New Roman" w:cs="Times New Roman"/>
          <w:sz w:val="24"/>
          <w:szCs w:val="24"/>
        </w:rPr>
        <w:t xml:space="preserve"> Le</w:t>
      </w:r>
      <w:r w:rsidRPr="00441F0A">
        <w:rPr>
          <w:rFonts w:ascii="Times New Roman" w:hAnsi="Times New Roman" w:cs="Times New Roman"/>
          <w:sz w:val="24"/>
          <w:szCs w:val="24"/>
        </w:rPr>
        <w:t xml:space="preserve"> </w:t>
      </w:r>
      <w:r w:rsidR="007D170B" w:rsidRPr="00441F0A">
        <w:rPr>
          <w:rFonts w:ascii="Times New Roman" w:hAnsi="Times New Roman" w:cs="Times New Roman"/>
          <w:sz w:val="24"/>
          <w:szCs w:val="24"/>
        </w:rPr>
        <w:t>Centre de Ressources Multiservices (</w:t>
      </w:r>
      <w:r w:rsidR="00342B74" w:rsidRPr="00441F0A">
        <w:rPr>
          <w:rFonts w:ascii="Times New Roman" w:hAnsi="Times New Roman" w:cs="Times New Roman"/>
          <w:sz w:val="24"/>
          <w:szCs w:val="24"/>
        </w:rPr>
        <w:t xml:space="preserve">en partenariat avec le </w:t>
      </w:r>
      <w:r w:rsidR="007D170B" w:rsidRPr="00441F0A">
        <w:rPr>
          <w:rFonts w:ascii="Times New Roman" w:hAnsi="Times New Roman" w:cs="Times New Roman"/>
          <w:sz w:val="24"/>
          <w:szCs w:val="24"/>
        </w:rPr>
        <w:t>r</w:t>
      </w:r>
      <w:r w:rsidRPr="00441F0A">
        <w:rPr>
          <w:rFonts w:ascii="Times New Roman" w:hAnsi="Times New Roman" w:cs="Times New Roman"/>
          <w:sz w:val="24"/>
          <w:szCs w:val="24"/>
        </w:rPr>
        <w:t>egistraire</w:t>
      </w:r>
      <w:r w:rsidR="007D170B" w:rsidRPr="00441F0A">
        <w:rPr>
          <w:rFonts w:ascii="Times New Roman" w:hAnsi="Times New Roman" w:cs="Times New Roman"/>
          <w:sz w:val="24"/>
          <w:szCs w:val="24"/>
        </w:rPr>
        <w:t>)</w:t>
      </w:r>
      <w:r w:rsidR="00582B79" w:rsidRPr="00441F0A">
        <w:rPr>
          <w:rFonts w:ascii="Times New Roman" w:hAnsi="Times New Roman" w:cs="Times New Roman"/>
          <w:sz w:val="24"/>
          <w:szCs w:val="24"/>
        </w:rPr>
        <w:t xml:space="preserve"> est notamment une </w:t>
      </w:r>
      <w:r w:rsidR="00582B79" w:rsidRPr="00441F0A">
        <w:rPr>
          <w:rFonts w:ascii="Times New Roman" w:hAnsi="Times New Roman" w:cs="Times New Roman"/>
          <w:sz w:val="24"/>
          <w:szCs w:val="24"/>
        </w:rPr>
        <w:lastRenderedPageBreak/>
        <w:t xml:space="preserve">composante qui favorise </w:t>
      </w:r>
      <w:r w:rsidR="007D170B" w:rsidRPr="00441F0A">
        <w:rPr>
          <w:rFonts w:ascii="Times New Roman" w:hAnsi="Times New Roman" w:cs="Times New Roman"/>
          <w:sz w:val="24"/>
          <w:szCs w:val="24"/>
        </w:rPr>
        <w:t xml:space="preserve">l’offre de service, car elle est située à un endroit stratégique au centre de l’université afin d’accueillir les venus. Le CRM permet aux étudiants, aux visiteurs et aux futurs </w:t>
      </w:r>
      <w:r w:rsidR="003520A0">
        <w:rPr>
          <w:rFonts w:ascii="Times New Roman" w:hAnsi="Times New Roman" w:cs="Times New Roman"/>
          <w:sz w:val="24"/>
          <w:szCs w:val="24"/>
        </w:rPr>
        <w:t>étudiants</w:t>
      </w:r>
      <w:r w:rsidR="007D170B" w:rsidRPr="00441F0A">
        <w:rPr>
          <w:rFonts w:ascii="Times New Roman" w:hAnsi="Times New Roman" w:cs="Times New Roman"/>
          <w:sz w:val="24"/>
          <w:szCs w:val="24"/>
        </w:rPr>
        <w:t xml:space="preserve"> de se renseigner et même de s’inscrire dans un programme universitaire.</w:t>
      </w:r>
    </w:p>
    <w:p w:rsidR="00123FFA" w:rsidRPr="00441F0A" w:rsidRDefault="00123FFA" w:rsidP="00123FFA">
      <w:pPr>
        <w:pStyle w:val="Paragraphedeliste"/>
        <w:spacing w:line="360" w:lineRule="auto"/>
        <w:jc w:val="both"/>
        <w:rPr>
          <w:rFonts w:ascii="Times New Roman" w:hAnsi="Times New Roman" w:cs="Times New Roman"/>
          <w:sz w:val="24"/>
          <w:szCs w:val="24"/>
        </w:rPr>
      </w:pPr>
    </w:p>
    <w:p w:rsidR="007C52F2" w:rsidRDefault="007C52F2" w:rsidP="00540A65">
      <w:pPr>
        <w:pStyle w:val="Paragraphedeliste"/>
        <w:numPr>
          <w:ilvl w:val="0"/>
          <w:numId w:val="1"/>
        </w:numPr>
        <w:spacing w:line="360" w:lineRule="auto"/>
        <w:jc w:val="both"/>
        <w:rPr>
          <w:rFonts w:ascii="Times New Roman" w:hAnsi="Times New Roman" w:cs="Times New Roman"/>
          <w:sz w:val="24"/>
          <w:szCs w:val="24"/>
        </w:rPr>
      </w:pPr>
      <w:r w:rsidRPr="00441F0A">
        <w:rPr>
          <w:rFonts w:ascii="Times New Roman" w:hAnsi="Times New Roman" w:cs="Times New Roman"/>
          <w:sz w:val="24"/>
          <w:szCs w:val="24"/>
        </w:rPr>
        <w:t>La logistique</w:t>
      </w:r>
      <w:r w:rsidR="00342B74" w:rsidRPr="00441F0A">
        <w:rPr>
          <w:rFonts w:ascii="Times New Roman" w:hAnsi="Times New Roman" w:cs="Times New Roman"/>
          <w:sz w:val="24"/>
          <w:szCs w:val="24"/>
        </w:rPr>
        <w:t xml:space="preserve"> au niveau d’un service</w:t>
      </w:r>
      <w:r w:rsidR="002C1DCC" w:rsidRPr="00441F0A">
        <w:rPr>
          <w:rFonts w:ascii="Times New Roman" w:hAnsi="Times New Roman" w:cs="Times New Roman"/>
          <w:sz w:val="24"/>
          <w:szCs w:val="24"/>
        </w:rPr>
        <w:t xml:space="preserve"> « consiste à assurer la rencontre entre le client et l’offre »</w:t>
      </w:r>
      <w:r w:rsidR="002C1DCC" w:rsidRPr="00441F0A">
        <w:rPr>
          <w:rStyle w:val="Appelnotedebasdep"/>
          <w:rFonts w:ascii="Times New Roman" w:hAnsi="Times New Roman" w:cs="Times New Roman"/>
          <w:sz w:val="24"/>
          <w:szCs w:val="24"/>
        </w:rPr>
        <w:footnoteReference w:id="68"/>
      </w:r>
      <w:r w:rsidR="002C1DCC" w:rsidRPr="00441F0A">
        <w:rPr>
          <w:rFonts w:ascii="Times New Roman" w:hAnsi="Times New Roman" w:cs="Times New Roman"/>
          <w:sz w:val="24"/>
          <w:szCs w:val="24"/>
        </w:rPr>
        <w:t>.</w:t>
      </w:r>
      <w:r w:rsidR="00342B74" w:rsidRPr="00441F0A">
        <w:rPr>
          <w:rFonts w:ascii="Times New Roman" w:hAnsi="Times New Roman" w:cs="Times New Roman"/>
          <w:sz w:val="24"/>
          <w:szCs w:val="24"/>
        </w:rPr>
        <w:t xml:space="preserve"> Dans le cadre de l’université, il s’agit des départements qui jouent le rôle de liaison entre les divers programmes d’éducation et les étudiants. En fonctionnant par département, les étudiants reçoivent un service plus rapidement et plus personnalisé selon le cheminement qu’ils parcourent</w:t>
      </w:r>
      <w:r w:rsidR="004F3BA8" w:rsidRPr="00441F0A">
        <w:rPr>
          <w:rFonts w:ascii="Times New Roman" w:hAnsi="Times New Roman" w:cs="Times New Roman"/>
          <w:sz w:val="24"/>
          <w:szCs w:val="24"/>
        </w:rPr>
        <w:t>. Ceci ajoute donc de la valeur à leurs yeux</w:t>
      </w:r>
      <w:r w:rsidR="00342B74" w:rsidRPr="00441F0A">
        <w:rPr>
          <w:rFonts w:ascii="Times New Roman" w:hAnsi="Times New Roman" w:cs="Times New Roman"/>
          <w:sz w:val="24"/>
          <w:szCs w:val="24"/>
        </w:rPr>
        <w:t>.</w:t>
      </w:r>
    </w:p>
    <w:p w:rsidR="00123FFA" w:rsidRPr="00441F0A" w:rsidRDefault="00123FFA" w:rsidP="00123FFA">
      <w:pPr>
        <w:pStyle w:val="Paragraphedeliste"/>
        <w:spacing w:line="360" w:lineRule="auto"/>
        <w:jc w:val="both"/>
        <w:rPr>
          <w:rFonts w:ascii="Times New Roman" w:hAnsi="Times New Roman" w:cs="Times New Roman"/>
          <w:sz w:val="24"/>
          <w:szCs w:val="24"/>
        </w:rPr>
      </w:pPr>
    </w:p>
    <w:p w:rsidR="004A4802" w:rsidRDefault="007C52F2" w:rsidP="00540A65">
      <w:pPr>
        <w:pStyle w:val="Paragraphedeliste"/>
        <w:numPr>
          <w:ilvl w:val="0"/>
          <w:numId w:val="1"/>
        </w:numPr>
        <w:spacing w:line="360" w:lineRule="auto"/>
        <w:jc w:val="both"/>
        <w:rPr>
          <w:rFonts w:ascii="Times New Roman" w:hAnsi="Times New Roman" w:cs="Times New Roman"/>
          <w:sz w:val="24"/>
          <w:szCs w:val="24"/>
        </w:rPr>
      </w:pPr>
      <w:r w:rsidRPr="00441F0A">
        <w:rPr>
          <w:rFonts w:ascii="Times New Roman" w:hAnsi="Times New Roman" w:cs="Times New Roman"/>
          <w:sz w:val="24"/>
          <w:szCs w:val="24"/>
        </w:rPr>
        <w:t>La production</w:t>
      </w:r>
      <w:r w:rsidR="004F3BA8" w:rsidRPr="00441F0A">
        <w:rPr>
          <w:rFonts w:ascii="Times New Roman" w:hAnsi="Times New Roman" w:cs="Times New Roman"/>
          <w:sz w:val="24"/>
          <w:szCs w:val="24"/>
        </w:rPr>
        <w:t xml:space="preserve"> à l’UQTR est l’enseignement qui est donné en classe par les professeurs et les chargés de cours. Cette action est nécessaire, car elle permet la diffusion de connaissance et de savoir aux étudiants</w:t>
      </w:r>
      <w:r w:rsidR="004A4802" w:rsidRPr="00441F0A">
        <w:rPr>
          <w:rFonts w:ascii="Times New Roman" w:hAnsi="Times New Roman" w:cs="Times New Roman"/>
          <w:sz w:val="24"/>
          <w:szCs w:val="24"/>
        </w:rPr>
        <w:t>.</w:t>
      </w:r>
    </w:p>
    <w:p w:rsidR="00123FFA" w:rsidRPr="00123FFA" w:rsidRDefault="00123FFA" w:rsidP="00123FFA">
      <w:pPr>
        <w:pStyle w:val="Paragraphedeliste"/>
        <w:rPr>
          <w:rFonts w:ascii="Times New Roman" w:hAnsi="Times New Roman" w:cs="Times New Roman"/>
          <w:sz w:val="24"/>
          <w:szCs w:val="24"/>
        </w:rPr>
      </w:pPr>
    </w:p>
    <w:p w:rsidR="00123FFA" w:rsidRPr="00441F0A" w:rsidRDefault="00123FFA" w:rsidP="00123FFA">
      <w:pPr>
        <w:pStyle w:val="Paragraphedeliste"/>
        <w:spacing w:line="360" w:lineRule="auto"/>
        <w:jc w:val="both"/>
        <w:rPr>
          <w:rFonts w:ascii="Times New Roman" w:hAnsi="Times New Roman" w:cs="Times New Roman"/>
          <w:sz w:val="24"/>
          <w:szCs w:val="24"/>
        </w:rPr>
      </w:pPr>
    </w:p>
    <w:p w:rsidR="007C52F2" w:rsidRDefault="004A4802" w:rsidP="00540A65">
      <w:pPr>
        <w:pStyle w:val="Paragraphedeliste"/>
        <w:numPr>
          <w:ilvl w:val="0"/>
          <w:numId w:val="1"/>
        </w:numPr>
        <w:spacing w:line="360" w:lineRule="auto"/>
        <w:jc w:val="both"/>
        <w:rPr>
          <w:rFonts w:ascii="Times New Roman" w:hAnsi="Times New Roman" w:cs="Times New Roman"/>
          <w:sz w:val="24"/>
          <w:szCs w:val="24"/>
        </w:rPr>
      </w:pPr>
      <w:r w:rsidRPr="00441F0A">
        <w:rPr>
          <w:rFonts w:ascii="Times New Roman" w:hAnsi="Times New Roman" w:cs="Times New Roman"/>
          <w:sz w:val="24"/>
          <w:szCs w:val="24"/>
        </w:rPr>
        <w:t xml:space="preserve">La commercialisation est </w:t>
      </w:r>
      <w:r w:rsidR="00BC7CA8" w:rsidRPr="00441F0A">
        <w:rPr>
          <w:rFonts w:ascii="Times New Roman" w:hAnsi="Times New Roman" w:cs="Times New Roman"/>
          <w:sz w:val="24"/>
          <w:szCs w:val="24"/>
        </w:rPr>
        <w:t xml:space="preserve">la manière dont </w:t>
      </w:r>
      <w:r w:rsidRPr="00441F0A">
        <w:rPr>
          <w:rFonts w:ascii="Times New Roman" w:hAnsi="Times New Roman" w:cs="Times New Roman"/>
          <w:sz w:val="24"/>
          <w:szCs w:val="24"/>
        </w:rPr>
        <w:t>le marketing</w:t>
      </w:r>
      <w:r w:rsidR="00BC7CA8" w:rsidRPr="00441F0A">
        <w:rPr>
          <w:rFonts w:ascii="Times New Roman" w:hAnsi="Times New Roman" w:cs="Times New Roman"/>
          <w:sz w:val="24"/>
          <w:szCs w:val="24"/>
        </w:rPr>
        <w:t xml:space="preserve"> et la vente proposent le service aux usagers</w:t>
      </w:r>
      <w:r w:rsidRPr="00441F0A">
        <w:rPr>
          <w:rFonts w:ascii="Times New Roman" w:hAnsi="Times New Roman" w:cs="Times New Roman"/>
          <w:sz w:val="24"/>
          <w:szCs w:val="24"/>
        </w:rPr>
        <w:t>.</w:t>
      </w:r>
      <w:r w:rsidR="00DA2EC9" w:rsidRPr="00441F0A">
        <w:rPr>
          <w:rFonts w:ascii="Times New Roman" w:hAnsi="Times New Roman" w:cs="Times New Roman"/>
          <w:sz w:val="24"/>
          <w:szCs w:val="24"/>
        </w:rPr>
        <w:t xml:space="preserve"> La </w:t>
      </w:r>
      <w:r w:rsidR="00BC7CA8" w:rsidRPr="00441F0A">
        <w:rPr>
          <w:rFonts w:ascii="Times New Roman" w:hAnsi="Times New Roman" w:cs="Times New Roman"/>
          <w:sz w:val="24"/>
          <w:szCs w:val="24"/>
        </w:rPr>
        <w:t xml:space="preserve">construction de l’image </w:t>
      </w:r>
      <w:r w:rsidR="00335617" w:rsidRPr="00441F0A">
        <w:rPr>
          <w:rFonts w:ascii="Times New Roman" w:hAnsi="Times New Roman" w:cs="Times New Roman"/>
          <w:sz w:val="24"/>
          <w:szCs w:val="24"/>
        </w:rPr>
        <w:t>d’une université est importante, puisqu’elle aura une incidence sur le statut du diplôme que l’étudiant recevra à la fin de sa formation. De ce fait, il est primordial de travailler sur ce que dégage une institution supérieure. L</w:t>
      </w:r>
      <w:r w:rsidR="00DA2EC9" w:rsidRPr="00441F0A">
        <w:rPr>
          <w:rFonts w:ascii="Times New Roman" w:hAnsi="Times New Roman" w:cs="Times New Roman"/>
          <w:sz w:val="24"/>
          <w:szCs w:val="24"/>
        </w:rPr>
        <w:t>’UQ</w:t>
      </w:r>
      <w:r w:rsidR="00E03FF1" w:rsidRPr="00441F0A">
        <w:rPr>
          <w:rFonts w:ascii="Times New Roman" w:hAnsi="Times New Roman" w:cs="Times New Roman"/>
          <w:sz w:val="24"/>
          <w:szCs w:val="24"/>
        </w:rPr>
        <w:t xml:space="preserve">TR </w:t>
      </w:r>
      <w:r w:rsidR="00BC7CA8" w:rsidRPr="00441F0A">
        <w:rPr>
          <w:rFonts w:ascii="Times New Roman" w:hAnsi="Times New Roman" w:cs="Times New Roman"/>
          <w:sz w:val="24"/>
          <w:szCs w:val="24"/>
        </w:rPr>
        <w:t>reçoit</w:t>
      </w:r>
      <w:r w:rsidR="00E03FF1" w:rsidRPr="00441F0A">
        <w:rPr>
          <w:rFonts w:ascii="Times New Roman" w:hAnsi="Times New Roman" w:cs="Times New Roman"/>
          <w:sz w:val="24"/>
          <w:szCs w:val="24"/>
        </w:rPr>
        <w:t xml:space="preserve"> une valeur moyenne</w:t>
      </w:r>
      <w:r w:rsidR="00BC7CA8" w:rsidRPr="00441F0A">
        <w:rPr>
          <w:rFonts w:ascii="Times New Roman" w:hAnsi="Times New Roman" w:cs="Times New Roman"/>
          <w:sz w:val="24"/>
          <w:szCs w:val="24"/>
        </w:rPr>
        <w:t xml:space="preserve"> de la part des étudiants, puisque sa réputation se situe</w:t>
      </w:r>
      <w:r w:rsidR="00F275DA" w:rsidRPr="00441F0A">
        <w:rPr>
          <w:rFonts w:ascii="Times New Roman" w:hAnsi="Times New Roman" w:cs="Times New Roman"/>
          <w:sz w:val="24"/>
          <w:szCs w:val="24"/>
        </w:rPr>
        <w:t xml:space="preserve"> vers le dixième rang des établissements d’</w:t>
      </w:r>
      <w:r w:rsidR="003520A0">
        <w:rPr>
          <w:rFonts w:ascii="Times New Roman" w:hAnsi="Times New Roman" w:cs="Times New Roman"/>
          <w:sz w:val="24"/>
          <w:szCs w:val="24"/>
        </w:rPr>
        <w:t>enseignement</w:t>
      </w:r>
      <w:r w:rsidR="00F275DA" w:rsidRPr="00441F0A">
        <w:rPr>
          <w:rFonts w:ascii="Times New Roman" w:hAnsi="Times New Roman" w:cs="Times New Roman"/>
          <w:sz w:val="24"/>
          <w:szCs w:val="24"/>
        </w:rPr>
        <w:t xml:space="preserve"> </w:t>
      </w:r>
      <w:r w:rsidR="003520A0">
        <w:rPr>
          <w:rFonts w:ascii="Times New Roman" w:hAnsi="Times New Roman" w:cs="Times New Roman"/>
          <w:sz w:val="24"/>
          <w:szCs w:val="24"/>
        </w:rPr>
        <w:t>supérieur</w:t>
      </w:r>
      <w:r w:rsidR="00F275DA" w:rsidRPr="00441F0A">
        <w:rPr>
          <w:rFonts w:ascii="Times New Roman" w:hAnsi="Times New Roman" w:cs="Times New Roman"/>
          <w:sz w:val="24"/>
          <w:szCs w:val="24"/>
        </w:rPr>
        <w:t xml:space="preserve"> au Québec.</w:t>
      </w:r>
      <w:r w:rsidR="00F275DA" w:rsidRPr="00441F0A">
        <w:rPr>
          <w:rStyle w:val="Appelnotedebasdep"/>
          <w:rFonts w:ascii="Times New Roman" w:hAnsi="Times New Roman" w:cs="Times New Roman"/>
          <w:sz w:val="24"/>
          <w:szCs w:val="24"/>
        </w:rPr>
        <w:footnoteReference w:id="69"/>
      </w:r>
      <w:r w:rsidR="00F275DA" w:rsidRPr="00441F0A">
        <w:rPr>
          <w:rFonts w:ascii="Times New Roman" w:hAnsi="Times New Roman" w:cs="Times New Roman"/>
          <w:sz w:val="24"/>
          <w:szCs w:val="24"/>
        </w:rPr>
        <w:t xml:space="preserve"> Par contre, sa position géographique lui procure un avantage significatif e</w:t>
      </w:r>
      <w:r w:rsidR="00BB6551" w:rsidRPr="00441F0A">
        <w:rPr>
          <w:rFonts w:ascii="Times New Roman" w:hAnsi="Times New Roman" w:cs="Times New Roman"/>
          <w:sz w:val="24"/>
          <w:szCs w:val="24"/>
        </w:rPr>
        <w:t>t fait en sorte que les étudiants y voient un côté pratique</w:t>
      </w:r>
      <w:r w:rsidR="00F275DA" w:rsidRPr="00441F0A">
        <w:rPr>
          <w:rFonts w:ascii="Times New Roman" w:hAnsi="Times New Roman" w:cs="Times New Roman"/>
          <w:sz w:val="24"/>
          <w:szCs w:val="24"/>
        </w:rPr>
        <w:t xml:space="preserve">. Donc, par la vente, l’UQTR peut </w:t>
      </w:r>
      <w:r w:rsidR="00BB6551" w:rsidRPr="00441F0A">
        <w:rPr>
          <w:rFonts w:ascii="Times New Roman" w:hAnsi="Times New Roman" w:cs="Times New Roman"/>
          <w:sz w:val="24"/>
          <w:szCs w:val="24"/>
        </w:rPr>
        <w:t>miser sur</w:t>
      </w:r>
      <w:r w:rsidR="00F275DA" w:rsidRPr="00441F0A">
        <w:rPr>
          <w:rFonts w:ascii="Times New Roman" w:hAnsi="Times New Roman" w:cs="Times New Roman"/>
          <w:sz w:val="24"/>
          <w:szCs w:val="24"/>
        </w:rPr>
        <w:t xml:space="preserve"> cet </w:t>
      </w:r>
      <w:r w:rsidR="00BB6551" w:rsidRPr="00441F0A">
        <w:rPr>
          <w:rFonts w:ascii="Times New Roman" w:hAnsi="Times New Roman" w:cs="Times New Roman"/>
          <w:sz w:val="24"/>
          <w:szCs w:val="24"/>
        </w:rPr>
        <w:t>attrait</w:t>
      </w:r>
      <w:r w:rsidR="00F275DA" w:rsidRPr="00441F0A">
        <w:rPr>
          <w:rFonts w:ascii="Times New Roman" w:hAnsi="Times New Roman" w:cs="Times New Roman"/>
          <w:sz w:val="24"/>
          <w:szCs w:val="24"/>
        </w:rPr>
        <w:t xml:space="preserve"> pour convaincre les cl</w:t>
      </w:r>
      <w:r w:rsidR="00BB6551" w:rsidRPr="00441F0A">
        <w:rPr>
          <w:rFonts w:ascii="Times New Roman" w:hAnsi="Times New Roman" w:cs="Times New Roman"/>
          <w:sz w:val="24"/>
          <w:szCs w:val="24"/>
        </w:rPr>
        <w:t>ients de venir étudier dans ses établissements.</w:t>
      </w:r>
      <w:r w:rsidR="00335617" w:rsidRPr="00441F0A">
        <w:rPr>
          <w:rFonts w:ascii="Times New Roman" w:hAnsi="Times New Roman" w:cs="Times New Roman"/>
          <w:sz w:val="24"/>
          <w:szCs w:val="24"/>
        </w:rPr>
        <w:t xml:space="preserve"> Par contre, elle devra trouver des solutions afin de bonifier sa réputation afin d’attirer davantage la clientèle </w:t>
      </w:r>
      <w:r w:rsidR="00335617" w:rsidRPr="00441F0A">
        <w:rPr>
          <w:rFonts w:ascii="Times New Roman" w:hAnsi="Times New Roman" w:cs="Times New Roman"/>
          <w:sz w:val="24"/>
          <w:szCs w:val="24"/>
        </w:rPr>
        <w:lastRenderedPageBreak/>
        <w:t xml:space="preserve">(comme mettre l’emphase sur des programmes afin de mieux les cotés ou en développant la vie étudiante sur le campus). </w:t>
      </w:r>
    </w:p>
    <w:p w:rsidR="00123FFA" w:rsidRPr="00441F0A" w:rsidRDefault="00123FFA" w:rsidP="00123FFA">
      <w:pPr>
        <w:pStyle w:val="Paragraphedeliste"/>
        <w:spacing w:line="360" w:lineRule="auto"/>
        <w:jc w:val="both"/>
        <w:rPr>
          <w:rFonts w:ascii="Times New Roman" w:hAnsi="Times New Roman" w:cs="Times New Roman"/>
          <w:sz w:val="24"/>
          <w:szCs w:val="24"/>
        </w:rPr>
      </w:pPr>
    </w:p>
    <w:p w:rsidR="007C52F2" w:rsidRPr="00441F0A" w:rsidRDefault="007C52F2" w:rsidP="00540A65">
      <w:pPr>
        <w:pStyle w:val="Paragraphedeliste"/>
        <w:numPr>
          <w:ilvl w:val="0"/>
          <w:numId w:val="1"/>
        </w:numPr>
        <w:spacing w:line="360" w:lineRule="auto"/>
        <w:jc w:val="both"/>
        <w:rPr>
          <w:rFonts w:ascii="Times New Roman" w:hAnsi="Times New Roman" w:cs="Times New Roman"/>
          <w:sz w:val="24"/>
          <w:szCs w:val="24"/>
        </w:rPr>
      </w:pPr>
      <w:r w:rsidRPr="00441F0A">
        <w:rPr>
          <w:rFonts w:ascii="Times New Roman" w:hAnsi="Times New Roman" w:cs="Times New Roman"/>
          <w:sz w:val="24"/>
          <w:szCs w:val="24"/>
        </w:rPr>
        <w:t>Les services</w:t>
      </w:r>
      <w:r w:rsidR="00335617" w:rsidRPr="00441F0A">
        <w:rPr>
          <w:rFonts w:ascii="Times New Roman" w:hAnsi="Times New Roman" w:cs="Times New Roman"/>
          <w:sz w:val="24"/>
          <w:szCs w:val="24"/>
        </w:rPr>
        <w:t xml:space="preserve"> </w:t>
      </w:r>
      <w:r w:rsidR="00EA3DBC" w:rsidRPr="00441F0A">
        <w:rPr>
          <w:rFonts w:ascii="Times New Roman" w:hAnsi="Times New Roman" w:cs="Times New Roman"/>
          <w:sz w:val="24"/>
          <w:szCs w:val="24"/>
        </w:rPr>
        <w:t xml:space="preserve">sont définis par les activités qui </w:t>
      </w:r>
      <w:r w:rsidR="00D20431" w:rsidRPr="00441F0A">
        <w:rPr>
          <w:rFonts w:ascii="Times New Roman" w:hAnsi="Times New Roman" w:cs="Times New Roman"/>
          <w:sz w:val="24"/>
          <w:szCs w:val="24"/>
        </w:rPr>
        <w:t>développent</w:t>
      </w:r>
      <w:r w:rsidR="00EA3DBC" w:rsidRPr="00441F0A">
        <w:rPr>
          <w:rFonts w:ascii="Times New Roman" w:hAnsi="Times New Roman" w:cs="Times New Roman"/>
          <w:sz w:val="24"/>
          <w:szCs w:val="24"/>
        </w:rPr>
        <w:t xml:space="preserve"> ou maintien</w:t>
      </w:r>
      <w:r w:rsidR="00D20431" w:rsidRPr="00441F0A">
        <w:rPr>
          <w:rFonts w:ascii="Times New Roman" w:hAnsi="Times New Roman" w:cs="Times New Roman"/>
          <w:sz w:val="24"/>
          <w:szCs w:val="24"/>
        </w:rPr>
        <w:t>nen</w:t>
      </w:r>
      <w:r w:rsidR="00EA3DBC" w:rsidRPr="00441F0A">
        <w:rPr>
          <w:rFonts w:ascii="Times New Roman" w:hAnsi="Times New Roman" w:cs="Times New Roman"/>
          <w:sz w:val="24"/>
          <w:szCs w:val="24"/>
        </w:rPr>
        <w:t>t la valeur d’un service. À l’UQTR, l’intégrité et la circulation de l’</w:t>
      </w:r>
      <w:r w:rsidR="00D20431" w:rsidRPr="00441F0A">
        <w:rPr>
          <w:rFonts w:ascii="Times New Roman" w:hAnsi="Times New Roman" w:cs="Times New Roman"/>
          <w:sz w:val="24"/>
          <w:szCs w:val="24"/>
        </w:rPr>
        <w:t>information fon</w:t>
      </w:r>
      <w:r w:rsidR="00EA3DBC" w:rsidRPr="00441F0A">
        <w:rPr>
          <w:rFonts w:ascii="Times New Roman" w:hAnsi="Times New Roman" w:cs="Times New Roman"/>
          <w:sz w:val="24"/>
          <w:szCs w:val="24"/>
        </w:rPr>
        <w:t>t en sorte d’accroître une saine éducation. Les lettres de recommandations émises par les enseignants sont notamment un parfait exemple de continuité dans le service et ce, même une fois terminée.</w:t>
      </w:r>
    </w:p>
    <w:p w:rsidR="00D20431" w:rsidRPr="00441F0A" w:rsidRDefault="00D20431" w:rsidP="00D20431">
      <w:pPr>
        <w:pStyle w:val="Paragraphedeliste"/>
        <w:spacing w:line="360" w:lineRule="auto"/>
        <w:jc w:val="both"/>
        <w:rPr>
          <w:rFonts w:ascii="Times New Roman" w:hAnsi="Times New Roman" w:cs="Times New Roman"/>
          <w:sz w:val="24"/>
          <w:szCs w:val="24"/>
        </w:rPr>
      </w:pPr>
    </w:p>
    <w:p w:rsidR="007C52F2" w:rsidRPr="00441F0A" w:rsidRDefault="007C52F2" w:rsidP="007D78BF">
      <w:pPr>
        <w:spacing w:line="360" w:lineRule="auto"/>
        <w:jc w:val="both"/>
        <w:rPr>
          <w:rFonts w:ascii="Times New Roman" w:hAnsi="Times New Roman" w:cs="Times New Roman"/>
          <w:sz w:val="24"/>
          <w:szCs w:val="24"/>
          <w:u w:val="single"/>
        </w:rPr>
      </w:pPr>
      <w:r w:rsidRPr="00441F0A">
        <w:rPr>
          <w:rFonts w:ascii="Times New Roman" w:hAnsi="Times New Roman" w:cs="Times New Roman"/>
          <w:sz w:val="24"/>
          <w:szCs w:val="24"/>
          <w:u w:val="single"/>
        </w:rPr>
        <w:t>Les fonctions de soutien :</w:t>
      </w:r>
    </w:p>
    <w:p w:rsidR="007C52F2" w:rsidRDefault="007C52F2" w:rsidP="00540A65">
      <w:pPr>
        <w:pStyle w:val="Paragraphedeliste"/>
        <w:numPr>
          <w:ilvl w:val="0"/>
          <w:numId w:val="2"/>
        </w:numPr>
        <w:spacing w:line="360" w:lineRule="auto"/>
        <w:jc w:val="both"/>
        <w:rPr>
          <w:rFonts w:ascii="Times New Roman" w:hAnsi="Times New Roman" w:cs="Times New Roman"/>
          <w:sz w:val="24"/>
          <w:szCs w:val="24"/>
        </w:rPr>
      </w:pPr>
      <w:r w:rsidRPr="00441F0A">
        <w:rPr>
          <w:rFonts w:ascii="Times New Roman" w:hAnsi="Times New Roman" w:cs="Times New Roman"/>
          <w:sz w:val="24"/>
          <w:szCs w:val="24"/>
        </w:rPr>
        <w:t>L</w:t>
      </w:r>
      <w:r w:rsidR="000A798B" w:rsidRPr="00441F0A">
        <w:rPr>
          <w:rFonts w:ascii="Times New Roman" w:hAnsi="Times New Roman" w:cs="Times New Roman"/>
          <w:sz w:val="24"/>
          <w:szCs w:val="24"/>
        </w:rPr>
        <w:t>a</w:t>
      </w:r>
      <w:r w:rsidRPr="00441F0A">
        <w:rPr>
          <w:rFonts w:ascii="Times New Roman" w:hAnsi="Times New Roman" w:cs="Times New Roman"/>
          <w:sz w:val="24"/>
          <w:szCs w:val="24"/>
        </w:rPr>
        <w:t xml:space="preserve"> technologique</w:t>
      </w:r>
      <w:r w:rsidR="00545978" w:rsidRPr="00441F0A">
        <w:rPr>
          <w:rFonts w:ascii="Times New Roman" w:hAnsi="Times New Roman" w:cs="Times New Roman"/>
          <w:sz w:val="24"/>
          <w:szCs w:val="24"/>
        </w:rPr>
        <w:t xml:space="preserve"> est une fonction qui aide grandement </w:t>
      </w:r>
      <w:r w:rsidR="000A798B" w:rsidRPr="00441F0A">
        <w:rPr>
          <w:rFonts w:ascii="Times New Roman" w:hAnsi="Times New Roman" w:cs="Times New Roman"/>
          <w:sz w:val="24"/>
          <w:szCs w:val="24"/>
        </w:rPr>
        <w:t>au développement de l’éducation. Le portail, le matériel multimédia en classe et à la bibliothèque, l’internet sans-fil et le courrier électronique de l’UQTR sont le parfait exemple de l’utilisation des technologies. Celle-ci a une valeur importante aux yeux des étudiants qui en bénéficient tout au long de leurs études et qui les aident grandement dans leur rendement.</w:t>
      </w:r>
    </w:p>
    <w:p w:rsidR="00123FFA" w:rsidRPr="00441F0A" w:rsidRDefault="00123FFA" w:rsidP="00123FFA">
      <w:pPr>
        <w:pStyle w:val="Paragraphedeliste"/>
        <w:spacing w:line="360" w:lineRule="auto"/>
        <w:jc w:val="both"/>
        <w:rPr>
          <w:rFonts w:ascii="Times New Roman" w:hAnsi="Times New Roman" w:cs="Times New Roman"/>
          <w:sz w:val="24"/>
          <w:szCs w:val="24"/>
        </w:rPr>
      </w:pPr>
    </w:p>
    <w:p w:rsidR="00123FFA" w:rsidRPr="00123FFA" w:rsidRDefault="007C52F2" w:rsidP="00123FFA">
      <w:pPr>
        <w:pStyle w:val="Paragraphedeliste"/>
        <w:numPr>
          <w:ilvl w:val="0"/>
          <w:numId w:val="2"/>
        </w:numPr>
        <w:spacing w:line="360" w:lineRule="auto"/>
        <w:jc w:val="both"/>
        <w:rPr>
          <w:rFonts w:ascii="Times New Roman" w:hAnsi="Times New Roman" w:cs="Times New Roman"/>
          <w:sz w:val="24"/>
          <w:szCs w:val="24"/>
        </w:rPr>
      </w:pPr>
      <w:r w:rsidRPr="00123FFA">
        <w:rPr>
          <w:rFonts w:ascii="Times New Roman" w:hAnsi="Times New Roman" w:cs="Times New Roman"/>
          <w:sz w:val="24"/>
          <w:szCs w:val="24"/>
        </w:rPr>
        <w:t>La gestion des ressources humaines</w:t>
      </w:r>
      <w:r w:rsidR="000A798B" w:rsidRPr="00123FFA">
        <w:rPr>
          <w:rFonts w:ascii="Times New Roman" w:hAnsi="Times New Roman" w:cs="Times New Roman"/>
          <w:sz w:val="24"/>
          <w:szCs w:val="24"/>
        </w:rPr>
        <w:t xml:space="preserve"> à l’université de Trois-Rivières est en fonction du système de dotation des employés, donc qui s’occupe du recrutement, de la sélection de personnel, du coaching, du congédiement, etc.</w:t>
      </w:r>
      <w:r w:rsidR="00A471D4" w:rsidRPr="00123FFA">
        <w:rPr>
          <w:rFonts w:ascii="Times New Roman" w:hAnsi="Times New Roman" w:cs="Times New Roman"/>
          <w:sz w:val="24"/>
          <w:szCs w:val="24"/>
        </w:rPr>
        <w:t xml:space="preserve"> et de plusieurs autres aspects </w:t>
      </w:r>
      <w:r w:rsidR="003520A0" w:rsidRPr="00123FFA">
        <w:rPr>
          <w:rFonts w:ascii="Times New Roman" w:hAnsi="Times New Roman" w:cs="Times New Roman"/>
          <w:sz w:val="24"/>
          <w:szCs w:val="24"/>
        </w:rPr>
        <w:t>relatifs</w:t>
      </w:r>
      <w:r w:rsidR="00A471D4" w:rsidRPr="00123FFA">
        <w:rPr>
          <w:rFonts w:ascii="Times New Roman" w:hAnsi="Times New Roman" w:cs="Times New Roman"/>
          <w:sz w:val="24"/>
          <w:szCs w:val="24"/>
        </w:rPr>
        <w:t xml:space="preserve"> au bien-être des employés. En lien avec cette fonction, il y a présence de syndicat comme l’SPPUQTR</w:t>
      </w:r>
      <w:r w:rsidR="000C4148" w:rsidRPr="00441F0A">
        <w:rPr>
          <w:rStyle w:val="Appelnotedebasdep"/>
          <w:rFonts w:ascii="Times New Roman" w:hAnsi="Times New Roman" w:cs="Times New Roman"/>
          <w:sz w:val="24"/>
          <w:szCs w:val="24"/>
        </w:rPr>
        <w:footnoteReference w:id="70"/>
      </w:r>
      <w:r w:rsidR="00A471D4" w:rsidRPr="00123FFA">
        <w:rPr>
          <w:rFonts w:ascii="Times New Roman" w:hAnsi="Times New Roman" w:cs="Times New Roman"/>
          <w:sz w:val="24"/>
          <w:szCs w:val="24"/>
        </w:rPr>
        <w:t xml:space="preserve"> qui est constitué des professeurs(es) de l’université. </w:t>
      </w:r>
    </w:p>
    <w:p w:rsidR="007C52F2" w:rsidRPr="00441F0A" w:rsidRDefault="007C52F2" w:rsidP="00540A65">
      <w:pPr>
        <w:pStyle w:val="Paragraphedeliste"/>
        <w:numPr>
          <w:ilvl w:val="0"/>
          <w:numId w:val="2"/>
        </w:numPr>
        <w:spacing w:line="360" w:lineRule="auto"/>
        <w:jc w:val="both"/>
        <w:rPr>
          <w:rFonts w:ascii="Times New Roman" w:hAnsi="Times New Roman" w:cs="Times New Roman"/>
          <w:sz w:val="24"/>
          <w:szCs w:val="24"/>
        </w:rPr>
      </w:pPr>
      <w:r w:rsidRPr="00441F0A">
        <w:rPr>
          <w:rFonts w:ascii="Times New Roman" w:hAnsi="Times New Roman" w:cs="Times New Roman"/>
          <w:sz w:val="24"/>
          <w:szCs w:val="24"/>
        </w:rPr>
        <w:t>L’infrastructure</w:t>
      </w:r>
      <w:r w:rsidR="007D2605" w:rsidRPr="00441F0A">
        <w:rPr>
          <w:rFonts w:ascii="Times New Roman" w:hAnsi="Times New Roman" w:cs="Times New Roman"/>
          <w:sz w:val="24"/>
          <w:szCs w:val="24"/>
        </w:rPr>
        <w:t xml:space="preserve"> de l’UQTR est considérable, puisqu’il s’agit d’un campus d’une superficie d’environ 59 hectares</w:t>
      </w:r>
      <w:r w:rsidR="00581774" w:rsidRPr="00441F0A">
        <w:rPr>
          <w:rStyle w:val="Appelnotedebasdep"/>
          <w:rFonts w:ascii="Times New Roman" w:hAnsi="Times New Roman" w:cs="Times New Roman"/>
          <w:sz w:val="24"/>
          <w:szCs w:val="24"/>
        </w:rPr>
        <w:footnoteReference w:id="71"/>
      </w:r>
      <w:r w:rsidR="007D2605" w:rsidRPr="00441F0A">
        <w:rPr>
          <w:rFonts w:ascii="Times New Roman" w:hAnsi="Times New Roman" w:cs="Times New Roman"/>
          <w:sz w:val="24"/>
          <w:szCs w:val="24"/>
        </w:rPr>
        <w:t xml:space="preserve"> comprenant plusieurs pavillons. Pour ca faire, elle doit bénéficier d’électricité, de plomberie, de service de sécurité, de service d’alimentation, de service de conciergerie, etc.</w:t>
      </w:r>
    </w:p>
    <w:p w:rsidR="000D0609" w:rsidRDefault="00EE58D6" w:rsidP="00CA6E46">
      <w:pPr>
        <w:pStyle w:val="Titre4"/>
        <w:ind w:left="360"/>
      </w:pPr>
      <w:bookmarkStart w:id="27" w:name="_Toc417486240"/>
      <w:r>
        <w:lastRenderedPageBreak/>
        <w:t>3</w:t>
      </w:r>
      <w:r w:rsidR="00CA6E46">
        <w:t xml:space="preserve">.3.3 </w:t>
      </w:r>
      <w:r w:rsidR="00BF0F0A">
        <w:t>FFOM/</w:t>
      </w:r>
      <w:r w:rsidR="000D0609" w:rsidRPr="00441F0A">
        <w:t>SWOT</w:t>
      </w:r>
      <w:bookmarkEnd w:id="27"/>
    </w:p>
    <w:p w:rsidR="00CA6E46" w:rsidRPr="00CA6E46" w:rsidRDefault="00CA6E46" w:rsidP="00CA6E46"/>
    <w:p w:rsidR="00BF0F0A" w:rsidRPr="00676914" w:rsidRDefault="00BF0F0A" w:rsidP="00BF0F0A">
      <w:pPr>
        <w:jc w:val="both"/>
        <w:rPr>
          <w:rFonts w:ascii="Times New Roman" w:hAnsi="Times New Roman" w:cs="Times New Roman"/>
          <w:sz w:val="24"/>
          <w:szCs w:val="24"/>
        </w:rPr>
      </w:pPr>
      <w:r w:rsidRPr="00676914">
        <w:rPr>
          <w:rFonts w:ascii="Times New Roman" w:hAnsi="Times New Roman" w:cs="Times New Roman"/>
          <w:sz w:val="24"/>
          <w:szCs w:val="24"/>
        </w:rPr>
        <w:t xml:space="preserve">Suite à l’analyse de l’environnement externe et interne, nous avons ressorti les forces, faiblesses, opportunités et menaces. </w:t>
      </w:r>
    </w:p>
    <w:tbl>
      <w:tblPr>
        <w:tblW w:w="9640" w:type="dxa"/>
        <w:tblCellMar>
          <w:left w:w="0" w:type="dxa"/>
          <w:right w:w="0" w:type="dxa"/>
        </w:tblCellMar>
        <w:tblLook w:val="04A0"/>
      </w:tblPr>
      <w:tblGrid>
        <w:gridCol w:w="4730"/>
        <w:gridCol w:w="4910"/>
      </w:tblGrid>
      <w:tr w:rsidR="00E60539" w:rsidRPr="00E60539" w:rsidTr="00E306FE">
        <w:trPr>
          <w:trHeight w:val="604"/>
        </w:trPr>
        <w:tc>
          <w:tcPr>
            <w:tcW w:w="4730" w:type="dxa"/>
            <w:tcBorders>
              <w:top w:val="single" w:sz="8" w:space="0" w:color="855D5D"/>
              <w:left w:val="single" w:sz="8" w:space="0" w:color="855D5D"/>
              <w:bottom w:val="single" w:sz="18" w:space="0" w:color="855D5D"/>
              <w:right w:val="single" w:sz="8" w:space="0" w:color="855D5D"/>
            </w:tcBorders>
            <w:shd w:val="clear" w:color="auto" w:fill="00703C"/>
            <w:tcMar>
              <w:top w:w="15" w:type="dxa"/>
              <w:left w:w="52" w:type="dxa"/>
              <w:bottom w:w="0" w:type="dxa"/>
              <w:right w:w="52" w:type="dxa"/>
            </w:tcMar>
            <w:vAlign w:val="center"/>
            <w:hideMark/>
          </w:tcPr>
          <w:p w:rsidR="0038008E" w:rsidRPr="00E60539" w:rsidRDefault="00E60539" w:rsidP="00E60539">
            <w:pPr>
              <w:rPr>
                <w:rFonts w:ascii="Times New Roman" w:hAnsi="Times New Roman" w:cs="Times New Roman"/>
                <w:color w:val="FFFFFF" w:themeColor="background1"/>
                <w:sz w:val="24"/>
                <w:szCs w:val="24"/>
              </w:rPr>
            </w:pPr>
            <w:r w:rsidRPr="00E60539">
              <w:rPr>
                <w:rFonts w:ascii="Times New Roman" w:hAnsi="Times New Roman" w:cs="Times New Roman"/>
                <w:b/>
                <w:bCs/>
                <w:color w:val="FFFFFF" w:themeColor="background1"/>
                <w:sz w:val="24"/>
                <w:szCs w:val="24"/>
              </w:rPr>
              <w:t>Forces (S)</w:t>
            </w:r>
          </w:p>
        </w:tc>
        <w:tc>
          <w:tcPr>
            <w:tcW w:w="4910" w:type="dxa"/>
            <w:tcBorders>
              <w:top w:val="single" w:sz="8" w:space="0" w:color="855D5D"/>
              <w:left w:val="single" w:sz="8" w:space="0" w:color="855D5D"/>
              <w:bottom w:val="single" w:sz="18" w:space="0" w:color="855D5D"/>
              <w:right w:val="single" w:sz="8" w:space="0" w:color="855D5D"/>
            </w:tcBorders>
            <w:shd w:val="clear" w:color="auto" w:fill="00703C"/>
            <w:tcMar>
              <w:top w:w="15" w:type="dxa"/>
              <w:left w:w="52" w:type="dxa"/>
              <w:bottom w:w="0" w:type="dxa"/>
              <w:right w:w="52" w:type="dxa"/>
            </w:tcMar>
            <w:vAlign w:val="center"/>
            <w:hideMark/>
          </w:tcPr>
          <w:p w:rsidR="0038008E" w:rsidRPr="00E60539" w:rsidRDefault="00E60539" w:rsidP="00E60539">
            <w:pPr>
              <w:rPr>
                <w:rFonts w:ascii="Times New Roman" w:hAnsi="Times New Roman" w:cs="Times New Roman"/>
                <w:color w:val="FFFFFF" w:themeColor="background1"/>
                <w:sz w:val="24"/>
                <w:szCs w:val="24"/>
              </w:rPr>
            </w:pPr>
            <w:r w:rsidRPr="00E60539">
              <w:rPr>
                <w:rFonts w:ascii="Times New Roman" w:hAnsi="Times New Roman" w:cs="Times New Roman"/>
                <w:b/>
                <w:bCs/>
                <w:color w:val="FFFFFF" w:themeColor="background1"/>
                <w:sz w:val="24"/>
                <w:szCs w:val="24"/>
              </w:rPr>
              <w:t>Faiblesses (W)</w:t>
            </w:r>
          </w:p>
        </w:tc>
      </w:tr>
      <w:tr w:rsidR="00E60539" w:rsidRPr="00E60539" w:rsidTr="00E306FE">
        <w:trPr>
          <w:trHeight w:val="3196"/>
        </w:trPr>
        <w:tc>
          <w:tcPr>
            <w:tcW w:w="4730" w:type="dxa"/>
            <w:tcBorders>
              <w:top w:val="single" w:sz="18" w:space="0" w:color="855D5D"/>
              <w:left w:val="single" w:sz="8" w:space="0" w:color="855D5D"/>
              <w:bottom w:val="single" w:sz="8" w:space="0" w:color="855D5D"/>
              <w:right w:val="single" w:sz="8" w:space="0" w:color="855D5D"/>
            </w:tcBorders>
            <w:shd w:val="clear" w:color="auto" w:fill="auto"/>
            <w:tcMar>
              <w:top w:w="15" w:type="dxa"/>
              <w:left w:w="52" w:type="dxa"/>
              <w:bottom w:w="0" w:type="dxa"/>
              <w:right w:w="52" w:type="dxa"/>
            </w:tcMar>
            <w:hideMark/>
          </w:tcPr>
          <w:p w:rsidR="0038008E" w:rsidRPr="00E60539" w:rsidRDefault="00631F95" w:rsidP="00540A65">
            <w:pPr>
              <w:numPr>
                <w:ilvl w:val="0"/>
                <w:numId w:val="28"/>
              </w:numPr>
              <w:tabs>
                <w:tab w:val="clear" w:pos="720"/>
                <w:tab w:val="num" w:pos="426"/>
              </w:tabs>
              <w:spacing w:after="0" w:line="240" w:lineRule="auto"/>
              <w:ind w:left="426" w:hanging="284"/>
              <w:rPr>
                <w:rFonts w:ascii="Times New Roman" w:hAnsi="Times New Roman" w:cs="Times New Roman"/>
                <w:sz w:val="24"/>
                <w:szCs w:val="24"/>
              </w:rPr>
            </w:pPr>
            <w:r w:rsidRPr="00E60539">
              <w:rPr>
                <w:rFonts w:ascii="Times New Roman" w:hAnsi="Times New Roman" w:cs="Times New Roman"/>
                <w:sz w:val="24"/>
                <w:szCs w:val="24"/>
              </w:rPr>
              <w:t xml:space="preserve">Emplacement </w:t>
            </w:r>
          </w:p>
          <w:p w:rsidR="0038008E" w:rsidRPr="00E60539" w:rsidRDefault="00631F95" w:rsidP="00540A65">
            <w:pPr>
              <w:numPr>
                <w:ilvl w:val="0"/>
                <w:numId w:val="28"/>
              </w:numPr>
              <w:tabs>
                <w:tab w:val="clear" w:pos="720"/>
                <w:tab w:val="num" w:pos="426"/>
              </w:tabs>
              <w:spacing w:after="0" w:line="240" w:lineRule="auto"/>
              <w:ind w:left="426" w:hanging="284"/>
              <w:rPr>
                <w:rFonts w:ascii="Times New Roman" w:hAnsi="Times New Roman" w:cs="Times New Roman"/>
                <w:sz w:val="24"/>
                <w:szCs w:val="24"/>
              </w:rPr>
            </w:pPr>
            <w:r w:rsidRPr="00E60539">
              <w:rPr>
                <w:rFonts w:ascii="Times New Roman" w:hAnsi="Times New Roman" w:cs="Times New Roman"/>
                <w:sz w:val="24"/>
                <w:szCs w:val="24"/>
              </w:rPr>
              <w:t>Plusieurs professeurs dynamiques et très compétents</w:t>
            </w:r>
          </w:p>
          <w:p w:rsidR="0038008E" w:rsidRPr="00E60539" w:rsidRDefault="00631F95" w:rsidP="00540A65">
            <w:pPr>
              <w:numPr>
                <w:ilvl w:val="0"/>
                <w:numId w:val="28"/>
              </w:numPr>
              <w:tabs>
                <w:tab w:val="clear" w:pos="720"/>
                <w:tab w:val="num" w:pos="426"/>
              </w:tabs>
              <w:spacing w:after="0" w:line="240" w:lineRule="auto"/>
              <w:ind w:left="426" w:hanging="284"/>
              <w:rPr>
                <w:rFonts w:ascii="Times New Roman" w:hAnsi="Times New Roman" w:cs="Times New Roman"/>
                <w:sz w:val="24"/>
                <w:szCs w:val="24"/>
              </w:rPr>
            </w:pPr>
            <w:r w:rsidRPr="00E60539">
              <w:rPr>
                <w:rFonts w:ascii="Times New Roman" w:hAnsi="Times New Roman" w:cs="Times New Roman"/>
                <w:sz w:val="24"/>
                <w:szCs w:val="24"/>
              </w:rPr>
              <w:t>Prix compétitif</w:t>
            </w:r>
          </w:p>
          <w:p w:rsidR="0038008E" w:rsidRPr="00E60539" w:rsidRDefault="00631F95" w:rsidP="00540A65">
            <w:pPr>
              <w:numPr>
                <w:ilvl w:val="0"/>
                <w:numId w:val="28"/>
              </w:numPr>
              <w:tabs>
                <w:tab w:val="clear" w:pos="720"/>
                <w:tab w:val="num" w:pos="426"/>
              </w:tabs>
              <w:spacing w:after="0" w:line="240" w:lineRule="auto"/>
              <w:ind w:left="426" w:hanging="284"/>
              <w:rPr>
                <w:rFonts w:ascii="Times New Roman" w:hAnsi="Times New Roman" w:cs="Times New Roman"/>
                <w:sz w:val="24"/>
                <w:szCs w:val="24"/>
              </w:rPr>
            </w:pPr>
            <w:r w:rsidRPr="00E60539">
              <w:rPr>
                <w:rFonts w:ascii="Times New Roman" w:hAnsi="Times New Roman" w:cs="Times New Roman"/>
                <w:sz w:val="24"/>
                <w:szCs w:val="24"/>
              </w:rPr>
              <w:t>Chaire de recherche sur la gestion des projets aéronautiques </w:t>
            </w:r>
          </w:p>
          <w:p w:rsidR="0038008E" w:rsidRPr="00E60539" w:rsidRDefault="00631F95" w:rsidP="00540A65">
            <w:pPr>
              <w:numPr>
                <w:ilvl w:val="0"/>
                <w:numId w:val="28"/>
              </w:numPr>
              <w:tabs>
                <w:tab w:val="clear" w:pos="720"/>
                <w:tab w:val="num" w:pos="426"/>
              </w:tabs>
              <w:spacing w:after="0" w:line="240" w:lineRule="auto"/>
              <w:ind w:left="426" w:hanging="284"/>
              <w:rPr>
                <w:rFonts w:ascii="Times New Roman" w:hAnsi="Times New Roman" w:cs="Times New Roman"/>
                <w:sz w:val="24"/>
                <w:szCs w:val="24"/>
              </w:rPr>
            </w:pPr>
            <w:r w:rsidRPr="00E60539">
              <w:rPr>
                <w:rFonts w:ascii="Times New Roman" w:hAnsi="Times New Roman" w:cs="Times New Roman"/>
                <w:sz w:val="24"/>
                <w:szCs w:val="24"/>
              </w:rPr>
              <w:t xml:space="preserve">Institut de recherche sur les PME </w:t>
            </w:r>
          </w:p>
          <w:p w:rsidR="0038008E" w:rsidRPr="00E60539" w:rsidRDefault="00631F95" w:rsidP="00540A65">
            <w:pPr>
              <w:numPr>
                <w:ilvl w:val="0"/>
                <w:numId w:val="28"/>
              </w:numPr>
              <w:tabs>
                <w:tab w:val="clear" w:pos="720"/>
                <w:tab w:val="num" w:pos="426"/>
              </w:tabs>
              <w:spacing w:after="0" w:line="240" w:lineRule="auto"/>
              <w:ind w:left="426" w:hanging="284"/>
              <w:rPr>
                <w:rFonts w:ascii="Times New Roman" w:hAnsi="Times New Roman" w:cs="Times New Roman"/>
                <w:sz w:val="24"/>
                <w:szCs w:val="24"/>
              </w:rPr>
            </w:pPr>
            <w:r w:rsidRPr="00E60539">
              <w:rPr>
                <w:rFonts w:ascii="Times New Roman" w:hAnsi="Times New Roman" w:cs="Times New Roman"/>
                <w:sz w:val="24"/>
                <w:szCs w:val="24"/>
              </w:rPr>
              <w:t>École d’ingénierie </w:t>
            </w:r>
          </w:p>
          <w:p w:rsidR="0038008E" w:rsidRPr="00E60539" w:rsidRDefault="00631F95" w:rsidP="00540A65">
            <w:pPr>
              <w:numPr>
                <w:ilvl w:val="0"/>
                <w:numId w:val="28"/>
              </w:numPr>
              <w:tabs>
                <w:tab w:val="clear" w:pos="720"/>
                <w:tab w:val="num" w:pos="426"/>
              </w:tabs>
              <w:spacing w:after="0" w:line="240" w:lineRule="auto"/>
              <w:ind w:left="426" w:hanging="284"/>
              <w:rPr>
                <w:rFonts w:ascii="Times New Roman" w:hAnsi="Times New Roman" w:cs="Times New Roman"/>
                <w:sz w:val="24"/>
                <w:szCs w:val="24"/>
              </w:rPr>
            </w:pPr>
            <w:r w:rsidRPr="00E60539">
              <w:rPr>
                <w:rFonts w:ascii="Times New Roman" w:hAnsi="Times New Roman" w:cs="Times New Roman"/>
                <w:sz w:val="24"/>
                <w:szCs w:val="24"/>
              </w:rPr>
              <w:t>Institut de recherche sur l’hydrogène </w:t>
            </w:r>
          </w:p>
          <w:p w:rsidR="0038008E" w:rsidRPr="00E60539" w:rsidRDefault="00631F95" w:rsidP="00540A65">
            <w:pPr>
              <w:numPr>
                <w:ilvl w:val="0"/>
                <w:numId w:val="28"/>
              </w:numPr>
              <w:tabs>
                <w:tab w:val="clear" w:pos="720"/>
                <w:tab w:val="num" w:pos="426"/>
              </w:tabs>
              <w:spacing w:after="0" w:line="240" w:lineRule="auto"/>
              <w:ind w:left="426" w:hanging="284"/>
              <w:rPr>
                <w:rFonts w:ascii="Times New Roman" w:hAnsi="Times New Roman" w:cs="Times New Roman"/>
                <w:sz w:val="24"/>
                <w:szCs w:val="24"/>
              </w:rPr>
            </w:pPr>
            <w:r w:rsidRPr="00E60539">
              <w:rPr>
                <w:rFonts w:ascii="Times New Roman" w:hAnsi="Times New Roman" w:cs="Times New Roman"/>
                <w:sz w:val="24"/>
                <w:szCs w:val="24"/>
              </w:rPr>
              <w:t>Réputation du programme de comptabilité</w:t>
            </w:r>
          </w:p>
          <w:p w:rsidR="0038008E" w:rsidRPr="00E60539" w:rsidRDefault="0038008E" w:rsidP="00E60539">
            <w:pPr>
              <w:spacing w:after="0"/>
              <w:rPr>
                <w:rFonts w:ascii="Times New Roman" w:hAnsi="Times New Roman" w:cs="Times New Roman"/>
                <w:sz w:val="24"/>
                <w:szCs w:val="24"/>
              </w:rPr>
            </w:pPr>
          </w:p>
        </w:tc>
        <w:tc>
          <w:tcPr>
            <w:tcW w:w="4910" w:type="dxa"/>
            <w:tcBorders>
              <w:top w:val="single" w:sz="18" w:space="0" w:color="855D5D"/>
              <w:left w:val="single" w:sz="8" w:space="0" w:color="855D5D"/>
              <w:bottom w:val="single" w:sz="8" w:space="0" w:color="855D5D"/>
              <w:right w:val="single" w:sz="8" w:space="0" w:color="855D5D"/>
            </w:tcBorders>
            <w:shd w:val="clear" w:color="auto" w:fill="auto"/>
            <w:tcMar>
              <w:top w:w="15" w:type="dxa"/>
              <w:left w:w="52" w:type="dxa"/>
              <w:bottom w:w="0" w:type="dxa"/>
              <w:right w:w="52" w:type="dxa"/>
            </w:tcMar>
            <w:hideMark/>
          </w:tcPr>
          <w:p w:rsidR="00E60539" w:rsidRDefault="00631F95" w:rsidP="00540A65">
            <w:pPr>
              <w:numPr>
                <w:ilvl w:val="0"/>
                <w:numId w:val="29"/>
              </w:numPr>
              <w:tabs>
                <w:tab w:val="clear" w:pos="720"/>
                <w:tab w:val="num" w:pos="373"/>
              </w:tabs>
              <w:spacing w:after="0" w:line="240" w:lineRule="auto"/>
              <w:ind w:left="373" w:hanging="283"/>
              <w:rPr>
                <w:rFonts w:ascii="Times New Roman" w:hAnsi="Times New Roman" w:cs="Times New Roman"/>
                <w:sz w:val="24"/>
                <w:szCs w:val="24"/>
              </w:rPr>
            </w:pPr>
            <w:r w:rsidRPr="00E306FE">
              <w:rPr>
                <w:rFonts w:ascii="Times New Roman" w:hAnsi="Times New Roman" w:cs="Times New Roman"/>
                <w:sz w:val="24"/>
                <w:szCs w:val="24"/>
              </w:rPr>
              <w:t>Peu de cours en ligne</w:t>
            </w:r>
            <w:r w:rsidR="00E60539" w:rsidRPr="00E306FE">
              <w:rPr>
                <w:rFonts w:ascii="Times New Roman" w:hAnsi="Times New Roman" w:cs="Times New Roman"/>
                <w:sz w:val="24"/>
                <w:szCs w:val="24"/>
              </w:rPr>
              <w:t> </w:t>
            </w:r>
          </w:p>
          <w:p w:rsidR="00E306FE" w:rsidRPr="00E306FE" w:rsidRDefault="00E306FE" w:rsidP="00E306FE">
            <w:pPr>
              <w:tabs>
                <w:tab w:val="num" w:pos="373"/>
              </w:tabs>
              <w:spacing w:after="0" w:line="240" w:lineRule="auto"/>
              <w:ind w:left="373"/>
              <w:rPr>
                <w:rFonts w:ascii="Times New Roman" w:hAnsi="Times New Roman" w:cs="Times New Roman"/>
                <w:sz w:val="24"/>
                <w:szCs w:val="24"/>
              </w:rPr>
            </w:pPr>
          </w:p>
          <w:p w:rsidR="0038008E" w:rsidRDefault="00631F95" w:rsidP="00540A65">
            <w:pPr>
              <w:numPr>
                <w:ilvl w:val="0"/>
                <w:numId w:val="30"/>
              </w:numPr>
              <w:tabs>
                <w:tab w:val="clear" w:pos="720"/>
                <w:tab w:val="num" w:pos="373"/>
              </w:tabs>
              <w:spacing w:after="0" w:line="240" w:lineRule="auto"/>
              <w:ind w:left="373" w:hanging="283"/>
              <w:rPr>
                <w:rFonts w:ascii="Times New Roman" w:hAnsi="Times New Roman" w:cs="Times New Roman"/>
                <w:sz w:val="24"/>
                <w:szCs w:val="24"/>
              </w:rPr>
            </w:pPr>
            <w:r w:rsidRPr="00E60539">
              <w:rPr>
                <w:rFonts w:ascii="Times New Roman" w:hAnsi="Times New Roman" w:cs="Times New Roman"/>
                <w:sz w:val="24"/>
                <w:szCs w:val="24"/>
              </w:rPr>
              <w:t>Système de gestion défaillant</w:t>
            </w:r>
          </w:p>
          <w:p w:rsidR="00E306FE" w:rsidRPr="00E60539" w:rsidRDefault="00E306FE" w:rsidP="00E306FE">
            <w:pPr>
              <w:spacing w:after="0" w:line="240" w:lineRule="auto"/>
              <w:ind w:left="373"/>
              <w:rPr>
                <w:rFonts w:ascii="Times New Roman" w:hAnsi="Times New Roman" w:cs="Times New Roman"/>
                <w:sz w:val="24"/>
                <w:szCs w:val="24"/>
              </w:rPr>
            </w:pPr>
          </w:p>
          <w:p w:rsidR="0038008E" w:rsidRPr="00E60539" w:rsidRDefault="00631F95" w:rsidP="00540A65">
            <w:pPr>
              <w:numPr>
                <w:ilvl w:val="0"/>
                <w:numId w:val="30"/>
              </w:numPr>
              <w:tabs>
                <w:tab w:val="clear" w:pos="720"/>
                <w:tab w:val="num" w:pos="373"/>
              </w:tabs>
              <w:spacing w:after="0" w:line="240" w:lineRule="auto"/>
              <w:ind w:left="373" w:hanging="283"/>
              <w:rPr>
                <w:rFonts w:ascii="Times New Roman" w:hAnsi="Times New Roman" w:cs="Times New Roman"/>
                <w:sz w:val="24"/>
                <w:szCs w:val="24"/>
              </w:rPr>
            </w:pPr>
            <w:r w:rsidRPr="00E60539">
              <w:rPr>
                <w:rFonts w:ascii="Times New Roman" w:hAnsi="Times New Roman" w:cs="Times New Roman"/>
                <w:sz w:val="24"/>
                <w:szCs w:val="24"/>
              </w:rPr>
              <w:t>Programme en ressources humaines non reconnu par l’Ordre des conseillers en ressources humaines</w:t>
            </w:r>
          </w:p>
          <w:p w:rsidR="00E60539" w:rsidRPr="00E60539" w:rsidRDefault="00E60539" w:rsidP="00E60539">
            <w:pPr>
              <w:spacing w:after="0"/>
              <w:rPr>
                <w:rFonts w:ascii="Times New Roman" w:hAnsi="Times New Roman" w:cs="Times New Roman"/>
                <w:sz w:val="24"/>
                <w:szCs w:val="24"/>
              </w:rPr>
            </w:pPr>
            <w:r w:rsidRPr="00E60539">
              <w:rPr>
                <w:rFonts w:ascii="Times New Roman" w:hAnsi="Times New Roman" w:cs="Times New Roman"/>
                <w:sz w:val="24"/>
                <w:szCs w:val="24"/>
              </w:rPr>
              <w:t> </w:t>
            </w:r>
          </w:p>
          <w:p w:rsidR="00E60539" w:rsidRPr="00E60539" w:rsidRDefault="00E60539" w:rsidP="00E60539">
            <w:pPr>
              <w:rPr>
                <w:rFonts w:ascii="Times New Roman" w:hAnsi="Times New Roman" w:cs="Times New Roman"/>
                <w:sz w:val="24"/>
                <w:szCs w:val="24"/>
              </w:rPr>
            </w:pPr>
            <w:r w:rsidRPr="00E60539">
              <w:rPr>
                <w:rFonts w:ascii="Times New Roman" w:hAnsi="Times New Roman" w:cs="Times New Roman"/>
                <w:sz w:val="24"/>
                <w:szCs w:val="24"/>
              </w:rPr>
              <w:t> </w:t>
            </w:r>
          </w:p>
          <w:p w:rsidR="0038008E" w:rsidRPr="00E60539" w:rsidRDefault="00E60539" w:rsidP="00E60539">
            <w:pPr>
              <w:rPr>
                <w:rFonts w:ascii="Times New Roman" w:hAnsi="Times New Roman" w:cs="Times New Roman"/>
                <w:sz w:val="24"/>
                <w:szCs w:val="24"/>
              </w:rPr>
            </w:pPr>
            <w:r w:rsidRPr="00E60539">
              <w:rPr>
                <w:rFonts w:ascii="Times New Roman" w:hAnsi="Times New Roman" w:cs="Times New Roman"/>
                <w:sz w:val="24"/>
                <w:szCs w:val="24"/>
              </w:rPr>
              <w:t xml:space="preserve">  </w:t>
            </w:r>
          </w:p>
        </w:tc>
      </w:tr>
      <w:tr w:rsidR="00E60539" w:rsidRPr="00E60539" w:rsidTr="00E306FE">
        <w:trPr>
          <w:trHeight w:val="559"/>
        </w:trPr>
        <w:tc>
          <w:tcPr>
            <w:tcW w:w="4730" w:type="dxa"/>
            <w:tcBorders>
              <w:top w:val="single" w:sz="8" w:space="0" w:color="855D5D"/>
              <w:left w:val="single" w:sz="8" w:space="0" w:color="855D5D"/>
              <w:bottom w:val="single" w:sz="8" w:space="0" w:color="855D5D"/>
              <w:right w:val="single" w:sz="8" w:space="0" w:color="855D5D"/>
            </w:tcBorders>
            <w:shd w:val="clear" w:color="auto" w:fill="00703C"/>
            <w:tcMar>
              <w:top w:w="15" w:type="dxa"/>
              <w:left w:w="52" w:type="dxa"/>
              <w:bottom w:w="0" w:type="dxa"/>
              <w:right w:w="52" w:type="dxa"/>
            </w:tcMar>
            <w:vAlign w:val="center"/>
            <w:hideMark/>
          </w:tcPr>
          <w:p w:rsidR="0038008E" w:rsidRPr="00E60539" w:rsidRDefault="00E60539" w:rsidP="00E60539">
            <w:pPr>
              <w:rPr>
                <w:rFonts w:ascii="Times New Roman" w:hAnsi="Times New Roman" w:cs="Times New Roman"/>
                <w:color w:val="FFFFFF" w:themeColor="background1"/>
                <w:sz w:val="24"/>
                <w:szCs w:val="24"/>
              </w:rPr>
            </w:pPr>
            <w:r w:rsidRPr="00E60539">
              <w:rPr>
                <w:rFonts w:ascii="Times New Roman" w:hAnsi="Times New Roman" w:cs="Times New Roman"/>
                <w:b/>
                <w:bCs/>
                <w:color w:val="FFFFFF" w:themeColor="background1"/>
                <w:sz w:val="24"/>
                <w:szCs w:val="24"/>
              </w:rPr>
              <w:t>Opportunités  (O)</w:t>
            </w:r>
          </w:p>
        </w:tc>
        <w:tc>
          <w:tcPr>
            <w:tcW w:w="4910" w:type="dxa"/>
            <w:tcBorders>
              <w:top w:val="single" w:sz="8" w:space="0" w:color="855D5D"/>
              <w:left w:val="single" w:sz="8" w:space="0" w:color="855D5D"/>
              <w:bottom w:val="single" w:sz="8" w:space="0" w:color="855D5D"/>
              <w:right w:val="single" w:sz="8" w:space="0" w:color="855D5D"/>
            </w:tcBorders>
            <w:shd w:val="clear" w:color="auto" w:fill="00703C"/>
            <w:tcMar>
              <w:top w:w="15" w:type="dxa"/>
              <w:left w:w="52" w:type="dxa"/>
              <w:bottom w:w="0" w:type="dxa"/>
              <w:right w:w="52" w:type="dxa"/>
            </w:tcMar>
            <w:vAlign w:val="center"/>
            <w:hideMark/>
          </w:tcPr>
          <w:p w:rsidR="0038008E" w:rsidRPr="00E60539" w:rsidRDefault="00E60539" w:rsidP="00E60539">
            <w:pPr>
              <w:rPr>
                <w:rFonts w:ascii="Times New Roman" w:hAnsi="Times New Roman" w:cs="Times New Roman"/>
                <w:color w:val="FFFFFF" w:themeColor="background1"/>
                <w:sz w:val="24"/>
                <w:szCs w:val="24"/>
              </w:rPr>
            </w:pPr>
            <w:r w:rsidRPr="00E60539">
              <w:rPr>
                <w:rFonts w:ascii="Times New Roman" w:hAnsi="Times New Roman" w:cs="Times New Roman"/>
                <w:b/>
                <w:bCs/>
                <w:color w:val="FFFFFF" w:themeColor="background1"/>
                <w:sz w:val="24"/>
                <w:szCs w:val="24"/>
              </w:rPr>
              <w:t> Menaces (T)</w:t>
            </w:r>
          </w:p>
        </w:tc>
      </w:tr>
      <w:tr w:rsidR="00E60539" w:rsidRPr="00E60539" w:rsidTr="00E306FE">
        <w:trPr>
          <w:trHeight w:val="2161"/>
        </w:trPr>
        <w:tc>
          <w:tcPr>
            <w:tcW w:w="4730" w:type="dxa"/>
            <w:tcBorders>
              <w:top w:val="single" w:sz="8" w:space="0" w:color="855D5D"/>
              <w:left w:val="single" w:sz="8" w:space="0" w:color="855D5D"/>
              <w:bottom w:val="single" w:sz="8" w:space="0" w:color="855D5D"/>
              <w:right w:val="single" w:sz="8" w:space="0" w:color="855D5D"/>
            </w:tcBorders>
            <w:shd w:val="clear" w:color="auto" w:fill="auto"/>
            <w:tcMar>
              <w:top w:w="15" w:type="dxa"/>
              <w:left w:w="52" w:type="dxa"/>
              <w:bottom w:w="0" w:type="dxa"/>
              <w:right w:w="52" w:type="dxa"/>
            </w:tcMar>
            <w:hideMark/>
          </w:tcPr>
          <w:p w:rsidR="0038008E" w:rsidRPr="00E60539" w:rsidRDefault="00631F95" w:rsidP="00540A65">
            <w:pPr>
              <w:numPr>
                <w:ilvl w:val="0"/>
                <w:numId w:val="31"/>
              </w:numPr>
              <w:spacing w:after="0" w:line="240" w:lineRule="auto"/>
              <w:rPr>
                <w:rFonts w:ascii="Times New Roman" w:hAnsi="Times New Roman" w:cs="Times New Roman"/>
                <w:sz w:val="24"/>
                <w:szCs w:val="24"/>
              </w:rPr>
            </w:pPr>
            <w:r w:rsidRPr="00E60539">
              <w:rPr>
                <w:rFonts w:ascii="Times New Roman" w:hAnsi="Times New Roman" w:cs="Times New Roman"/>
                <w:sz w:val="24"/>
                <w:szCs w:val="24"/>
              </w:rPr>
              <w:t>Les cours en ligne</w:t>
            </w:r>
          </w:p>
          <w:p w:rsidR="00E60539" w:rsidRPr="00E60539" w:rsidRDefault="00E60539" w:rsidP="00E306FE">
            <w:pPr>
              <w:spacing w:after="0" w:line="240" w:lineRule="auto"/>
              <w:rPr>
                <w:rFonts w:ascii="Times New Roman" w:hAnsi="Times New Roman" w:cs="Times New Roman"/>
                <w:sz w:val="24"/>
                <w:szCs w:val="24"/>
              </w:rPr>
            </w:pPr>
            <w:r w:rsidRPr="00E60539">
              <w:rPr>
                <w:rFonts w:ascii="Times New Roman" w:hAnsi="Times New Roman" w:cs="Times New Roman"/>
                <w:sz w:val="24"/>
                <w:szCs w:val="24"/>
              </w:rPr>
              <w:t> </w:t>
            </w:r>
          </w:p>
          <w:p w:rsidR="0038008E" w:rsidRPr="00E60539" w:rsidRDefault="00631F95" w:rsidP="00540A65">
            <w:pPr>
              <w:numPr>
                <w:ilvl w:val="0"/>
                <w:numId w:val="32"/>
              </w:numPr>
              <w:spacing w:after="0" w:line="240" w:lineRule="auto"/>
              <w:rPr>
                <w:rFonts w:ascii="Times New Roman" w:hAnsi="Times New Roman" w:cs="Times New Roman"/>
                <w:sz w:val="24"/>
                <w:szCs w:val="24"/>
              </w:rPr>
            </w:pPr>
            <w:r w:rsidRPr="00E60539">
              <w:rPr>
                <w:rFonts w:ascii="Times New Roman" w:hAnsi="Times New Roman" w:cs="Times New Roman"/>
                <w:sz w:val="24"/>
                <w:szCs w:val="24"/>
              </w:rPr>
              <w:t>École des sciences de la gestion</w:t>
            </w:r>
          </w:p>
          <w:p w:rsidR="00E60539" w:rsidRPr="00E60539" w:rsidRDefault="00E60539" w:rsidP="00E306FE">
            <w:pPr>
              <w:spacing w:after="0" w:line="240" w:lineRule="auto"/>
              <w:rPr>
                <w:rFonts w:ascii="Times New Roman" w:hAnsi="Times New Roman" w:cs="Times New Roman"/>
                <w:sz w:val="24"/>
                <w:szCs w:val="24"/>
              </w:rPr>
            </w:pPr>
            <w:r w:rsidRPr="00E60539">
              <w:rPr>
                <w:rFonts w:ascii="Times New Roman" w:hAnsi="Times New Roman" w:cs="Times New Roman"/>
                <w:sz w:val="24"/>
                <w:szCs w:val="24"/>
              </w:rPr>
              <w:t> </w:t>
            </w:r>
          </w:p>
          <w:p w:rsidR="0038008E" w:rsidRPr="00E60539" w:rsidRDefault="00631F95" w:rsidP="00540A65">
            <w:pPr>
              <w:numPr>
                <w:ilvl w:val="0"/>
                <w:numId w:val="33"/>
              </w:numPr>
              <w:spacing w:after="0" w:line="240" w:lineRule="auto"/>
              <w:rPr>
                <w:rFonts w:ascii="Times New Roman" w:hAnsi="Times New Roman" w:cs="Times New Roman"/>
                <w:sz w:val="24"/>
                <w:szCs w:val="24"/>
              </w:rPr>
            </w:pPr>
            <w:r w:rsidRPr="00E60539">
              <w:rPr>
                <w:rFonts w:ascii="Times New Roman" w:hAnsi="Times New Roman" w:cs="Times New Roman"/>
                <w:sz w:val="24"/>
                <w:szCs w:val="24"/>
              </w:rPr>
              <w:t xml:space="preserve">Technologie pour l’éducation </w:t>
            </w:r>
          </w:p>
        </w:tc>
        <w:tc>
          <w:tcPr>
            <w:tcW w:w="4910" w:type="dxa"/>
            <w:tcBorders>
              <w:top w:val="single" w:sz="8" w:space="0" w:color="855D5D"/>
              <w:left w:val="single" w:sz="8" w:space="0" w:color="855D5D"/>
              <w:bottom w:val="single" w:sz="8" w:space="0" w:color="855D5D"/>
              <w:right w:val="single" w:sz="8" w:space="0" w:color="855D5D"/>
            </w:tcBorders>
            <w:shd w:val="clear" w:color="auto" w:fill="auto"/>
            <w:tcMar>
              <w:top w:w="15" w:type="dxa"/>
              <w:left w:w="52" w:type="dxa"/>
              <w:bottom w:w="0" w:type="dxa"/>
              <w:right w:w="52" w:type="dxa"/>
            </w:tcMar>
            <w:hideMark/>
          </w:tcPr>
          <w:p w:rsidR="0038008E" w:rsidRPr="00E60539" w:rsidRDefault="00631F95" w:rsidP="00540A65">
            <w:pPr>
              <w:numPr>
                <w:ilvl w:val="0"/>
                <w:numId w:val="33"/>
              </w:numPr>
              <w:spacing w:after="0" w:line="240" w:lineRule="auto"/>
              <w:rPr>
                <w:rFonts w:ascii="Times New Roman" w:hAnsi="Times New Roman" w:cs="Times New Roman"/>
                <w:sz w:val="24"/>
                <w:szCs w:val="24"/>
              </w:rPr>
            </w:pPr>
            <w:r w:rsidRPr="00E60539">
              <w:rPr>
                <w:rFonts w:ascii="Times New Roman" w:hAnsi="Times New Roman" w:cs="Times New Roman"/>
                <w:sz w:val="24"/>
                <w:szCs w:val="24"/>
              </w:rPr>
              <w:t>Les cours en ligne</w:t>
            </w:r>
          </w:p>
          <w:p w:rsidR="0038008E" w:rsidRPr="00E60539" w:rsidRDefault="00631F95" w:rsidP="00540A65">
            <w:pPr>
              <w:numPr>
                <w:ilvl w:val="0"/>
                <w:numId w:val="33"/>
              </w:numPr>
              <w:spacing w:after="0" w:line="240" w:lineRule="auto"/>
              <w:rPr>
                <w:rFonts w:ascii="Times New Roman" w:hAnsi="Times New Roman" w:cs="Times New Roman"/>
                <w:sz w:val="24"/>
                <w:szCs w:val="24"/>
              </w:rPr>
            </w:pPr>
            <w:r w:rsidRPr="00E60539">
              <w:rPr>
                <w:rFonts w:ascii="Times New Roman" w:hAnsi="Times New Roman" w:cs="Times New Roman"/>
                <w:sz w:val="24"/>
                <w:szCs w:val="24"/>
              </w:rPr>
              <w:t>Les coupures budgétaires</w:t>
            </w:r>
          </w:p>
          <w:p w:rsidR="0038008E" w:rsidRPr="00E60539" w:rsidRDefault="00631F95" w:rsidP="00540A65">
            <w:pPr>
              <w:numPr>
                <w:ilvl w:val="0"/>
                <w:numId w:val="33"/>
              </w:numPr>
              <w:spacing w:after="0" w:line="240" w:lineRule="auto"/>
              <w:rPr>
                <w:rFonts w:ascii="Times New Roman" w:hAnsi="Times New Roman" w:cs="Times New Roman"/>
                <w:sz w:val="24"/>
                <w:szCs w:val="24"/>
              </w:rPr>
            </w:pPr>
            <w:r w:rsidRPr="00E60539">
              <w:rPr>
                <w:rFonts w:ascii="Times New Roman" w:hAnsi="Times New Roman" w:cs="Times New Roman"/>
                <w:sz w:val="24"/>
                <w:szCs w:val="24"/>
              </w:rPr>
              <w:t>Plusieurs personnes influentes demandent la mise sous tutelle de l’UQTR </w:t>
            </w:r>
          </w:p>
          <w:p w:rsidR="0038008E" w:rsidRPr="00E60539" w:rsidRDefault="00631F95" w:rsidP="00540A65">
            <w:pPr>
              <w:numPr>
                <w:ilvl w:val="0"/>
                <w:numId w:val="33"/>
              </w:numPr>
              <w:spacing w:after="0" w:line="240" w:lineRule="auto"/>
              <w:rPr>
                <w:rFonts w:ascii="Times New Roman" w:hAnsi="Times New Roman" w:cs="Times New Roman"/>
                <w:sz w:val="24"/>
                <w:szCs w:val="24"/>
              </w:rPr>
            </w:pPr>
            <w:r w:rsidRPr="00E60539">
              <w:rPr>
                <w:rFonts w:ascii="Times New Roman" w:hAnsi="Times New Roman" w:cs="Times New Roman"/>
                <w:sz w:val="24"/>
                <w:szCs w:val="24"/>
              </w:rPr>
              <w:t>UPAC menant enquête sous soupçon de corruption</w:t>
            </w:r>
          </w:p>
          <w:p w:rsidR="0038008E" w:rsidRPr="00E60539" w:rsidRDefault="00631F95" w:rsidP="00540A65">
            <w:pPr>
              <w:numPr>
                <w:ilvl w:val="0"/>
                <w:numId w:val="33"/>
              </w:numPr>
              <w:spacing w:after="0" w:line="240" w:lineRule="auto"/>
              <w:rPr>
                <w:rFonts w:ascii="Times New Roman" w:hAnsi="Times New Roman" w:cs="Times New Roman"/>
                <w:sz w:val="24"/>
                <w:szCs w:val="24"/>
              </w:rPr>
            </w:pPr>
            <w:r w:rsidRPr="00E60539">
              <w:rPr>
                <w:rFonts w:ascii="Times New Roman" w:hAnsi="Times New Roman" w:cs="Times New Roman"/>
                <w:sz w:val="24"/>
                <w:szCs w:val="24"/>
              </w:rPr>
              <w:t>Santé économique de la Mauricie mauvaise</w:t>
            </w:r>
          </w:p>
        </w:tc>
      </w:tr>
    </w:tbl>
    <w:p w:rsidR="00BF0F0A" w:rsidRDefault="00BF0F0A" w:rsidP="00E306FE">
      <w:pPr>
        <w:spacing w:after="0"/>
      </w:pPr>
    </w:p>
    <w:p w:rsidR="00BF0F0A" w:rsidRPr="00BF0F0A" w:rsidRDefault="00BF0F0A" w:rsidP="00BF0F0A"/>
    <w:p w:rsidR="00BF0F0A" w:rsidRPr="00676914" w:rsidRDefault="00BF0F0A" w:rsidP="00123FFA">
      <w:pPr>
        <w:spacing w:line="360" w:lineRule="auto"/>
        <w:ind w:firstLine="708"/>
        <w:jc w:val="both"/>
        <w:rPr>
          <w:rFonts w:ascii="Times New Roman" w:hAnsi="Times New Roman" w:cs="Times New Roman"/>
          <w:sz w:val="24"/>
          <w:szCs w:val="24"/>
        </w:rPr>
      </w:pPr>
      <w:r w:rsidRPr="00676914">
        <w:rPr>
          <w:rFonts w:ascii="Times New Roman" w:hAnsi="Times New Roman" w:cs="Times New Roman"/>
          <w:sz w:val="24"/>
          <w:szCs w:val="24"/>
        </w:rPr>
        <w:t xml:space="preserve">D’après nos recherches, nous pouvons affirmer que la plus grande force de l’Université est son emplacement. En effet, la clientèle accorde beaucoup d’importance à ce point selon le sondage et l’UQTR est très bien </w:t>
      </w:r>
      <w:r w:rsidR="003520A0">
        <w:rPr>
          <w:rFonts w:ascii="Times New Roman" w:hAnsi="Times New Roman" w:cs="Times New Roman"/>
          <w:sz w:val="24"/>
          <w:szCs w:val="24"/>
        </w:rPr>
        <w:t>classée</w:t>
      </w:r>
      <w:r w:rsidRPr="00676914">
        <w:rPr>
          <w:rFonts w:ascii="Times New Roman" w:hAnsi="Times New Roman" w:cs="Times New Roman"/>
          <w:sz w:val="24"/>
          <w:szCs w:val="24"/>
        </w:rPr>
        <w:t xml:space="preserve"> pour ce sujet. Ensuite, il y a plusieurs de professeur qui sont très dynamique dans </w:t>
      </w:r>
      <w:r w:rsidR="003520A0">
        <w:rPr>
          <w:rFonts w:ascii="Times New Roman" w:hAnsi="Times New Roman" w:cs="Times New Roman"/>
          <w:sz w:val="24"/>
          <w:szCs w:val="24"/>
        </w:rPr>
        <w:t>leurs</w:t>
      </w:r>
      <w:r w:rsidRPr="00676914">
        <w:rPr>
          <w:rFonts w:ascii="Times New Roman" w:hAnsi="Times New Roman" w:cs="Times New Roman"/>
          <w:sz w:val="24"/>
          <w:szCs w:val="24"/>
        </w:rPr>
        <w:t xml:space="preserve"> cours (augmentant ainsi l’intérêt des étudiants) et qui sont aussi très compétent dans leurs recherches. Puis, étant donné que l’UQTR fait partie du réseau des UQ, ses prix sont très compétitifs. Finalement, il y a plusieurs chaires et instituts de recherche qui augmentent la réputation de l’Université. </w:t>
      </w:r>
    </w:p>
    <w:p w:rsidR="00BF0F0A" w:rsidRPr="00676914" w:rsidRDefault="00BF0F0A" w:rsidP="00123FFA">
      <w:pPr>
        <w:spacing w:line="360" w:lineRule="auto"/>
        <w:ind w:firstLine="708"/>
        <w:jc w:val="both"/>
        <w:rPr>
          <w:rFonts w:ascii="Times New Roman" w:hAnsi="Times New Roman" w:cs="Times New Roman"/>
          <w:sz w:val="24"/>
          <w:szCs w:val="24"/>
        </w:rPr>
      </w:pPr>
      <w:r w:rsidRPr="00676914">
        <w:rPr>
          <w:rFonts w:ascii="Times New Roman" w:hAnsi="Times New Roman" w:cs="Times New Roman"/>
          <w:sz w:val="24"/>
          <w:szCs w:val="24"/>
        </w:rPr>
        <w:lastRenderedPageBreak/>
        <w:t xml:space="preserve">Au niveau des faiblesses, nous en avons </w:t>
      </w:r>
      <w:r w:rsidR="003520A0">
        <w:rPr>
          <w:rFonts w:ascii="Times New Roman" w:hAnsi="Times New Roman" w:cs="Times New Roman"/>
          <w:sz w:val="24"/>
          <w:szCs w:val="24"/>
        </w:rPr>
        <w:t>discernées</w:t>
      </w:r>
      <w:r w:rsidRPr="00676914">
        <w:rPr>
          <w:rFonts w:ascii="Times New Roman" w:hAnsi="Times New Roman" w:cs="Times New Roman"/>
          <w:sz w:val="24"/>
          <w:szCs w:val="24"/>
        </w:rPr>
        <w:t xml:space="preserve"> quelques-unes. Tout d’abord, il y a un manque flagrant de cours en ligne. Bien qu’il soit idéal d’avoir des élèves en classes, leur donner la chance d’avoir plus de cours en ligne attirerait certainement plusieurs nouveaux étudiants. Ensuite, étant donné les allégations de corruption  et les demandes de </w:t>
      </w:r>
      <w:r w:rsidRPr="00676914">
        <w:rPr>
          <w:rStyle w:val="Appelnotedebasdep"/>
          <w:rFonts w:ascii="Times New Roman" w:hAnsi="Times New Roman" w:cs="Times New Roman"/>
          <w:sz w:val="24"/>
          <w:szCs w:val="24"/>
        </w:rPr>
        <w:footnoteReference w:id="72"/>
      </w:r>
      <w:r w:rsidRPr="00676914">
        <w:rPr>
          <w:rFonts w:ascii="Times New Roman" w:hAnsi="Times New Roman" w:cs="Times New Roman"/>
          <w:sz w:val="24"/>
          <w:szCs w:val="24"/>
        </w:rPr>
        <w:t xml:space="preserve">mise sous tutelle de l’UQTR, nous pouvons </w:t>
      </w:r>
      <w:r w:rsidR="003520A0">
        <w:rPr>
          <w:rFonts w:ascii="Times New Roman" w:hAnsi="Times New Roman" w:cs="Times New Roman"/>
          <w:sz w:val="24"/>
          <w:szCs w:val="24"/>
        </w:rPr>
        <w:t>douter</w:t>
      </w:r>
      <w:r w:rsidRPr="00676914">
        <w:rPr>
          <w:rFonts w:ascii="Times New Roman" w:hAnsi="Times New Roman" w:cs="Times New Roman"/>
          <w:sz w:val="24"/>
          <w:szCs w:val="24"/>
        </w:rPr>
        <w:t xml:space="preserve"> du système de gestion de l’UQTR. Finalement, il y a quelques défaillances en ce qui concerne certains pr</w:t>
      </w:r>
      <w:r w:rsidR="003520A0">
        <w:rPr>
          <w:rFonts w:ascii="Times New Roman" w:hAnsi="Times New Roman" w:cs="Times New Roman"/>
          <w:sz w:val="24"/>
          <w:szCs w:val="24"/>
        </w:rPr>
        <w:t>ogrammes, par exemple celui en R</w:t>
      </w:r>
      <w:r w:rsidRPr="00676914">
        <w:rPr>
          <w:rFonts w:ascii="Times New Roman" w:hAnsi="Times New Roman" w:cs="Times New Roman"/>
          <w:sz w:val="24"/>
          <w:szCs w:val="24"/>
        </w:rPr>
        <w:t>essource</w:t>
      </w:r>
      <w:r w:rsidR="003520A0">
        <w:rPr>
          <w:rFonts w:ascii="Times New Roman" w:hAnsi="Times New Roman" w:cs="Times New Roman"/>
          <w:sz w:val="24"/>
          <w:szCs w:val="24"/>
        </w:rPr>
        <w:t>s</w:t>
      </w:r>
      <w:r w:rsidRPr="00676914">
        <w:rPr>
          <w:rFonts w:ascii="Times New Roman" w:hAnsi="Times New Roman" w:cs="Times New Roman"/>
          <w:sz w:val="24"/>
          <w:szCs w:val="24"/>
        </w:rPr>
        <w:t xml:space="preserve"> humaines qui n’est pas reconnu par l’Ordre des conseillers en ressources humaines. En effet, dans les programmes des autres universités, les étudiants sont immédiatement reconnus comme </w:t>
      </w:r>
      <w:r w:rsidR="003520A0">
        <w:rPr>
          <w:rFonts w:ascii="Times New Roman" w:hAnsi="Times New Roman" w:cs="Times New Roman"/>
          <w:sz w:val="24"/>
          <w:szCs w:val="24"/>
        </w:rPr>
        <w:t>membres</w:t>
      </w:r>
      <w:r w:rsidRPr="00676914">
        <w:rPr>
          <w:rFonts w:ascii="Times New Roman" w:hAnsi="Times New Roman" w:cs="Times New Roman"/>
          <w:sz w:val="24"/>
          <w:szCs w:val="24"/>
        </w:rPr>
        <w:t xml:space="preserve"> de l’Ordre. Tandis qu’à l’UQTR, les étudiants doivent se soumettre à un examen supplémentaire. </w:t>
      </w:r>
    </w:p>
    <w:p w:rsidR="00BF0F0A" w:rsidRPr="00676914" w:rsidRDefault="00BF0F0A" w:rsidP="00123FFA">
      <w:pPr>
        <w:spacing w:line="360" w:lineRule="auto"/>
        <w:ind w:firstLine="708"/>
        <w:jc w:val="both"/>
        <w:rPr>
          <w:rFonts w:ascii="Times New Roman" w:hAnsi="Times New Roman" w:cs="Times New Roman"/>
          <w:sz w:val="24"/>
          <w:szCs w:val="24"/>
        </w:rPr>
      </w:pPr>
      <w:r w:rsidRPr="00676914">
        <w:rPr>
          <w:rFonts w:ascii="Times New Roman" w:hAnsi="Times New Roman" w:cs="Times New Roman"/>
          <w:sz w:val="24"/>
          <w:szCs w:val="24"/>
        </w:rPr>
        <w:t xml:space="preserve">Pour ce qui est des opportunités, il y en a trois. Tout d’abord, si les subventions le permettent, l’UQTR pourrait appliquer les nouvelles technologies de l’éducation, tel que les tableaux interactifs dans les salles de </w:t>
      </w:r>
      <w:r w:rsidR="003520A0">
        <w:rPr>
          <w:rFonts w:ascii="Times New Roman" w:hAnsi="Times New Roman" w:cs="Times New Roman"/>
          <w:sz w:val="24"/>
          <w:szCs w:val="24"/>
        </w:rPr>
        <w:t>classe</w:t>
      </w:r>
      <w:r w:rsidRPr="00676914">
        <w:rPr>
          <w:rFonts w:ascii="Times New Roman" w:hAnsi="Times New Roman" w:cs="Times New Roman"/>
          <w:sz w:val="24"/>
          <w:szCs w:val="24"/>
        </w:rPr>
        <w:t xml:space="preserve">. Cela augmenterait grandement l’impression de sophistication de l’établissement et attirerait la clientèle. Ensuite, il est possible d’améliorer les cours en ligne, d’en offrir quelques-uns en plus. Puis, avec le projet de l’École des sciences de la gestion, de nombreuses possibilités s’ouvrent pour l’UQTR qui pourrait devenir aussi </w:t>
      </w:r>
      <w:r w:rsidR="003520A0">
        <w:rPr>
          <w:rFonts w:ascii="Times New Roman" w:hAnsi="Times New Roman" w:cs="Times New Roman"/>
          <w:sz w:val="24"/>
          <w:szCs w:val="24"/>
        </w:rPr>
        <w:t>réputée</w:t>
      </w:r>
      <w:r w:rsidRPr="00676914">
        <w:rPr>
          <w:rFonts w:ascii="Times New Roman" w:hAnsi="Times New Roman" w:cs="Times New Roman"/>
          <w:sz w:val="24"/>
          <w:szCs w:val="24"/>
        </w:rPr>
        <w:t xml:space="preserve"> que le HEC. </w:t>
      </w:r>
    </w:p>
    <w:p w:rsidR="00BF0F0A" w:rsidRPr="00676914" w:rsidRDefault="00BF0F0A" w:rsidP="00BF0F0A">
      <w:pPr>
        <w:spacing w:line="360" w:lineRule="auto"/>
        <w:jc w:val="both"/>
        <w:rPr>
          <w:rFonts w:ascii="Times New Roman" w:hAnsi="Times New Roman" w:cs="Times New Roman"/>
          <w:sz w:val="24"/>
          <w:szCs w:val="24"/>
        </w:rPr>
      </w:pPr>
      <w:r w:rsidRPr="00676914">
        <w:rPr>
          <w:rFonts w:ascii="Times New Roman" w:hAnsi="Times New Roman" w:cs="Times New Roman"/>
          <w:sz w:val="24"/>
          <w:szCs w:val="24"/>
        </w:rPr>
        <w:t xml:space="preserve">Pour terminer, les menaces. Bien que les cours en lignes soient une opportunité, ils peuvent aussi être aperçus comme une menace. En effet, la TELUQ et toutes les autres universités offrant des cours en ligne peuvent faire en sorte que les élèves suivent certains cours de leur programme dans ces universités, au lieu de l’UQTR. Il faut donc s’adresser adéquatement à ce problème. Puis, il y a les coupures budgétaires. Si le gouvernement décide d’augmenter les coupures, l’UQTR pourrait devoir abaisser son niveau de service. Ensuite, la demande de mise sous tutelle de l’UQTR qui remettrait en cause la réputation de l’Université. Toujours dans cette polémique, l’enquête de l’UPAC à cause des soupçons posés sur la rectrice. Finalement, il y a la santé économique de la Mauricie qui ne va pas très bien et cela peut affecter le nombre d’étudiants qui veulent avoir un emploi tout en suivant leurs cours. </w:t>
      </w:r>
    </w:p>
    <w:p w:rsidR="000D0609" w:rsidRPr="00A4138B" w:rsidRDefault="007A7A51" w:rsidP="00A4138B">
      <w:pPr>
        <w:pStyle w:val="Titre1"/>
        <w:rPr>
          <w:color w:val="00703C" w:themeColor="accent1"/>
          <w:sz w:val="26"/>
          <w:szCs w:val="26"/>
        </w:rPr>
      </w:pPr>
      <w:bookmarkStart w:id="28" w:name="_Toc417486241"/>
      <w:r>
        <w:lastRenderedPageBreak/>
        <w:t xml:space="preserve">4. </w:t>
      </w:r>
      <w:r w:rsidR="000D0609" w:rsidRPr="00EE58D6">
        <w:t>L’intention stratégique</w:t>
      </w:r>
      <w:bookmarkStart w:id="29" w:name="_GoBack"/>
      <w:bookmarkEnd w:id="28"/>
      <w:bookmarkEnd w:id="29"/>
    </w:p>
    <w:p w:rsidR="000D0609" w:rsidRPr="00EE58D6" w:rsidRDefault="00EE58D6" w:rsidP="00EE58D6">
      <w:pPr>
        <w:pStyle w:val="Titre3"/>
        <w:rPr>
          <w:szCs w:val="24"/>
        </w:rPr>
      </w:pPr>
      <w:bookmarkStart w:id="30" w:name="_Toc417486242"/>
      <w:r w:rsidRPr="00EE58D6">
        <w:rPr>
          <w:szCs w:val="24"/>
        </w:rPr>
        <w:t xml:space="preserve">4.1 </w:t>
      </w:r>
      <w:r w:rsidR="000D0609" w:rsidRPr="00EE58D6">
        <w:rPr>
          <w:szCs w:val="24"/>
        </w:rPr>
        <w:t>La chaîne de gouvernance</w:t>
      </w:r>
      <w:bookmarkEnd w:id="30"/>
    </w:p>
    <w:p w:rsidR="00F45DEB" w:rsidRPr="00F45DEB" w:rsidRDefault="00F45DEB" w:rsidP="00F45DEB"/>
    <w:p w:rsidR="008F4E76" w:rsidRPr="008F4E76" w:rsidRDefault="00F45DEB" w:rsidP="008F4E76">
      <w:r>
        <w:rPr>
          <w:rFonts w:ascii="Times New Roman" w:hAnsi="Times New Roman" w:cs="Times New Roman"/>
          <w:noProof/>
          <w:sz w:val="24"/>
          <w:szCs w:val="24"/>
          <w:lang w:eastAsia="fr-CA"/>
        </w:rPr>
        <w:drawing>
          <wp:inline distT="0" distB="0" distL="0" distR="0">
            <wp:extent cx="5486400" cy="1826440"/>
            <wp:effectExtent l="19050" t="0" r="0" b="0"/>
            <wp:docPr id="42" name="Image 2" descr="C:\Users\Célia\Documents\Administration des affaires\Hiver 2015\Gestion stratégique des entreprises\Chaine de gouvern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élia\Documents\Administration des affaires\Hiver 2015\Gestion stratégique des entreprises\Chaine de gouvernance.png"/>
                    <pic:cNvPicPr>
                      <a:picLocks noChangeAspect="1" noChangeArrowheads="1"/>
                    </pic:cNvPicPr>
                  </pic:nvPicPr>
                  <pic:blipFill>
                    <a:blip r:embed="rId27" cstate="print"/>
                    <a:srcRect/>
                    <a:stretch>
                      <a:fillRect/>
                    </a:stretch>
                  </pic:blipFill>
                  <pic:spPr bwMode="auto">
                    <a:xfrm>
                      <a:off x="0" y="0"/>
                      <a:ext cx="5486400" cy="1826440"/>
                    </a:xfrm>
                    <a:prstGeom prst="rect">
                      <a:avLst/>
                    </a:prstGeom>
                    <a:noFill/>
                    <a:ln w="9525">
                      <a:noFill/>
                      <a:miter lim="800000"/>
                      <a:headEnd/>
                      <a:tailEnd/>
                    </a:ln>
                  </pic:spPr>
                </pic:pic>
              </a:graphicData>
            </a:graphic>
          </wp:inline>
        </w:drawing>
      </w:r>
    </w:p>
    <w:p w:rsidR="008F4E76" w:rsidRPr="009D5879" w:rsidRDefault="008F4E76" w:rsidP="008F4E76">
      <w:pPr>
        <w:spacing w:after="0" w:line="240" w:lineRule="auto"/>
        <w:jc w:val="center"/>
        <w:rPr>
          <w:rFonts w:ascii="Times New Roman" w:hAnsi="Times New Roman" w:cs="Times New Roman"/>
          <w:sz w:val="20"/>
          <w:szCs w:val="20"/>
        </w:rPr>
      </w:pPr>
      <w:r w:rsidRPr="009D5879">
        <w:rPr>
          <w:rFonts w:ascii="Times New Roman" w:hAnsi="Times New Roman" w:cs="Times New Roman"/>
          <w:sz w:val="20"/>
          <w:szCs w:val="20"/>
        </w:rPr>
        <w:t>Source : UQTR (8 décembre</w:t>
      </w:r>
      <w:r>
        <w:rPr>
          <w:rFonts w:ascii="Times New Roman" w:hAnsi="Times New Roman" w:cs="Times New Roman"/>
          <w:sz w:val="20"/>
          <w:szCs w:val="20"/>
        </w:rPr>
        <w:t xml:space="preserve"> 2014) Organigramme. [En ligne] </w:t>
      </w:r>
      <w:r w:rsidRPr="009D5879">
        <w:rPr>
          <w:rFonts w:ascii="Times New Roman" w:hAnsi="Times New Roman" w:cs="Times New Roman"/>
          <w:sz w:val="20"/>
          <w:szCs w:val="20"/>
        </w:rPr>
        <w:t>http://www.uqtr.ca/vrsg/Instance/Image/Organi.pdf</w:t>
      </w:r>
    </w:p>
    <w:p w:rsidR="008F4E76" w:rsidRDefault="008F4E76" w:rsidP="008F4E76">
      <w:pPr>
        <w:spacing w:after="0"/>
      </w:pPr>
    </w:p>
    <w:p w:rsidR="008F4E76" w:rsidRDefault="008F4E76" w:rsidP="008F4E76">
      <w:pPr>
        <w:spacing w:after="0"/>
      </w:pPr>
    </w:p>
    <w:p w:rsidR="008F4E76" w:rsidRDefault="008F4E76" w:rsidP="008F4E76">
      <w:pPr>
        <w:spacing w:after="0"/>
        <w:jc w:val="both"/>
      </w:pPr>
    </w:p>
    <w:p w:rsidR="008F4E76" w:rsidRDefault="008F4E76" w:rsidP="008F4E7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Le C</w:t>
      </w:r>
      <w:r w:rsidRPr="009D5879">
        <w:rPr>
          <w:rFonts w:ascii="Times New Roman" w:hAnsi="Times New Roman" w:cs="Times New Roman"/>
          <w:sz w:val="24"/>
          <w:szCs w:val="24"/>
        </w:rPr>
        <w:t>onseil d’administration</w:t>
      </w:r>
      <w:r>
        <w:rPr>
          <w:rFonts w:ascii="Times New Roman" w:hAnsi="Times New Roman" w:cs="Times New Roman"/>
          <w:sz w:val="24"/>
          <w:szCs w:val="24"/>
        </w:rPr>
        <w:t>, formé de 16 membres,</w:t>
      </w:r>
      <w:r w:rsidRPr="009D5879">
        <w:rPr>
          <w:rFonts w:ascii="Times New Roman" w:hAnsi="Times New Roman" w:cs="Times New Roman"/>
          <w:sz w:val="24"/>
          <w:szCs w:val="24"/>
        </w:rPr>
        <w:t xml:space="preserve"> </w:t>
      </w:r>
      <w:r>
        <w:rPr>
          <w:rFonts w:ascii="Times New Roman" w:hAnsi="Times New Roman" w:cs="Times New Roman"/>
          <w:sz w:val="24"/>
          <w:szCs w:val="24"/>
        </w:rPr>
        <w:t>exécute</w:t>
      </w:r>
      <w:r w:rsidRPr="009D5879">
        <w:rPr>
          <w:rFonts w:ascii="Times New Roman" w:hAnsi="Times New Roman" w:cs="Times New Roman"/>
          <w:sz w:val="24"/>
          <w:szCs w:val="24"/>
        </w:rPr>
        <w:t xml:space="preserve"> les droits et les pouvoirs de l’institution</w:t>
      </w:r>
      <w:r>
        <w:rPr>
          <w:rFonts w:ascii="Times New Roman" w:hAnsi="Times New Roman" w:cs="Times New Roman"/>
          <w:sz w:val="24"/>
          <w:szCs w:val="24"/>
        </w:rPr>
        <w:t xml:space="preserve"> universitaire tandis que le Comité exécutif, composé de 7 membres du Conseil d’administration, administre le C.A. et exerce les pouvoirs que celui-ci lui a conférés. </w:t>
      </w:r>
    </w:p>
    <w:p w:rsidR="008F4E76" w:rsidRDefault="008F4E76" w:rsidP="008F4E7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Ensuite, la Commission des études, formée de 20 membres, étudie et émet des recommandations au Conseil d’administration.</w:t>
      </w:r>
      <w:r>
        <w:rPr>
          <w:rStyle w:val="Appelnotedebasdep"/>
          <w:rFonts w:ascii="Times New Roman" w:hAnsi="Times New Roman" w:cs="Times New Roman"/>
          <w:sz w:val="24"/>
          <w:szCs w:val="24"/>
        </w:rPr>
        <w:footnoteReference w:id="73"/>
      </w:r>
      <w:r>
        <w:rPr>
          <w:rFonts w:ascii="Times New Roman" w:hAnsi="Times New Roman" w:cs="Times New Roman"/>
          <w:sz w:val="24"/>
          <w:szCs w:val="24"/>
        </w:rPr>
        <w:t xml:space="preserve"> Le Secrétariat général, pour sa part, a pour mandat d’assurer la bonne gouvernance de l’UQTR et de veiller à ce que le déroulement des processus décisionnels se fasse dans le respect de la législation et de la réglementation. Il est notamment de son devoir de s’occuper du volet juridique ainsi que du Service de la gestion des documents et des archives et de l’accès à l’information.</w:t>
      </w:r>
      <w:r>
        <w:rPr>
          <w:rStyle w:val="Appelnotedebasdep"/>
          <w:rFonts w:ascii="Times New Roman" w:hAnsi="Times New Roman" w:cs="Times New Roman"/>
          <w:sz w:val="24"/>
          <w:szCs w:val="24"/>
        </w:rPr>
        <w:footnoteReference w:id="74"/>
      </w:r>
      <w:r>
        <w:rPr>
          <w:rFonts w:ascii="Times New Roman" w:hAnsi="Times New Roman" w:cs="Times New Roman"/>
          <w:sz w:val="24"/>
          <w:szCs w:val="24"/>
        </w:rPr>
        <w:t xml:space="preserve"> </w:t>
      </w:r>
    </w:p>
    <w:p w:rsidR="008F4E76" w:rsidRDefault="008F4E76" w:rsidP="008F4E7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Un joueur important dans la gouvernance de l’université est sans contre dit le Rectorat. Le recteur ou la rectrice est élu sous la recommandation de l’Assemblée des Gouverneurs du Québec afin de diriger l’institution </w:t>
      </w:r>
      <w:r w:rsidR="003520A0">
        <w:rPr>
          <w:rFonts w:ascii="Times New Roman" w:hAnsi="Times New Roman" w:cs="Times New Roman"/>
          <w:sz w:val="24"/>
          <w:szCs w:val="24"/>
        </w:rPr>
        <w:t>supérieure</w:t>
      </w:r>
      <w:r>
        <w:rPr>
          <w:rFonts w:ascii="Times New Roman" w:hAnsi="Times New Roman" w:cs="Times New Roman"/>
          <w:sz w:val="24"/>
          <w:szCs w:val="24"/>
        </w:rPr>
        <w:t>.</w:t>
      </w:r>
      <w:r>
        <w:rPr>
          <w:rStyle w:val="Appelnotedebasdep"/>
          <w:rFonts w:ascii="Times New Roman" w:hAnsi="Times New Roman" w:cs="Times New Roman"/>
          <w:sz w:val="24"/>
          <w:szCs w:val="24"/>
        </w:rPr>
        <w:footnoteReference w:id="75"/>
      </w:r>
    </w:p>
    <w:p w:rsidR="008F4E76" w:rsidRPr="00E46CE6" w:rsidRDefault="008F4E76" w:rsidP="008F4E76">
      <w:pPr>
        <w:spacing w:after="0" w:line="360" w:lineRule="auto"/>
        <w:ind w:firstLine="708"/>
        <w:jc w:val="both"/>
        <w:rPr>
          <w:rFonts w:ascii="Times New Roman" w:hAnsi="Times New Roman" w:cs="Times New Roman"/>
          <w:sz w:val="24"/>
          <w:szCs w:val="24"/>
        </w:rPr>
      </w:pPr>
      <w:r w:rsidRPr="00E46CE6">
        <w:rPr>
          <w:rFonts w:ascii="Times New Roman" w:hAnsi="Times New Roman" w:cs="Times New Roman"/>
          <w:sz w:val="24"/>
          <w:szCs w:val="24"/>
        </w:rPr>
        <w:lastRenderedPageBreak/>
        <w:t xml:space="preserve">Enfin, les Vice-recteurs assument la planification et la réalisation des orientations stratégiques institutionnelles concernant les ressources financières et matérielles (Vice rectorat à l’administration et aux finances), la recherche, la valorisation de la recherche, les relations internationales, le développement institutionnel et le recrutement d'étudiants (Vice-rectorat à la recherche et au développement) ainsi que les études de premier cycle, la formation continue, la pédagogie universitaire, la réussite étudiante et l'utilisation des technologies et des ressources informationnelles à des fins d'enseignement, de recherche et de gestion (Vice-rectorat aux études et à la formation). Le vice-recteur aux Ressources </w:t>
      </w:r>
      <w:r w:rsidR="003520A0">
        <w:rPr>
          <w:rFonts w:ascii="Times New Roman" w:hAnsi="Times New Roman" w:cs="Times New Roman"/>
          <w:sz w:val="24"/>
          <w:szCs w:val="24"/>
        </w:rPr>
        <w:t>humaines</w:t>
      </w:r>
      <w:r w:rsidRPr="00E46CE6">
        <w:rPr>
          <w:rFonts w:ascii="Times New Roman" w:hAnsi="Times New Roman" w:cs="Times New Roman"/>
          <w:sz w:val="24"/>
          <w:szCs w:val="24"/>
        </w:rPr>
        <w:t xml:space="preserve"> doit conseiller le rectorat à l’égard des orientations des ressources humaines de l’UQTR.</w:t>
      </w:r>
      <w:r>
        <w:rPr>
          <w:rStyle w:val="Appelnotedebasdep"/>
          <w:rFonts w:ascii="Times New Roman" w:hAnsi="Times New Roman" w:cs="Times New Roman"/>
          <w:sz w:val="24"/>
          <w:szCs w:val="24"/>
        </w:rPr>
        <w:footnoteReference w:id="76"/>
      </w:r>
    </w:p>
    <w:p w:rsidR="008F4E76" w:rsidRPr="00E46CE6" w:rsidRDefault="008F4E76" w:rsidP="008F4E76">
      <w:pPr>
        <w:spacing w:after="0" w:line="360" w:lineRule="auto"/>
        <w:jc w:val="both"/>
        <w:rPr>
          <w:rFonts w:ascii="Times New Roman" w:hAnsi="Times New Roman" w:cs="Times New Roman"/>
          <w:sz w:val="24"/>
          <w:szCs w:val="24"/>
        </w:rPr>
      </w:pPr>
      <w:r w:rsidRPr="00E46CE6">
        <w:rPr>
          <w:rFonts w:ascii="Times New Roman" w:hAnsi="Times New Roman" w:cs="Times New Roman"/>
          <w:sz w:val="24"/>
          <w:szCs w:val="24"/>
        </w:rPr>
        <w:t xml:space="preserve">Il faut comprendre que de ces vice-recteurs découle d’autres postes de gestion comme au niveau des départements de formation où il y a présence de directeurs de programmes, par exemple. </w:t>
      </w:r>
    </w:p>
    <w:p w:rsidR="008F4E76" w:rsidRPr="009D5879" w:rsidRDefault="008F4E76" w:rsidP="008F4E76">
      <w:pPr>
        <w:spacing w:after="0"/>
        <w:jc w:val="both"/>
        <w:rPr>
          <w:rFonts w:ascii="Times New Roman" w:hAnsi="Times New Roman" w:cs="Times New Roman"/>
          <w:sz w:val="24"/>
          <w:szCs w:val="24"/>
        </w:rPr>
      </w:pPr>
    </w:p>
    <w:p w:rsidR="001756D5" w:rsidRDefault="001756D5" w:rsidP="001756D5"/>
    <w:p w:rsidR="002005F8" w:rsidRDefault="002005F8" w:rsidP="001756D5"/>
    <w:p w:rsidR="002005F8" w:rsidRDefault="002005F8" w:rsidP="001756D5"/>
    <w:p w:rsidR="002005F8" w:rsidRDefault="002005F8" w:rsidP="001756D5"/>
    <w:p w:rsidR="002005F8" w:rsidRDefault="002005F8" w:rsidP="001756D5"/>
    <w:p w:rsidR="005B15E4" w:rsidRDefault="005B15E4">
      <w:r>
        <w:br w:type="page"/>
      </w:r>
    </w:p>
    <w:p w:rsidR="002005F8" w:rsidRPr="001756D5" w:rsidRDefault="002005F8" w:rsidP="001756D5"/>
    <w:p w:rsidR="000D0609" w:rsidRPr="00EE58D6" w:rsidRDefault="00EE58D6" w:rsidP="00EE58D6">
      <w:pPr>
        <w:pStyle w:val="Titre3"/>
      </w:pPr>
      <w:bookmarkStart w:id="31" w:name="_Toc417486243"/>
      <w:r>
        <w:t xml:space="preserve">4.2 </w:t>
      </w:r>
      <w:r w:rsidR="000D0609" w:rsidRPr="00EE58D6">
        <w:t>La responsabilité sociale de l’organisation et l’éthique</w:t>
      </w:r>
      <w:bookmarkEnd w:id="31"/>
    </w:p>
    <w:p w:rsidR="002005F8" w:rsidRDefault="002005F8" w:rsidP="002005F8">
      <w:pPr>
        <w:pStyle w:val="Paragraphedeliste"/>
        <w:ind w:left="360"/>
      </w:pPr>
    </w:p>
    <w:p w:rsidR="002005F8" w:rsidRPr="00A21232" w:rsidRDefault="002005F8" w:rsidP="002005F8">
      <w:pPr>
        <w:pStyle w:val="Paragraphedeliste"/>
        <w:ind w:left="360"/>
      </w:pPr>
      <w:r>
        <w:rPr>
          <w:noProof/>
          <w:lang w:eastAsia="fr-CA"/>
        </w:rPr>
        <w:drawing>
          <wp:inline distT="0" distB="0" distL="0" distR="0">
            <wp:extent cx="5486400" cy="3228975"/>
            <wp:effectExtent l="19050" t="0" r="0" b="0"/>
            <wp:docPr id="22" name="Image 22" descr="C:\Users\Célia\Documents\Administration des affaires\Hiver 2015\Gestion stratégique des entreprises\developpement durable UQ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élia\Documents\Administration des affaires\Hiver 2015\Gestion stratégique des entreprises\developpement durable UQTR.png"/>
                    <pic:cNvPicPr>
                      <a:picLocks noChangeAspect="1" noChangeArrowheads="1"/>
                    </pic:cNvPicPr>
                  </pic:nvPicPr>
                  <pic:blipFill>
                    <a:blip r:embed="rId28" cstate="print"/>
                    <a:srcRect/>
                    <a:stretch>
                      <a:fillRect/>
                    </a:stretch>
                  </pic:blipFill>
                  <pic:spPr bwMode="auto">
                    <a:xfrm>
                      <a:off x="0" y="0"/>
                      <a:ext cx="5486400" cy="3228975"/>
                    </a:xfrm>
                    <a:prstGeom prst="rect">
                      <a:avLst/>
                    </a:prstGeom>
                    <a:noFill/>
                    <a:ln w="9525">
                      <a:noFill/>
                      <a:miter lim="800000"/>
                      <a:headEnd/>
                      <a:tailEnd/>
                    </a:ln>
                  </pic:spPr>
                </pic:pic>
              </a:graphicData>
            </a:graphic>
          </wp:inline>
        </w:drawing>
      </w:r>
    </w:p>
    <w:p w:rsidR="002005F8" w:rsidRPr="002005F8" w:rsidRDefault="002005F8" w:rsidP="002005F8">
      <w:pPr>
        <w:pStyle w:val="Paragraphedeliste"/>
        <w:tabs>
          <w:tab w:val="left" w:pos="6946"/>
        </w:tabs>
        <w:spacing w:line="240" w:lineRule="auto"/>
        <w:ind w:left="360" w:right="-7"/>
        <w:jc w:val="center"/>
        <w:rPr>
          <w:rFonts w:ascii="Times New Roman" w:hAnsi="Times New Roman" w:cs="Times New Roman"/>
          <w:sz w:val="20"/>
          <w:szCs w:val="20"/>
        </w:rPr>
      </w:pPr>
      <w:r w:rsidRPr="002005F8">
        <w:rPr>
          <w:rFonts w:ascii="Times New Roman" w:hAnsi="Times New Roman" w:cs="Times New Roman"/>
          <w:sz w:val="20"/>
          <w:szCs w:val="20"/>
        </w:rPr>
        <w:t xml:space="preserve">Source : UQTR. </w:t>
      </w:r>
      <w:r w:rsidRPr="002005F8">
        <w:rPr>
          <w:rFonts w:ascii="Times New Roman" w:hAnsi="Times New Roman" w:cs="Times New Roman"/>
          <w:i/>
          <w:sz w:val="20"/>
          <w:szCs w:val="20"/>
        </w:rPr>
        <w:t xml:space="preserve">Politique de développement durable. </w:t>
      </w:r>
      <w:r w:rsidRPr="002005F8">
        <w:rPr>
          <w:rFonts w:ascii="Times New Roman" w:hAnsi="Times New Roman" w:cs="Times New Roman"/>
          <w:sz w:val="20"/>
          <w:szCs w:val="20"/>
        </w:rPr>
        <w:t xml:space="preserve">[En ligne] </w:t>
      </w:r>
      <w:hyperlink r:id="rId29" w:history="1">
        <w:r w:rsidRPr="002005F8">
          <w:rPr>
            <w:rStyle w:val="Lienhypertexte"/>
            <w:rFonts w:ascii="Times New Roman" w:hAnsi="Times New Roman" w:cs="Times New Roman"/>
            <w:color w:val="auto"/>
            <w:sz w:val="20"/>
            <w:szCs w:val="20"/>
          </w:rPr>
          <w:t>https://oraprdnt.uqtr.uquebec.ca/pls/public/gscw031?owa_no_site=40&amp;owa_no_fiche=4&amp;owa_apercu=N&amp;owa_imprimable=N&amp;owa_bottin</w:t>
        </w:r>
      </w:hyperlink>
      <w:r w:rsidRPr="002005F8">
        <w:rPr>
          <w:rFonts w:ascii="Times New Roman" w:hAnsi="Times New Roman" w:cs="Times New Roman"/>
          <w:sz w:val="20"/>
          <w:szCs w:val="20"/>
        </w:rPr>
        <w:t>=</w:t>
      </w:r>
    </w:p>
    <w:p w:rsidR="002005F8" w:rsidRPr="002005F8" w:rsidRDefault="002005F8" w:rsidP="002005F8">
      <w:pPr>
        <w:pStyle w:val="Paragraphedeliste"/>
        <w:tabs>
          <w:tab w:val="left" w:pos="6946"/>
        </w:tabs>
        <w:spacing w:line="240" w:lineRule="auto"/>
        <w:ind w:left="360" w:right="1127"/>
        <w:jc w:val="both"/>
        <w:rPr>
          <w:rFonts w:ascii="Times New Roman" w:hAnsi="Times New Roman" w:cs="Times New Roman"/>
          <w:sz w:val="20"/>
          <w:szCs w:val="20"/>
        </w:rPr>
      </w:pPr>
    </w:p>
    <w:p w:rsidR="002005F8" w:rsidRDefault="002005F8" w:rsidP="002005F8">
      <w:pPr>
        <w:pStyle w:val="Paragraphedeliste"/>
        <w:spacing w:line="360" w:lineRule="auto"/>
        <w:ind w:left="360" w:firstLine="348"/>
        <w:jc w:val="both"/>
        <w:rPr>
          <w:rFonts w:ascii="Times New Roman" w:hAnsi="Times New Roman" w:cs="Times New Roman"/>
          <w:sz w:val="24"/>
          <w:szCs w:val="24"/>
        </w:rPr>
      </w:pPr>
    </w:p>
    <w:p w:rsidR="002005F8" w:rsidRDefault="002005F8" w:rsidP="002005F8">
      <w:pPr>
        <w:pStyle w:val="Paragraphedeliste"/>
        <w:spacing w:line="360" w:lineRule="auto"/>
        <w:ind w:left="360" w:firstLine="348"/>
        <w:jc w:val="both"/>
        <w:rPr>
          <w:rFonts w:ascii="Times New Roman" w:hAnsi="Times New Roman" w:cs="Times New Roman"/>
          <w:sz w:val="24"/>
          <w:szCs w:val="24"/>
        </w:rPr>
      </w:pPr>
      <w:r w:rsidRPr="002005F8">
        <w:rPr>
          <w:rFonts w:ascii="Times New Roman" w:hAnsi="Times New Roman" w:cs="Times New Roman"/>
          <w:sz w:val="24"/>
          <w:szCs w:val="24"/>
        </w:rPr>
        <w:t xml:space="preserve">L’UQTR est </w:t>
      </w:r>
      <w:r w:rsidR="003520A0">
        <w:rPr>
          <w:rFonts w:ascii="Times New Roman" w:hAnsi="Times New Roman" w:cs="Times New Roman"/>
          <w:sz w:val="24"/>
          <w:szCs w:val="24"/>
        </w:rPr>
        <w:t>reconnue</w:t>
      </w:r>
      <w:r w:rsidRPr="002005F8">
        <w:rPr>
          <w:rFonts w:ascii="Times New Roman" w:hAnsi="Times New Roman" w:cs="Times New Roman"/>
          <w:sz w:val="24"/>
          <w:szCs w:val="24"/>
        </w:rPr>
        <w:t xml:space="preserve"> pour son engagement en termes de responsabilité sociale. En effet, elle a reçu, en 2011, une certification de la ville de Trois-Rivières soulignant l'équilibre qu’elle démontre entre le développement économique, social et environnemental. De plus, elle est </w:t>
      </w:r>
      <w:r w:rsidR="003520A0">
        <w:rPr>
          <w:rFonts w:ascii="Times New Roman" w:hAnsi="Times New Roman" w:cs="Times New Roman"/>
          <w:sz w:val="24"/>
          <w:szCs w:val="24"/>
        </w:rPr>
        <w:t>certifiée</w:t>
      </w:r>
      <w:r w:rsidRPr="002005F8">
        <w:rPr>
          <w:rFonts w:ascii="Times New Roman" w:hAnsi="Times New Roman" w:cs="Times New Roman"/>
          <w:sz w:val="24"/>
          <w:szCs w:val="24"/>
        </w:rPr>
        <w:t xml:space="preserve"> </w:t>
      </w:r>
      <w:r w:rsidRPr="002005F8">
        <w:rPr>
          <w:rFonts w:ascii="Times New Roman" w:hAnsi="Times New Roman" w:cs="Times New Roman"/>
          <w:i/>
          <w:sz w:val="24"/>
          <w:szCs w:val="24"/>
        </w:rPr>
        <w:t xml:space="preserve">Campus durable </w:t>
      </w:r>
      <w:r w:rsidRPr="002005F8">
        <w:rPr>
          <w:rFonts w:ascii="Times New Roman" w:hAnsi="Times New Roman" w:cs="Times New Roman"/>
          <w:sz w:val="24"/>
          <w:szCs w:val="24"/>
        </w:rPr>
        <w:t>depuis 2009.</w:t>
      </w:r>
      <w:r>
        <w:rPr>
          <w:rStyle w:val="Appelnotedebasdep"/>
          <w:rFonts w:ascii="Times New Roman" w:hAnsi="Times New Roman" w:cs="Times New Roman"/>
          <w:sz w:val="24"/>
          <w:szCs w:val="24"/>
        </w:rPr>
        <w:footnoteReference w:id="77"/>
      </w:r>
      <w:r w:rsidRPr="002005F8">
        <w:rPr>
          <w:rFonts w:ascii="Times New Roman" w:hAnsi="Times New Roman" w:cs="Times New Roman"/>
          <w:sz w:val="24"/>
          <w:szCs w:val="24"/>
        </w:rPr>
        <w:t xml:space="preserve"> Certains objectifs présentés au début du travail démontrent que l’UQTR a le sens de la responsabilité sociale. En effet, elle souhaite porter un soin particulier aux relations de travail (règlements, prévenir les conflits), assurer un milieu de travail et d’apprentissage sain et sécuritaire (appliquer la LATMP, promouvoir de saines habitudes), se développer de façon durable (des formations et des recherches intègrent les questions de responsabilité sociale et environnementale). L’institution cherche donc à sensibiliser la communauté  afin qu’elle voit l’importance de participer à un </w:t>
      </w:r>
      <w:r w:rsidRPr="002005F8">
        <w:rPr>
          <w:rFonts w:ascii="Times New Roman" w:hAnsi="Times New Roman" w:cs="Times New Roman"/>
          <w:sz w:val="24"/>
          <w:szCs w:val="24"/>
        </w:rPr>
        <w:lastRenderedPageBreak/>
        <w:t>développement durable. L’UQTR désire adopter la vision du développement durable proposée par le Gouvernement du Québec afin de mobiliser les citoyens et surtout, les étudiants et le personnel de l’université : «Une université où la qualité de vie de la communauté est et demeurera une réalité. Une université responsable, mobilisée, innovatrice et capable d’excellence dans toutes ses réalisations. Une université misant sur l’harmonie entre le dynamisme économique, la qualité de l’environnement et l’équité sociale».</w:t>
      </w:r>
      <w:r>
        <w:rPr>
          <w:rStyle w:val="Appelnotedebasdep"/>
          <w:rFonts w:ascii="Times New Roman" w:hAnsi="Times New Roman" w:cs="Times New Roman"/>
          <w:sz w:val="24"/>
          <w:szCs w:val="24"/>
        </w:rPr>
        <w:footnoteReference w:id="78"/>
      </w:r>
      <w:r w:rsidRPr="002005F8">
        <w:rPr>
          <w:rFonts w:ascii="Times New Roman" w:hAnsi="Times New Roman" w:cs="Times New Roman"/>
          <w:sz w:val="24"/>
          <w:szCs w:val="24"/>
        </w:rPr>
        <w:t xml:space="preserve"> </w:t>
      </w:r>
    </w:p>
    <w:p w:rsidR="002005F8" w:rsidRPr="002005F8" w:rsidRDefault="002005F8" w:rsidP="002005F8">
      <w:pPr>
        <w:pStyle w:val="Paragraphedeliste"/>
        <w:spacing w:line="360" w:lineRule="auto"/>
        <w:ind w:left="360" w:firstLine="348"/>
        <w:jc w:val="both"/>
        <w:rPr>
          <w:rFonts w:ascii="Times New Roman" w:hAnsi="Times New Roman" w:cs="Times New Roman"/>
          <w:sz w:val="24"/>
          <w:szCs w:val="24"/>
        </w:rPr>
      </w:pPr>
    </w:p>
    <w:p w:rsidR="002005F8" w:rsidRPr="002005F8" w:rsidRDefault="002005F8" w:rsidP="002005F8">
      <w:pPr>
        <w:pStyle w:val="Paragraphedeliste"/>
        <w:spacing w:line="360" w:lineRule="auto"/>
        <w:ind w:left="360" w:firstLine="348"/>
        <w:jc w:val="both"/>
        <w:rPr>
          <w:rFonts w:ascii="Times New Roman" w:hAnsi="Times New Roman" w:cs="Times New Roman"/>
          <w:sz w:val="24"/>
          <w:szCs w:val="24"/>
        </w:rPr>
      </w:pPr>
      <w:r w:rsidRPr="002005F8">
        <w:rPr>
          <w:rFonts w:ascii="Times New Roman" w:hAnsi="Times New Roman" w:cs="Times New Roman"/>
          <w:sz w:val="24"/>
          <w:szCs w:val="24"/>
        </w:rPr>
        <w:t xml:space="preserve">Selon nous, l’UQTR a une posture de </w:t>
      </w:r>
      <w:r w:rsidRPr="002005F8">
        <w:rPr>
          <w:rFonts w:ascii="Times New Roman" w:hAnsi="Times New Roman" w:cs="Times New Roman"/>
          <w:i/>
          <w:sz w:val="24"/>
          <w:szCs w:val="24"/>
        </w:rPr>
        <w:t>prise en compte des parties prenantes</w:t>
      </w:r>
      <w:r w:rsidRPr="002005F8">
        <w:rPr>
          <w:rFonts w:ascii="Times New Roman" w:hAnsi="Times New Roman" w:cs="Times New Roman"/>
          <w:sz w:val="24"/>
          <w:szCs w:val="24"/>
        </w:rPr>
        <w:t xml:space="preserve"> face à la responsabilité sociale. Cette organisation publique a une relation partenariale avec les différentes parties prenantes, puisqu’elle souhaite contribuer à l’essor du savoir et de la connaissance et ce, au profit de la collectivité. Elle participe notamment au développement de la région en mettant en place des projets comme les PICOM (projet d’intervention dans la communauté)</w:t>
      </w:r>
      <w:r>
        <w:rPr>
          <w:rStyle w:val="Appelnotedebasdep"/>
          <w:rFonts w:ascii="Times New Roman" w:hAnsi="Times New Roman" w:cs="Times New Roman"/>
          <w:sz w:val="24"/>
          <w:szCs w:val="24"/>
        </w:rPr>
        <w:footnoteReference w:id="79"/>
      </w:r>
      <w:r w:rsidRPr="002005F8">
        <w:rPr>
          <w:rFonts w:ascii="Times New Roman" w:hAnsi="Times New Roman" w:cs="Times New Roman"/>
          <w:sz w:val="24"/>
          <w:szCs w:val="24"/>
        </w:rPr>
        <w:t>. Le vice-recteur aux ressources humaines a pour devoir de mettre en œuvre le plan d’action entourant la responsabilité sociale de l’université et l’éthique. Ceci confirme le type de management selon lequel les décisions et le contrôle sont faits par les dirigeants de l’UQTR. L’institution souhaite notamment obtenir des résultats équilibrés à long terme entre les dimensions économique, sociale et environnementale. Elle désire donc être un acteur proactif qui veut s’impliquer et faire avancer l’apprentissage (</w:t>
      </w:r>
      <w:proofErr w:type="spellStart"/>
      <w:r w:rsidRPr="002005F8">
        <w:rPr>
          <w:rFonts w:ascii="Times New Roman" w:hAnsi="Times New Roman" w:cs="Times New Roman"/>
          <w:sz w:val="24"/>
          <w:szCs w:val="24"/>
        </w:rPr>
        <w:t>Jonhson</w:t>
      </w:r>
      <w:proofErr w:type="spellEnd"/>
      <w:r w:rsidRPr="002005F8">
        <w:rPr>
          <w:rFonts w:ascii="Times New Roman" w:hAnsi="Times New Roman" w:cs="Times New Roman"/>
          <w:sz w:val="24"/>
          <w:szCs w:val="24"/>
        </w:rPr>
        <w:t xml:space="preserve">, </w:t>
      </w:r>
      <w:proofErr w:type="spellStart"/>
      <w:r w:rsidRPr="002005F8">
        <w:rPr>
          <w:rFonts w:ascii="Times New Roman" w:hAnsi="Times New Roman" w:cs="Times New Roman"/>
          <w:sz w:val="24"/>
          <w:szCs w:val="24"/>
        </w:rPr>
        <w:t>Whittington</w:t>
      </w:r>
      <w:proofErr w:type="spellEnd"/>
      <w:r w:rsidRPr="002005F8">
        <w:rPr>
          <w:rFonts w:ascii="Times New Roman" w:hAnsi="Times New Roman" w:cs="Times New Roman"/>
          <w:sz w:val="24"/>
          <w:szCs w:val="24"/>
        </w:rPr>
        <w:t xml:space="preserve">, </w:t>
      </w:r>
      <w:proofErr w:type="spellStart"/>
      <w:r w:rsidRPr="002005F8">
        <w:rPr>
          <w:rFonts w:ascii="Times New Roman" w:hAnsi="Times New Roman" w:cs="Times New Roman"/>
          <w:sz w:val="24"/>
          <w:szCs w:val="24"/>
        </w:rPr>
        <w:t>Scholes</w:t>
      </w:r>
      <w:proofErr w:type="spellEnd"/>
      <w:r w:rsidRPr="002005F8">
        <w:rPr>
          <w:rFonts w:ascii="Times New Roman" w:hAnsi="Times New Roman" w:cs="Times New Roman"/>
          <w:sz w:val="24"/>
          <w:szCs w:val="24"/>
        </w:rPr>
        <w:t xml:space="preserve"> &amp;  </w:t>
      </w:r>
      <w:proofErr w:type="spellStart"/>
      <w:r w:rsidRPr="002005F8">
        <w:rPr>
          <w:rFonts w:ascii="Times New Roman" w:hAnsi="Times New Roman" w:cs="Times New Roman"/>
          <w:sz w:val="24"/>
          <w:szCs w:val="24"/>
        </w:rPr>
        <w:t>Fréry</w:t>
      </w:r>
      <w:proofErr w:type="spellEnd"/>
      <w:r w:rsidRPr="002005F8">
        <w:rPr>
          <w:rFonts w:ascii="Times New Roman" w:hAnsi="Times New Roman" w:cs="Times New Roman"/>
          <w:sz w:val="24"/>
          <w:szCs w:val="24"/>
        </w:rPr>
        <w:t>, 2011).</w:t>
      </w:r>
    </w:p>
    <w:p w:rsidR="002005F8" w:rsidRDefault="002005F8" w:rsidP="00540A65">
      <w:pPr>
        <w:pStyle w:val="Paragraphedeliste"/>
        <w:numPr>
          <w:ilvl w:val="0"/>
          <w:numId w:val="34"/>
        </w:numPr>
        <w:spacing w:after="200" w:line="276" w:lineRule="auto"/>
      </w:pPr>
      <w:r>
        <w:br w:type="page"/>
      </w:r>
    </w:p>
    <w:p w:rsidR="002005F8" w:rsidRPr="002005F8" w:rsidRDefault="002005F8" w:rsidP="002005F8"/>
    <w:p w:rsidR="000D0609" w:rsidRPr="006E124F" w:rsidRDefault="00EE58D6" w:rsidP="006E124F">
      <w:pPr>
        <w:pStyle w:val="Titre3"/>
        <w:rPr>
          <w:szCs w:val="24"/>
        </w:rPr>
      </w:pPr>
      <w:bookmarkStart w:id="32" w:name="_Toc417486244"/>
      <w:r w:rsidRPr="006E124F">
        <w:t xml:space="preserve">4.3 </w:t>
      </w:r>
      <w:r w:rsidR="000D0609" w:rsidRPr="006E124F">
        <w:rPr>
          <w:szCs w:val="24"/>
        </w:rPr>
        <w:t>Les parties prenantes</w:t>
      </w:r>
      <w:bookmarkEnd w:id="32"/>
    </w:p>
    <w:p w:rsidR="002005F8" w:rsidRDefault="002005F8" w:rsidP="002005F8">
      <w:pPr>
        <w:pStyle w:val="Titre3"/>
        <w:rPr>
          <w:rFonts w:ascii="Times New Roman" w:hAnsi="Times New Roman" w:cs="Times New Roman"/>
          <w:color w:val="auto"/>
          <w:sz w:val="24"/>
          <w:szCs w:val="24"/>
        </w:rPr>
      </w:pPr>
      <w:r>
        <w:rPr>
          <w:rFonts w:ascii="Times New Roman" w:hAnsi="Times New Roman" w:cs="Times New Roman"/>
          <w:noProof/>
          <w:color w:val="auto"/>
          <w:sz w:val="24"/>
          <w:szCs w:val="24"/>
          <w:lang w:eastAsia="fr-CA"/>
        </w:rPr>
        <w:drawing>
          <wp:anchor distT="0" distB="0" distL="114300" distR="114300" simplePos="0" relativeHeight="251654656" behindDoc="0" locked="0" layoutInCell="1" allowOverlap="1">
            <wp:simplePos x="0" y="0"/>
            <wp:positionH relativeFrom="column">
              <wp:posOffset>857250</wp:posOffset>
            </wp:positionH>
            <wp:positionV relativeFrom="paragraph">
              <wp:posOffset>171450</wp:posOffset>
            </wp:positionV>
            <wp:extent cx="3781425" cy="3695700"/>
            <wp:effectExtent l="171450" t="0" r="161925" b="0"/>
            <wp:wrapThrough wrapText="bothSides">
              <wp:wrapPolygon edited="0">
                <wp:start x="9902" y="0"/>
                <wp:lineTo x="8814" y="223"/>
                <wp:lineTo x="7073" y="1336"/>
                <wp:lineTo x="7073" y="1781"/>
                <wp:lineTo x="2285" y="3563"/>
                <wp:lineTo x="1632" y="4008"/>
                <wp:lineTo x="544" y="5233"/>
                <wp:lineTo x="544" y="7126"/>
                <wp:lineTo x="1850" y="8907"/>
                <wp:lineTo x="-544" y="11468"/>
                <wp:lineTo x="-979" y="12136"/>
                <wp:lineTo x="-871" y="14252"/>
                <wp:lineTo x="1088" y="16033"/>
                <wp:lineTo x="1523" y="16033"/>
                <wp:lineTo x="3700" y="17814"/>
                <wp:lineTo x="4026" y="19596"/>
                <wp:lineTo x="5767" y="21377"/>
                <wp:lineTo x="7399" y="21600"/>
                <wp:lineTo x="7944" y="21600"/>
                <wp:lineTo x="8379" y="21600"/>
                <wp:lineTo x="9358" y="21489"/>
                <wp:lineTo x="9249" y="21377"/>
                <wp:lineTo x="14037" y="21377"/>
                <wp:lineTo x="18281" y="20487"/>
                <wp:lineTo x="18172" y="19596"/>
                <wp:lineTo x="18281" y="19596"/>
                <wp:lineTo x="18390" y="18037"/>
                <wp:lineTo x="18390" y="17814"/>
                <wp:lineTo x="18499" y="17814"/>
                <wp:lineTo x="19152" y="16144"/>
                <wp:lineTo x="19152" y="16033"/>
                <wp:lineTo x="20131" y="16033"/>
                <wp:lineTo x="22416" y="14808"/>
                <wp:lineTo x="22416" y="14252"/>
                <wp:lineTo x="22525" y="13138"/>
                <wp:lineTo x="22525" y="12136"/>
                <wp:lineTo x="22090" y="11468"/>
                <wp:lineTo x="21437" y="10689"/>
                <wp:lineTo x="20349" y="9019"/>
                <wp:lineTo x="20240" y="8907"/>
                <wp:lineTo x="20457" y="8907"/>
                <wp:lineTo x="21437" y="7348"/>
                <wp:lineTo x="21437" y="7126"/>
                <wp:lineTo x="21328" y="5567"/>
                <wp:lineTo x="21219" y="5344"/>
                <wp:lineTo x="21328" y="5010"/>
                <wp:lineTo x="19260" y="3674"/>
                <wp:lineTo x="18499" y="3563"/>
                <wp:lineTo x="15125" y="1781"/>
                <wp:lineTo x="15017" y="1781"/>
                <wp:lineTo x="15125" y="1447"/>
                <wp:lineTo x="13167" y="223"/>
                <wp:lineTo x="12187" y="0"/>
                <wp:lineTo x="9902" y="0"/>
              </wp:wrapPolygon>
            </wp:wrapThrough>
            <wp:docPr id="9" name="Diagramme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anchor>
        </w:drawing>
      </w:r>
    </w:p>
    <w:p w:rsidR="002005F8" w:rsidRDefault="002005F8" w:rsidP="002005F8"/>
    <w:p w:rsidR="002005F8" w:rsidRDefault="002005F8" w:rsidP="002005F8">
      <w:pPr>
        <w:spacing w:after="200" w:line="276" w:lineRule="auto"/>
      </w:pPr>
    </w:p>
    <w:p w:rsidR="002005F8" w:rsidRPr="00B7695D" w:rsidRDefault="002005F8" w:rsidP="002005F8"/>
    <w:p w:rsidR="002005F8" w:rsidRDefault="002005F8" w:rsidP="002005F8">
      <w:pPr>
        <w:pStyle w:val="Titre2"/>
        <w:spacing w:line="360" w:lineRule="auto"/>
        <w:jc w:val="both"/>
        <w:rPr>
          <w:rFonts w:ascii="Times New Roman" w:hAnsi="Times New Roman" w:cs="Times New Roman"/>
          <w:b w:val="0"/>
          <w:color w:val="auto"/>
          <w:sz w:val="24"/>
          <w:szCs w:val="24"/>
          <w:u w:val="single"/>
        </w:rPr>
      </w:pPr>
    </w:p>
    <w:p w:rsidR="002005F8" w:rsidRDefault="002005F8" w:rsidP="002005F8">
      <w:pPr>
        <w:pStyle w:val="Titre2"/>
        <w:spacing w:line="360" w:lineRule="auto"/>
        <w:jc w:val="both"/>
        <w:rPr>
          <w:rFonts w:ascii="Times New Roman" w:hAnsi="Times New Roman" w:cs="Times New Roman"/>
          <w:b w:val="0"/>
          <w:color w:val="auto"/>
          <w:sz w:val="24"/>
          <w:szCs w:val="24"/>
          <w:u w:val="single"/>
        </w:rPr>
      </w:pPr>
    </w:p>
    <w:p w:rsidR="002005F8" w:rsidRDefault="002005F8" w:rsidP="002005F8">
      <w:pPr>
        <w:pStyle w:val="Titre2"/>
        <w:spacing w:line="360" w:lineRule="auto"/>
        <w:jc w:val="both"/>
        <w:rPr>
          <w:rFonts w:ascii="Times New Roman" w:hAnsi="Times New Roman" w:cs="Times New Roman"/>
          <w:b w:val="0"/>
          <w:color w:val="auto"/>
          <w:sz w:val="24"/>
          <w:szCs w:val="24"/>
          <w:u w:val="single"/>
        </w:rPr>
      </w:pPr>
    </w:p>
    <w:p w:rsidR="002005F8" w:rsidRDefault="002005F8" w:rsidP="002005F8">
      <w:pPr>
        <w:pStyle w:val="Titre2"/>
        <w:spacing w:line="360" w:lineRule="auto"/>
        <w:jc w:val="both"/>
        <w:rPr>
          <w:rFonts w:ascii="Times New Roman" w:hAnsi="Times New Roman" w:cs="Times New Roman"/>
          <w:b w:val="0"/>
          <w:color w:val="auto"/>
          <w:sz w:val="24"/>
          <w:szCs w:val="24"/>
          <w:u w:val="single"/>
        </w:rPr>
      </w:pPr>
    </w:p>
    <w:p w:rsidR="002005F8" w:rsidRDefault="002005F8" w:rsidP="002005F8">
      <w:pPr>
        <w:pStyle w:val="Titre2"/>
        <w:spacing w:line="360" w:lineRule="auto"/>
        <w:jc w:val="both"/>
        <w:rPr>
          <w:rFonts w:ascii="Times New Roman" w:hAnsi="Times New Roman" w:cs="Times New Roman"/>
          <w:b w:val="0"/>
          <w:color w:val="auto"/>
          <w:sz w:val="24"/>
          <w:szCs w:val="24"/>
          <w:u w:val="single"/>
        </w:rPr>
      </w:pPr>
    </w:p>
    <w:p w:rsidR="002005F8" w:rsidRDefault="002005F8" w:rsidP="002005F8">
      <w:pPr>
        <w:pStyle w:val="Titre2"/>
        <w:spacing w:line="360" w:lineRule="auto"/>
        <w:jc w:val="both"/>
        <w:rPr>
          <w:rFonts w:ascii="Times New Roman" w:hAnsi="Times New Roman" w:cs="Times New Roman"/>
          <w:b w:val="0"/>
          <w:color w:val="auto"/>
          <w:sz w:val="24"/>
          <w:szCs w:val="24"/>
          <w:u w:val="single"/>
        </w:rPr>
      </w:pPr>
    </w:p>
    <w:p w:rsidR="002005F8" w:rsidRDefault="002005F8" w:rsidP="002005F8">
      <w:pPr>
        <w:pStyle w:val="Titre2"/>
        <w:spacing w:line="360" w:lineRule="auto"/>
        <w:jc w:val="both"/>
        <w:rPr>
          <w:rFonts w:ascii="Times New Roman" w:hAnsi="Times New Roman" w:cs="Times New Roman"/>
          <w:b w:val="0"/>
          <w:color w:val="auto"/>
          <w:sz w:val="24"/>
          <w:szCs w:val="24"/>
          <w:u w:val="single"/>
        </w:rPr>
      </w:pPr>
    </w:p>
    <w:p w:rsidR="002005F8" w:rsidRPr="007A7A51" w:rsidRDefault="002005F8" w:rsidP="007A7A51">
      <w:pPr>
        <w:spacing w:line="360" w:lineRule="auto"/>
        <w:jc w:val="both"/>
        <w:rPr>
          <w:sz w:val="24"/>
          <w:szCs w:val="24"/>
        </w:rPr>
      </w:pPr>
      <w:r w:rsidRPr="007A7A51">
        <w:rPr>
          <w:sz w:val="24"/>
          <w:szCs w:val="24"/>
          <w:u w:val="single"/>
        </w:rPr>
        <w:t>Parties prenantes économiques :</w:t>
      </w:r>
      <w:r w:rsidRPr="007A7A51">
        <w:rPr>
          <w:sz w:val="24"/>
          <w:szCs w:val="24"/>
        </w:rPr>
        <w:t xml:space="preserve"> Les étudiants et le corps </w:t>
      </w:r>
      <w:r w:rsidR="003520A0">
        <w:rPr>
          <w:sz w:val="24"/>
          <w:szCs w:val="24"/>
        </w:rPr>
        <w:t>enseignant</w:t>
      </w:r>
      <w:r w:rsidRPr="007A7A51">
        <w:rPr>
          <w:sz w:val="24"/>
          <w:szCs w:val="24"/>
        </w:rPr>
        <w:t xml:space="preserve"> ont une influence moyenne sur l’UQTR. Selon l’analyse établie avec les 5+1 forces de Porter, il a été conclu que ces parties ont une influence importante si elles se rassemblent (grève étudiante ou syndicat), mais de façon individuelle, elles n’ont pas un grand pouvoir face à l’organisation. Les autres universités du Québec peuvent notamment avoir une influence sur la manière de </w:t>
      </w:r>
      <w:r w:rsidR="003520A0">
        <w:rPr>
          <w:sz w:val="24"/>
          <w:szCs w:val="24"/>
        </w:rPr>
        <w:t>procéder</w:t>
      </w:r>
      <w:r w:rsidRPr="007A7A51">
        <w:rPr>
          <w:sz w:val="24"/>
          <w:szCs w:val="24"/>
        </w:rPr>
        <w:t xml:space="preserve"> de l’UQTR. En effet, elles peuvent faire en sorte que l’université va chercher à se démarquer en développant un avantage concurrentiel. Nous pensons, par exemple, que la position géographique de l’université lui accorde un avantage à l’égard des autres établissements de formation </w:t>
      </w:r>
      <w:r w:rsidR="003520A0">
        <w:rPr>
          <w:sz w:val="24"/>
          <w:szCs w:val="24"/>
        </w:rPr>
        <w:t>supérieure</w:t>
      </w:r>
      <w:r w:rsidRPr="007A7A51">
        <w:rPr>
          <w:sz w:val="24"/>
          <w:szCs w:val="24"/>
        </w:rPr>
        <w:t>.</w:t>
      </w:r>
    </w:p>
    <w:p w:rsidR="002005F8" w:rsidRPr="003E7DA9" w:rsidRDefault="002005F8" w:rsidP="002005F8"/>
    <w:p w:rsidR="002005F8" w:rsidRDefault="002005F8" w:rsidP="002005F8">
      <w:pPr>
        <w:spacing w:line="360" w:lineRule="auto"/>
        <w:jc w:val="both"/>
        <w:rPr>
          <w:rFonts w:ascii="Times New Roman" w:hAnsi="Times New Roman" w:cs="Times New Roman"/>
          <w:sz w:val="24"/>
          <w:szCs w:val="24"/>
        </w:rPr>
      </w:pPr>
      <w:r w:rsidRPr="00287563">
        <w:rPr>
          <w:rFonts w:ascii="Times New Roman" w:hAnsi="Times New Roman" w:cs="Times New Roman"/>
          <w:sz w:val="24"/>
          <w:szCs w:val="24"/>
          <w:u w:val="single"/>
        </w:rPr>
        <w:t>Parties prenantes politiques </w:t>
      </w:r>
      <w:r w:rsidRPr="006C0E24">
        <w:rPr>
          <w:rFonts w:ascii="Times New Roman" w:hAnsi="Times New Roman" w:cs="Times New Roman"/>
          <w:sz w:val="24"/>
          <w:szCs w:val="24"/>
          <w:u w:val="single"/>
        </w:rPr>
        <w:t>:</w:t>
      </w:r>
      <w:r w:rsidRPr="006C0E24">
        <w:rPr>
          <w:rFonts w:ascii="Times New Roman" w:hAnsi="Times New Roman" w:cs="Times New Roman"/>
          <w:sz w:val="24"/>
          <w:szCs w:val="24"/>
        </w:rPr>
        <w:t xml:space="preserve"> </w:t>
      </w:r>
      <w:r>
        <w:rPr>
          <w:rFonts w:ascii="Times New Roman" w:hAnsi="Times New Roman" w:cs="Times New Roman"/>
          <w:sz w:val="24"/>
          <w:szCs w:val="24"/>
        </w:rPr>
        <w:t>Les pouvoirs publics ont</w:t>
      </w:r>
      <w:r w:rsidRPr="006C0E24">
        <w:rPr>
          <w:rFonts w:ascii="Times New Roman" w:hAnsi="Times New Roman" w:cs="Times New Roman"/>
          <w:sz w:val="24"/>
          <w:szCs w:val="24"/>
        </w:rPr>
        <w:t xml:space="preserve"> une influence marquée sur l’université de Trois-Rivières.</w:t>
      </w:r>
      <w:r>
        <w:rPr>
          <w:rFonts w:ascii="Times New Roman" w:hAnsi="Times New Roman" w:cs="Times New Roman"/>
          <w:sz w:val="24"/>
          <w:szCs w:val="24"/>
        </w:rPr>
        <w:t xml:space="preserve"> Selon l’hexagone sectoriel, nous avons conclu que le Gouvernement provincial détenait une forte emprise sur l’université (9/10). En effet,</w:t>
      </w:r>
      <w:r w:rsidRPr="00441F0A">
        <w:rPr>
          <w:rFonts w:ascii="Times New Roman" w:hAnsi="Times New Roman" w:cs="Times New Roman"/>
          <w:sz w:val="24"/>
          <w:szCs w:val="24"/>
        </w:rPr>
        <w:t xml:space="preserve"> le </w:t>
      </w:r>
      <w:r w:rsidRPr="00441F0A">
        <w:rPr>
          <w:rFonts w:ascii="Times New Roman" w:hAnsi="Times New Roman" w:cs="Times New Roman"/>
          <w:sz w:val="24"/>
          <w:szCs w:val="24"/>
        </w:rPr>
        <w:lastRenderedPageBreak/>
        <w:t xml:space="preserve">ministère de l’éducation décide des exigences pour l’émission de diplômes, des normes d’enseignements, </w:t>
      </w:r>
      <w:r>
        <w:rPr>
          <w:rFonts w:ascii="Times New Roman" w:hAnsi="Times New Roman" w:cs="Times New Roman"/>
          <w:sz w:val="24"/>
          <w:szCs w:val="24"/>
        </w:rPr>
        <w:t xml:space="preserve">des subventions octroyées, </w:t>
      </w:r>
      <w:r w:rsidRPr="00441F0A">
        <w:rPr>
          <w:rFonts w:ascii="Times New Roman" w:hAnsi="Times New Roman" w:cs="Times New Roman"/>
          <w:sz w:val="24"/>
          <w:szCs w:val="24"/>
        </w:rPr>
        <w:t xml:space="preserve">etc. </w:t>
      </w:r>
      <w:r>
        <w:rPr>
          <w:rFonts w:ascii="Times New Roman" w:hAnsi="Times New Roman" w:cs="Times New Roman"/>
          <w:sz w:val="24"/>
          <w:szCs w:val="24"/>
        </w:rPr>
        <w:t xml:space="preserve"> </w:t>
      </w:r>
    </w:p>
    <w:p w:rsidR="002005F8" w:rsidRDefault="002005F8" w:rsidP="002005F8">
      <w:pPr>
        <w:spacing w:line="360" w:lineRule="auto"/>
        <w:jc w:val="both"/>
        <w:rPr>
          <w:rFonts w:ascii="Times New Roman" w:hAnsi="Times New Roman" w:cs="Times New Roman"/>
          <w:sz w:val="24"/>
          <w:szCs w:val="24"/>
        </w:rPr>
      </w:pPr>
    </w:p>
    <w:p w:rsidR="002005F8" w:rsidRDefault="002005F8" w:rsidP="002005F8">
      <w:pPr>
        <w:spacing w:line="360" w:lineRule="auto"/>
        <w:jc w:val="both"/>
        <w:rPr>
          <w:rFonts w:ascii="Times New Roman" w:hAnsi="Times New Roman" w:cs="Times New Roman"/>
          <w:sz w:val="24"/>
          <w:szCs w:val="24"/>
        </w:rPr>
      </w:pPr>
      <w:r w:rsidRPr="00287563">
        <w:rPr>
          <w:rFonts w:ascii="Times New Roman" w:hAnsi="Times New Roman" w:cs="Times New Roman"/>
          <w:sz w:val="24"/>
          <w:szCs w:val="24"/>
          <w:u w:val="single"/>
        </w:rPr>
        <w:t>Parties prenantes technologiques :</w:t>
      </w:r>
      <w:r w:rsidRPr="00287563">
        <w:rPr>
          <w:rFonts w:ascii="Times New Roman" w:hAnsi="Times New Roman" w:cs="Times New Roman"/>
          <w:sz w:val="24"/>
          <w:szCs w:val="24"/>
        </w:rPr>
        <w:t xml:space="preserve"> Au niveau de l’innovation, les professeurs ont une importance face à l’université. En effet, ils sont une source de dévelo</w:t>
      </w:r>
      <w:r>
        <w:rPr>
          <w:rFonts w:ascii="Times New Roman" w:hAnsi="Times New Roman" w:cs="Times New Roman"/>
          <w:sz w:val="24"/>
          <w:szCs w:val="24"/>
        </w:rPr>
        <w:t>ppement du savoir qui peu</w:t>
      </w:r>
      <w:r w:rsidRPr="00287563">
        <w:rPr>
          <w:rFonts w:ascii="Times New Roman" w:hAnsi="Times New Roman" w:cs="Times New Roman"/>
          <w:sz w:val="24"/>
          <w:szCs w:val="24"/>
        </w:rPr>
        <w:t xml:space="preserve">t influencer la manière de diffusion la connaissance. </w:t>
      </w:r>
      <w:r>
        <w:rPr>
          <w:rFonts w:ascii="Times New Roman" w:hAnsi="Times New Roman" w:cs="Times New Roman"/>
          <w:sz w:val="24"/>
          <w:szCs w:val="24"/>
        </w:rPr>
        <w:t xml:space="preserve">La recherche à l’UQTR a une signification particulière, puisqu’elle crée un lien avec la communauté régionale en ayant des partenariats avec celle-ci (par exemple : la Chaire de recherche en gestion de projets aéronautiques avec les entreprises trifluviennes) </w:t>
      </w:r>
    </w:p>
    <w:p w:rsidR="002005F8" w:rsidRDefault="002005F8" w:rsidP="002005F8">
      <w:pPr>
        <w:spacing w:line="360" w:lineRule="auto"/>
        <w:jc w:val="both"/>
        <w:rPr>
          <w:rFonts w:ascii="Times New Roman" w:hAnsi="Times New Roman" w:cs="Times New Roman"/>
          <w:sz w:val="24"/>
          <w:szCs w:val="24"/>
        </w:rPr>
      </w:pPr>
    </w:p>
    <w:p w:rsidR="002005F8" w:rsidRDefault="002005F8" w:rsidP="002005F8">
      <w:pPr>
        <w:spacing w:line="360" w:lineRule="auto"/>
        <w:jc w:val="both"/>
        <w:rPr>
          <w:rFonts w:ascii="Times New Roman" w:hAnsi="Times New Roman" w:cs="Times New Roman"/>
          <w:sz w:val="24"/>
          <w:szCs w:val="24"/>
        </w:rPr>
      </w:pPr>
      <w:r w:rsidRPr="00287563">
        <w:rPr>
          <w:rFonts w:ascii="Times New Roman" w:hAnsi="Times New Roman" w:cs="Times New Roman"/>
          <w:sz w:val="24"/>
          <w:szCs w:val="24"/>
          <w:u w:val="single"/>
        </w:rPr>
        <w:t>Parties prenantes sociétales</w:t>
      </w:r>
      <w:r>
        <w:rPr>
          <w:rFonts w:ascii="Times New Roman" w:hAnsi="Times New Roman" w:cs="Times New Roman"/>
          <w:sz w:val="24"/>
          <w:szCs w:val="24"/>
          <w:u w:val="single"/>
        </w:rPr>
        <w:t> :</w:t>
      </w:r>
      <w:r>
        <w:rPr>
          <w:rFonts w:ascii="Times New Roman" w:hAnsi="Times New Roman" w:cs="Times New Roman"/>
          <w:sz w:val="24"/>
          <w:szCs w:val="24"/>
        </w:rPr>
        <w:t xml:space="preserve"> La communauté régionale est une partie prenante n’ayant pas une relation formelle avec l</w:t>
      </w:r>
      <w:r w:rsidRPr="003429EE">
        <w:rPr>
          <w:rFonts w:ascii="Times New Roman" w:hAnsi="Times New Roman" w:cs="Times New Roman"/>
          <w:sz w:val="24"/>
          <w:szCs w:val="24"/>
        </w:rPr>
        <w:t>’UQTR</w:t>
      </w:r>
      <w:r>
        <w:rPr>
          <w:rFonts w:ascii="Times New Roman" w:hAnsi="Times New Roman" w:cs="Times New Roman"/>
          <w:sz w:val="24"/>
          <w:szCs w:val="24"/>
        </w:rPr>
        <w:t>. En effet, l’organisation peut décider ou non de former un partenariat avec une entreprise ou une activité locale. Par contre, il est tout à son avantage de maintenir un bon rapport avec la collectivité afin de l’affecter positivement. Nous pouvons penser ici à l’alliance obtenue avec la Faculté de médecine de l’</w:t>
      </w:r>
      <w:proofErr w:type="spellStart"/>
      <w:r>
        <w:rPr>
          <w:rFonts w:ascii="Times New Roman" w:hAnsi="Times New Roman" w:cs="Times New Roman"/>
          <w:sz w:val="24"/>
          <w:szCs w:val="24"/>
        </w:rPr>
        <w:t>UdeM</w:t>
      </w:r>
      <w:proofErr w:type="spellEnd"/>
      <w:r>
        <w:rPr>
          <w:rFonts w:ascii="Times New Roman" w:hAnsi="Times New Roman" w:cs="Times New Roman"/>
          <w:sz w:val="24"/>
          <w:szCs w:val="24"/>
        </w:rPr>
        <w:t xml:space="preserve"> qui permet à la Mauricie d’accroître son taux de médecins. </w:t>
      </w:r>
    </w:p>
    <w:p w:rsidR="002005F8" w:rsidRDefault="002005F8" w:rsidP="002005F8">
      <w:pPr>
        <w:spacing w:line="360" w:lineRule="auto"/>
        <w:jc w:val="both"/>
        <w:rPr>
          <w:rFonts w:ascii="Times New Roman" w:hAnsi="Times New Roman" w:cs="Times New Roman"/>
          <w:sz w:val="24"/>
          <w:szCs w:val="24"/>
        </w:rPr>
      </w:pPr>
    </w:p>
    <w:p w:rsidR="002005F8" w:rsidRPr="000C598B" w:rsidRDefault="002005F8" w:rsidP="002005F8">
      <w:pPr>
        <w:spacing w:after="0" w:line="240" w:lineRule="auto"/>
        <w:jc w:val="center"/>
        <w:rPr>
          <w:rFonts w:ascii="Times New Roman" w:hAnsi="Times New Roman" w:cs="Times New Roman"/>
          <w:b/>
          <w:sz w:val="24"/>
          <w:szCs w:val="24"/>
        </w:rPr>
      </w:pPr>
      <w:r w:rsidRPr="000C598B">
        <w:rPr>
          <w:rFonts w:ascii="Times New Roman" w:hAnsi="Times New Roman" w:cs="Times New Roman"/>
          <w:b/>
          <w:sz w:val="24"/>
          <w:szCs w:val="24"/>
        </w:rPr>
        <w:t>La cartographie des parties prenantes : la matrice pouvoir/intérêt</w:t>
      </w:r>
    </w:p>
    <w:tbl>
      <w:tblPr>
        <w:tblStyle w:val="Grilleclaire-Accent3"/>
        <w:tblpPr w:leftFromText="141" w:rightFromText="141" w:vertAnchor="text" w:horzAnchor="margin" w:tblpXSpec="center" w:tblpY="429"/>
        <w:tblW w:w="0" w:type="auto"/>
        <w:tblLayout w:type="fixed"/>
        <w:tblLook w:val="04A0"/>
      </w:tblPr>
      <w:tblGrid>
        <w:gridCol w:w="1030"/>
        <w:gridCol w:w="921"/>
        <w:gridCol w:w="2410"/>
        <w:gridCol w:w="3402"/>
      </w:tblGrid>
      <w:tr w:rsidR="002005F8" w:rsidTr="00A83EA8">
        <w:trPr>
          <w:cnfStyle w:val="100000000000"/>
          <w:trHeight w:val="553"/>
        </w:trPr>
        <w:tc>
          <w:tcPr>
            <w:cnfStyle w:val="001000000000"/>
            <w:tcW w:w="1030" w:type="dxa"/>
            <w:tcBorders>
              <w:top w:val="nil"/>
              <w:left w:val="nil"/>
              <w:bottom w:val="nil"/>
              <w:right w:val="nil"/>
            </w:tcBorders>
          </w:tcPr>
          <w:p w:rsidR="002005F8" w:rsidRPr="007C758D" w:rsidRDefault="002005F8" w:rsidP="00A83EA8">
            <w:pPr>
              <w:jc w:val="center"/>
              <w:rPr>
                <w:rFonts w:ascii="Times New Roman" w:hAnsi="Times New Roman" w:cs="Times New Roman"/>
                <w:color w:val="C29000" w:themeColor="accent3" w:themeShade="80"/>
                <w:sz w:val="24"/>
                <w:szCs w:val="24"/>
              </w:rPr>
            </w:pPr>
          </w:p>
        </w:tc>
        <w:tc>
          <w:tcPr>
            <w:tcW w:w="921" w:type="dxa"/>
            <w:tcBorders>
              <w:top w:val="nil"/>
              <w:left w:val="nil"/>
              <w:bottom w:val="nil"/>
            </w:tcBorders>
          </w:tcPr>
          <w:p w:rsidR="002005F8" w:rsidRPr="007C758D" w:rsidRDefault="002005F8" w:rsidP="00A83EA8">
            <w:pPr>
              <w:jc w:val="center"/>
              <w:cnfStyle w:val="100000000000"/>
              <w:rPr>
                <w:rFonts w:ascii="Times New Roman" w:hAnsi="Times New Roman" w:cs="Times New Roman"/>
                <w:color w:val="C29000" w:themeColor="accent3" w:themeShade="80"/>
                <w:sz w:val="24"/>
                <w:szCs w:val="24"/>
              </w:rPr>
            </w:pPr>
          </w:p>
        </w:tc>
        <w:tc>
          <w:tcPr>
            <w:tcW w:w="5812" w:type="dxa"/>
            <w:gridSpan w:val="2"/>
            <w:tcBorders>
              <w:bottom w:val="single" w:sz="4" w:space="0" w:color="FFE084" w:themeColor="accent3"/>
            </w:tcBorders>
            <w:shd w:val="clear" w:color="auto" w:fill="00703C"/>
            <w:vAlign w:val="center"/>
          </w:tcPr>
          <w:p w:rsidR="002005F8" w:rsidRPr="003C08E2" w:rsidRDefault="002005F8" w:rsidP="00A83EA8">
            <w:pPr>
              <w:jc w:val="center"/>
              <w:cnfStyle w:val="100000000000"/>
              <w:rPr>
                <w:rFonts w:ascii="Times New Roman" w:hAnsi="Times New Roman" w:cs="Times New Roman"/>
                <w:color w:val="FFFFFF" w:themeColor="background1"/>
                <w:sz w:val="24"/>
                <w:szCs w:val="24"/>
              </w:rPr>
            </w:pPr>
            <w:r w:rsidRPr="003C08E2">
              <w:rPr>
                <w:rFonts w:ascii="Times New Roman" w:hAnsi="Times New Roman" w:cs="Times New Roman"/>
                <w:color w:val="FFFFFF" w:themeColor="background1"/>
                <w:sz w:val="24"/>
                <w:szCs w:val="24"/>
              </w:rPr>
              <w:t>Niveau d’intérêt</w:t>
            </w:r>
          </w:p>
        </w:tc>
      </w:tr>
      <w:tr w:rsidR="002005F8" w:rsidTr="00A83EA8">
        <w:trPr>
          <w:cnfStyle w:val="000000100000"/>
          <w:trHeight w:val="418"/>
        </w:trPr>
        <w:tc>
          <w:tcPr>
            <w:cnfStyle w:val="001000000000"/>
            <w:tcW w:w="1030" w:type="dxa"/>
            <w:tcBorders>
              <w:top w:val="nil"/>
              <w:left w:val="nil"/>
              <w:bottom w:val="single" w:sz="4" w:space="0" w:color="FFE084" w:themeColor="accent3"/>
              <w:right w:val="nil"/>
            </w:tcBorders>
            <w:shd w:val="clear" w:color="auto" w:fill="auto"/>
          </w:tcPr>
          <w:p w:rsidR="002005F8" w:rsidRPr="007C758D" w:rsidRDefault="002005F8" w:rsidP="00A83EA8">
            <w:pPr>
              <w:jc w:val="center"/>
              <w:rPr>
                <w:rFonts w:ascii="Times New Roman" w:hAnsi="Times New Roman" w:cs="Times New Roman"/>
                <w:color w:val="C29000" w:themeColor="accent3" w:themeShade="80"/>
                <w:sz w:val="24"/>
                <w:szCs w:val="24"/>
              </w:rPr>
            </w:pPr>
          </w:p>
        </w:tc>
        <w:tc>
          <w:tcPr>
            <w:tcW w:w="921" w:type="dxa"/>
            <w:tcBorders>
              <w:top w:val="nil"/>
              <w:left w:val="nil"/>
            </w:tcBorders>
            <w:shd w:val="clear" w:color="auto" w:fill="auto"/>
          </w:tcPr>
          <w:p w:rsidR="002005F8" w:rsidRPr="007C758D" w:rsidRDefault="002005F8" w:rsidP="00A83EA8">
            <w:pPr>
              <w:jc w:val="center"/>
              <w:cnfStyle w:val="000000100000"/>
              <w:rPr>
                <w:rFonts w:ascii="Times New Roman" w:hAnsi="Times New Roman" w:cs="Times New Roman"/>
                <w:color w:val="C29000" w:themeColor="accent3" w:themeShade="80"/>
                <w:sz w:val="24"/>
                <w:szCs w:val="24"/>
              </w:rPr>
            </w:pPr>
          </w:p>
        </w:tc>
        <w:tc>
          <w:tcPr>
            <w:tcW w:w="2410" w:type="dxa"/>
            <w:tcBorders>
              <w:top w:val="single" w:sz="4" w:space="0" w:color="FFE084" w:themeColor="accent3"/>
              <w:bottom w:val="single" w:sz="12" w:space="0" w:color="FFE084" w:themeColor="accent3"/>
            </w:tcBorders>
            <w:shd w:val="clear" w:color="auto" w:fill="auto"/>
            <w:vAlign w:val="bottom"/>
          </w:tcPr>
          <w:p w:rsidR="002005F8" w:rsidRPr="00B5545D" w:rsidRDefault="002005F8" w:rsidP="00A83EA8">
            <w:pPr>
              <w:jc w:val="center"/>
              <w:cnfStyle w:val="000000100000"/>
              <w:rPr>
                <w:rFonts w:ascii="Times New Roman" w:hAnsi="Times New Roman" w:cs="Times New Roman"/>
                <w:color w:val="C4960C"/>
                <w:sz w:val="24"/>
                <w:szCs w:val="24"/>
              </w:rPr>
            </w:pPr>
            <w:r w:rsidRPr="00B5545D">
              <w:rPr>
                <w:rFonts w:ascii="Times New Roman" w:hAnsi="Times New Roman" w:cs="Times New Roman"/>
                <w:color w:val="C4960C"/>
                <w:sz w:val="24"/>
                <w:szCs w:val="24"/>
              </w:rPr>
              <w:t>Faible</w:t>
            </w:r>
          </w:p>
        </w:tc>
        <w:tc>
          <w:tcPr>
            <w:tcW w:w="3402" w:type="dxa"/>
            <w:tcBorders>
              <w:top w:val="single" w:sz="4" w:space="0" w:color="FFE084" w:themeColor="accent3"/>
              <w:bottom w:val="single" w:sz="12" w:space="0" w:color="FFE084" w:themeColor="accent3"/>
            </w:tcBorders>
            <w:shd w:val="clear" w:color="auto" w:fill="auto"/>
            <w:vAlign w:val="bottom"/>
          </w:tcPr>
          <w:p w:rsidR="002005F8" w:rsidRPr="00B5545D" w:rsidRDefault="002005F8" w:rsidP="00A83EA8">
            <w:pPr>
              <w:jc w:val="center"/>
              <w:cnfStyle w:val="000000100000"/>
              <w:rPr>
                <w:rFonts w:ascii="Times New Roman" w:hAnsi="Times New Roman" w:cs="Times New Roman"/>
                <w:color w:val="C4960C"/>
                <w:sz w:val="24"/>
                <w:szCs w:val="24"/>
              </w:rPr>
            </w:pPr>
            <w:r w:rsidRPr="00B5545D">
              <w:rPr>
                <w:rFonts w:ascii="Times New Roman" w:hAnsi="Times New Roman" w:cs="Times New Roman"/>
                <w:b/>
                <w:color w:val="C4960C"/>
                <w:sz w:val="24"/>
                <w:szCs w:val="24"/>
              </w:rPr>
              <w:t>Élevé</w:t>
            </w:r>
          </w:p>
        </w:tc>
      </w:tr>
      <w:tr w:rsidR="002005F8" w:rsidTr="006E124F">
        <w:trPr>
          <w:cnfStyle w:val="000000010000"/>
          <w:trHeight w:val="1663"/>
        </w:trPr>
        <w:tc>
          <w:tcPr>
            <w:cnfStyle w:val="001000000000"/>
            <w:tcW w:w="1030" w:type="dxa"/>
            <w:vMerge w:val="restart"/>
            <w:tcBorders>
              <w:top w:val="single" w:sz="4" w:space="0" w:color="FFE084" w:themeColor="accent3"/>
            </w:tcBorders>
            <w:shd w:val="clear" w:color="auto" w:fill="00703C"/>
            <w:vAlign w:val="center"/>
          </w:tcPr>
          <w:p w:rsidR="002005F8" w:rsidRPr="003C08E2" w:rsidRDefault="002005F8" w:rsidP="00A83EA8">
            <w:pPr>
              <w:jc w:val="center"/>
              <w:rPr>
                <w:rFonts w:ascii="Times New Roman" w:hAnsi="Times New Roman" w:cs="Times New Roman"/>
                <w:color w:val="FFFFFF" w:themeColor="background1"/>
                <w:sz w:val="24"/>
                <w:szCs w:val="24"/>
              </w:rPr>
            </w:pPr>
            <w:r w:rsidRPr="003C08E2">
              <w:rPr>
                <w:rFonts w:ascii="Times New Roman" w:hAnsi="Times New Roman" w:cs="Times New Roman"/>
                <w:color w:val="FFFFFF" w:themeColor="background1"/>
                <w:sz w:val="24"/>
                <w:szCs w:val="24"/>
              </w:rPr>
              <w:t>P</w:t>
            </w:r>
            <w:r w:rsidRPr="00B5545D">
              <w:rPr>
                <w:rFonts w:ascii="Times New Roman" w:hAnsi="Times New Roman" w:cs="Times New Roman"/>
                <w:color w:val="FFFFFF" w:themeColor="background1"/>
                <w:sz w:val="24"/>
                <w:szCs w:val="24"/>
                <w:shd w:val="clear" w:color="auto" w:fill="00703C"/>
              </w:rPr>
              <w:t>ouvoir</w:t>
            </w:r>
          </w:p>
        </w:tc>
        <w:tc>
          <w:tcPr>
            <w:tcW w:w="921" w:type="dxa"/>
            <w:tcBorders>
              <w:right w:val="single" w:sz="12" w:space="0" w:color="FFE084" w:themeColor="accent3"/>
            </w:tcBorders>
            <w:shd w:val="clear" w:color="auto" w:fill="FFFFFF" w:themeFill="background1"/>
            <w:vAlign w:val="center"/>
          </w:tcPr>
          <w:p w:rsidR="002005F8" w:rsidRPr="00B5545D" w:rsidRDefault="002005F8" w:rsidP="00A83EA8">
            <w:pPr>
              <w:jc w:val="right"/>
              <w:cnfStyle w:val="000000010000"/>
              <w:rPr>
                <w:rFonts w:ascii="Times New Roman" w:hAnsi="Times New Roman" w:cs="Times New Roman"/>
                <w:color w:val="C4960C"/>
                <w:sz w:val="24"/>
                <w:szCs w:val="24"/>
              </w:rPr>
            </w:pPr>
            <w:r w:rsidRPr="00B5545D">
              <w:rPr>
                <w:rFonts w:ascii="Times New Roman" w:hAnsi="Times New Roman" w:cs="Times New Roman"/>
                <w:color w:val="C4960C"/>
                <w:sz w:val="24"/>
                <w:szCs w:val="24"/>
              </w:rPr>
              <w:t>Faible</w:t>
            </w:r>
          </w:p>
        </w:tc>
        <w:tc>
          <w:tcPr>
            <w:tcW w:w="2410" w:type="dxa"/>
            <w:tcBorders>
              <w:top w:val="single" w:sz="12" w:space="0" w:color="FFE084" w:themeColor="accent3"/>
              <w:left w:val="single" w:sz="12" w:space="0" w:color="FFE084" w:themeColor="accent3"/>
            </w:tcBorders>
            <w:shd w:val="clear" w:color="auto" w:fill="FFF8E6" w:themeFill="accent3" w:themeFillTint="33"/>
          </w:tcPr>
          <w:p w:rsidR="002005F8" w:rsidRPr="00FB565E" w:rsidRDefault="002005F8" w:rsidP="00A83EA8">
            <w:pPr>
              <w:jc w:val="center"/>
              <w:cnfStyle w:val="000000010000"/>
              <w:rPr>
                <w:rFonts w:ascii="Times New Roman" w:hAnsi="Times New Roman" w:cs="Times New Roman"/>
                <w:b/>
                <w:color w:val="00703C"/>
                <w:sz w:val="24"/>
                <w:szCs w:val="24"/>
              </w:rPr>
            </w:pPr>
            <w:r w:rsidRPr="00FB565E">
              <w:rPr>
                <w:rFonts w:ascii="Times New Roman" w:hAnsi="Times New Roman" w:cs="Times New Roman"/>
                <w:b/>
                <w:color w:val="00703C"/>
                <w:sz w:val="24"/>
                <w:szCs w:val="24"/>
              </w:rPr>
              <w:t>Effort minimal</w:t>
            </w:r>
          </w:p>
          <w:p w:rsidR="002005F8" w:rsidRPr="00FB565E" w:rsidRDefault="002005F8" w:rsidP="00A83EA8">
            <w:pPr>
              <w:cnfStyle w:val="000000010000"/>
              <w:rPr>
                <w:rFonts w:ascii="Times New Roman" w:hAnsi="Times New Roman" w:cs="Times New Roman"/>
                <w:color w:val="00703C"/>
                <w:sz w:val="24"/>
                <w:szCs w:val="24"/>
              </w:rPr>
            </w:pPr>
            <w:r w:rsidRPr="00FB565E">
              <w:rPr>
                <w:rFonts w:ascii="Times New Roman" w:hAnsi="Times New Roman" w:cs="Times New Roman"/>
                <w:color w:val="00703C"/>
                <w:sz w:val="24"/>
                <w:szCs w:val="24"/>
              </w:rPr>
              <w:t xml:space="preserve">- </w:t>
            </w:r>
            <w:r w:rsidRPr="00123FFA">
              <w:rPr>
                <w:rFonts w:ascii="Times New Roman" w:hAnsi="Times New Roman" w:cs="Times New Roman"/>
                <w:sz w:val="24"/>
                <w:szCs w:val="24"/>
              </w:rPr>
              <w:t>Employés de soutien</w:t>
            </w:r>
          </w:p>
        </w:tc>
        <w:tc>
          <w:tcPr>
            <w:tcW w:w="3402" w:type="dxa"/>
            <w:shd w:val="clear" w:color="auto" w:fill="FFF8E6" w:themeFill="accent3" w:themeFillTint="33"/>
          </w:tcPr>
          <w:p w:rsidR="002005F8" w:rsidRPr="00FB565E" w:rsidRDefault="002005F8" w:rsidP="00A83EA8">
            <w:pPr>
              <w:jc w:val="center"/>
              <w:cnfStyle w:val="000000010000"/>
              <w:rPr>
                <w:rFonts w:ascii="Times New Roman" w:hAnsi="Times New Roman" w:cs="Times New Roman"/>
                <w:b/>
                <w:color w:val="00703C"/>
                <w:sz w:val="24"/>
                <w:szCs w:val="24"/>
              </w:rPr>
            </w:pPr>
            <w:r w:rsidRPr="00FB565E">
              <w:rPr>
                <w:rFonts w:ascii="Times New Roman" w:hAnsi="Times New Roman" w:cs="Times New Roman"/>
                <w:b/>
                <w:color w:val="00703C"/>
                <w:sz w:val="24"/>
                <w:szCs w:val="24"/>
              </w:rPr>
              <w:t>À garder informés</w:t>
            </w:r>
          </w:p>
          <w:p w:rsidR="002005F8" w:rsidRPr="00123FFA" w:rsidRDefault="002005F8" w:rsidP="00A83EA8">
            <w:pPr>
              <w:cnfStyle w:val="000000010000"/>
              <w:rPr>
                <w:rFonts w:ascii="Times New Roman" w:hAnsi="Times New Roman" w:cs="Times New Roman"/>
                <w:sz w:val="24"/>
                <w:szCs w:val="24"/>
              </w:rPr>
            </w:pPr>
            <w:r w:rsidRPr="00FB565E">
              <w:rPr>
                <w:rFonts w:ascii="Times New Roman" w:hAnsi="Times New Roman" w:cs="Times New Roman"/>
                <w:color w:val="00703C"/>
                <w:sz w:val="24"/>
                <w:szCs w:val="24"/>
              </w:rPr>
              <w:t xml:space="preserve">- </w:t>
            </w:r>
            <w:r w:rsidRPr="00123FFA">
              <w:rPr>
                <w:rFonts w:ascii="Times New Roman" w:hAnsi="Times New Roman" w:cs="Times New Roman"/>
                <w:sz w:val="24"/>
                <w:szCs w:val="24"/>
              </w:rPr>
              <w:t xml:space="preserve">Professeurs  </w:t>
            </w:r>
          </w:p>
          <w:p w:rsidR="002005F8" w:rsidRPr="00123FFA" w:rsidRDefault="002005F8" w:rsidP="00A83EA8">
            <w:pPr>
              <w:cnfStyle w:val="000000010000"/>
              <w:rPr>
                <w:rFonts w:ascii="Times New Roman" w:hAnsi="Times New Roman" w:cs="Times New Roman"/>
                <w:sz w:val="24"/>
                <w:szCs w:val="24"/>
              </w:rPr>
            </w:pPr>
            <w:r w:rsidRPr="00123FFA">
              <w:rPr>
                <w:rFonts w:ascii="Times New Roman" w:hAnsi="Times New Roman" w:cs="Times New Roman"/>
                <w:sz w:val="24"/>
                <w:szCs w:val="24"/>
              </w:rPr>
              <w:t>- Chargés de cours</w:t>
            </w:r>
          </w:p>
          <w:p w:rsidR="002005F8" w:rsidRPr="00123FFA" w:rsidRDefault="002005F8" w:rsidP="00A83EA8">
            <w:pPr>
              <w:cnfStyle w:val="000000010000"/>
              <w:rPr>
                <w:rFonts w:ascii="Times New Roman" w:hAnsi="Times New Roman" w:cs="Times New Roman"/>
                <w:sz w:val="24"/>
                <w:szCs w:val="24"/>
              </w:rPr>
            </w:pPr>
            <w:r w:rsidRPr="00123FFA">
              <w:rPr>
                <w:rFonts w:ascii="Times New Roman" w:hAnsi="Times New Roman" w:cs="Times New Roman"/>
                <w:sz w:val="24"/>
                <w:szCs w:val="24"/>
              </w:rPr>
              <w:t xml:space="preserve">- Étudiants </w:t>
            </w:r>
          </w:p>
          <w:p w:rsidR="002005F8" w:rsidRPr="00123FFA" w:rsidRDefault="002005F8" w:rsidP="00A83EA8">
            <w:pPr>
              <w:cnfStyle w:val="000000010000"/>
              <w:rPr>
                <w:rFonts w:ascii="Times New Roman" w:hAnsi="Times New Roman" w:cs="Times New Roman"/>
                <w:sz w:val="24"/>
                <w:szCs w:val="24"/>
              </w:rPr>
            </w:pPr>
            <w:r w:rsidRPr="00123FFA">
              <w:rPr>
                <w:rFonts w:ascii="Times New Roman" w:hAnsi="Times New Roman" w:cs="Times New Roman"/>
                <w:sz w:val="24"/>
                <w:szCs w:val="24"/>
              </w:rPr>
              <w:t>- Communauté régionale</w:t>
            </w:r>
          </w:p>
          <w:p w:rsidR="002005F8" w:rsidRPr="00FB565E" w:rsidRDefault="002005F8" w:rsidP="00A83EA8">
            <w:pPr>
              <w:cnfStyle w:val="000000010000"/>
              <w:rPr>
                <w:rFonts w:ascii="Times New Roman" w:hAnsi="Times New Roman" w:cs="Times New Roman"/>
                <w:color w:val="00703C"/>
                <w:sz w:val="24"/>
                <w:szCs w:val="24"/>
              </w:rPr>
            </w:pPr>
          </w:p>
        </w:tc>
      </w:tr>
      <w:tr w:rsidR="002005F8" w:rsidTr="006E124F">
        <w:trPr>
          <w:cnfStyle w:val="000000100000"/>
          <w:trHeight w:val="747"/>
        </w:trPr>
        <w:tc>
          <w:tcPr>
            <w:cnfStyle w:val="001000000000"/>
            <w:tcW w:w="1030" w:type="dxa"/>
            <w:vMerge/>
            <w:shd w:val="clear" w:color="auto" w:fill="00703C"/>
          </w:tcPr>
          <w:p w:rsidR="002005F8" w:rsidRPr="007C758D" w:rsidRDefault="002005F8" w:rsidP="00A83EA8">
            <w:pPr>
              <w:jc w:val="center"/>
              <w:rPr>
                <w:rFonts w:ascii="Times New Roman" w:hAnsi="Times New Roman" w:cs="Times New Roman"/>
                <w:b w:val="0"/>
                <w:color w:val="C29000" w:themeColor="accent3" w:themeShade="80"/>
                <w:sz w:val="24"/>
                <w:szCs w:val="24"/>
              </w:rPr>
            </w:pPr>
          </w:p>
        </w:tc>
        <w:tc>
          <w:tcPr>
            <w:tcW w:w="921" w:type="dxa"/>
            <w:tcBorders>
              <w:right w:val="single" w:sz="12" w:space="0" w:color="FFE084" w:themeColor="accent3"/>
            </w:tcBorders>
            <w:shd w:val="clear" w:color="auto" w:fill="FFFFFF" w:themeFill="background1"/>
            <w:vAlign w:val="center"/>
          </w:tcPr>
          <w:p w:rsidR="002005F8" w:rsidRPr="00FB565E" w:rsidRDefault="002005F8" w:rsidP="00A83EA8">
            <w:pPr>
              <w:jc w:val="right"/>
              <w:cnfStyle w:val="000000100000"/>
              <w:rPr>
                <w:rFonts w:ascii="Times New Roman" w:hAnsi="Times New Roman" w:cs="Times New Roman"/>
                <w:color w:val="C4960C"/>
                <w:sz w:val="24"/>
                <w:szCs w:val="24"/>
              </w:rPr>
            </w:pPr>
            <w:r w:rsidRPr="00FB565E">
              <w:rPr>
                <w:rFonts w:ascii="Times New Roman" w:hAnsi="Times New Roman" w:cs="Times New Roman"/>
                <w:color w:val="C4960C"/>
                <w:sz w:val="24"/>
                <w:szCs w:val="24"/>
              </w:rPr>
              <w:t>Élevé</w:t>
            </w:r>
          </w:p>
        </w:tc>
        <w:tc>
          <w:tcPr>
            <w:tcW w:w="2410" w:type="dxa"/>
            <w:tcBorders>
              <w:left w:val="single" w:sz="12" w:space="0" w:color="FFE084" w:themeColor="accent3"/>
            </w:tcBorders>
            <w:shd w:val="clear" w:color="auto" w:fill="FFF8E6" w:themeFill="accent3" w:themeFillTint="33"/>
          </w:tcPr>
          <w:p w:rsidR="002005F8" w:rsidRPr="00FB565E" w:rsidRDefault="002005F8" w:rsidP="00A83EA8">
            <w:pPr>
              <w:jc w:val="center"/>
              <w:cnfStyle w:val="000000100000"/>
              <w:rPr>
                <w:rFonts w:ascii="Times New Roman" w:hAnsi="Times New Roman" w:cs="Times New Roman"/>
                <w:b/>
                <w:color w:val="00703C"/>
                <w:sz w:val="24"/>
                <w:szCs w:val="24"/>
              </w:rPr>
            </w:pPr>
            <w:r w:rsidRPr="00FB565E">
              <w:rPr>
                <w:rFonts w:ascii="Times New Roman" w:hAnsi="Times New Roman" w:cs="Times New Roman"/>
                <w:b/>
                <w:color w:val="00703C"/>
                <w:sz w:val="24"/>
                <w:szCs w:val="24"/>
              </w:rPr>
              <w:t>À garder satisfait</w:t>
            </w:r>
          </w:p>
        </w:tc>
        <w:tc>
          <w:tcPr>
            <w:tcW w:w="3402" w:type="dxa"/>
          </w:tcPr>
          <w:p w:rsidR="002005F8" w:rsidRPr="00FB565E" w:rsidRDefault="002005F8" w:rsidP="00A83EA8">
            <w:pPr>
              <w:jc w:val="center"/>
              <w:cnfStyle w:val="000000100000"/>
              <w:rPr>
                <w:rFonts w:ascii="Times New Roman" w:hAnsi="Times New Roman" w:cs="Times New Roman"/>
                <w:b/>
                <w:color w:val="00703C"/>
                <w:sz w:val="24"/>
                <w:szCs w:val="24"/>
              </w:rPr>
            </w:pPr>
            <w:r w:rsidRPr="00FB565E">
              <w:rPr>
                <w:rFonts w:ascii="Times New Roman" w:hAnsi="Times New Roman" w:cs="Times New Roman"/>
                <w:b/>
                <w:color w:val="00703C"/>
                <w:sz w:val="24"/>
                <w:szCs w:val="24"/>
              </w:rPr>
              <w:t>Acteurs clés</w:t>
            </w:r>
          </w:p>
          <w:p w:rsidR="002005F8" w:rsidRPr="00FB565E" w:rsidRDefault="002005F8" w:rsidP="00A83EA8">
            <w:pPr>
              <w:cnfStyle w:val="000000100000"/>
              <w:rPr>
                <w:rFonts w:ascii="Times New Roman" w:hAnsi="Times New Roman" w:cs="Times New Roman"/>
                <w:color w:val="00703C"/>
                <w:sz w:val="24"/>
                <w:szCs w:val="24"/>
              </w:rPr>
            </w:pPr>
            <w:r w:rsidRPr="00FB565E">
              <w:rPr>
                <w:rFonts w:ascii="Times New Roman" w:hAnsi="Times New Roman" w:cs="Times New Roman"/>
                <w:color w:val="00703C"/>
                <w:sz w:val="24"/>
                <w:szCs w:val="24"/>
              </w:rPr>
              <w:t xml:space="preserve">- </w:t>
            </w:r>
            <w:r w:rsidRPr="00123FFA">
              <w:rPr>
                <w:rFonts w:ascii="Times New Roman" w:hAnsi="Times New Roman" w:cs="Times New Roman"/>
                <w:sz w:val="24"/>
                <w:szCs w:val="24"/>
              </w:rPr>
              <w:t>Gouvernement provincial</w:t>
            </w:r>
          </w:p>
        </w:tc>
      </w:tr>
    </w:tbl>
    <w:p w:rsidR="002005F8" w:rsidRDefault="002005F8" w:rsidP="002005F8">
      <w:pPr>
        <w:jc w:val="both"/>
        <w:rPr>
          <w:rFonts w:ascii="Times New Roman" w:hAnsi="Times New Roman" w:cs="Times New Roman"/>
          <w:sz w:val="24"/>
          <w:szCs w:val="24"/>
        </w:rPr>
      </w:pPr>
    </w:p>
    <w:p w:rsidR="002005F8" w:rsidRPr="002005F8" w:rsidRDefault="002005F8" w:rsidP="002005F8"/>
    <w:p w:rsidR="000D0609" w:rsidRPr="006E124F" w:rsidRDefault="007A7A51" w:rsidP="007A7A51">
      <w:pPr>
        <w:pStyle w:val="Titre2"/>
      </w:pPr>
      <w:bookmarkStart w:id="33" w:name="_Toc417486245"/>
      <w:r>
        <w:lastRenderedPageBreak/>
        <w:t xml:space="preserve">5. </w:t>
      </w:r>
      <w:r w:rsidR="000D0609" w:rsidRPr="006E124F">
        <w:t>Culture et stratégie</w:t>
      </w:r>
      <w:bookmarkEnd w:id="33"/>
    </w:p>
    <w:p w:rsidR="00163610" w:rsidRPr="006E124F" w:rsidRDefault="006E124F" w:rsidP="006E124F">
      <w:pPr>
        <w:pStyle w:val="Titre3"/>
      </w:pPr>
      <w:bookmarkStart w:id="34" w:name="_Toc417486246"/>
      <w:r>
        <w:t xml:space="preserve">5.1 </w:t>
      </w:r>
      <w:r w:rsidR="00163610" w:rsidRPr="006E124F">
        <w:t>Tissu culturel</w:t>
      </w:r>
      <w:bookmarkEnd w:id="34"/>
    </w:p>
    <w:p w:rsidR="00DA619A" w:rsidRPr="00DA619A" w:rsidRDefault="00DA619A" w:rsidP="00DA619A">
      <w:pPr>
        <w:pStyle w:val="Paragraphedeliste"/>
        <w:ind w:left="786"/>
        <w:rPr>
          <w:rFonts w:ascii="Times New Roman" w:hAnsi="Times New Roman" w:cs="Times New Roman"/>
          <w:b/>
          <w:sz w:val="24"/>
          <w:szCs w:val="24"/>
        </w:rPr>
      </w:pPr>
      <w:r>
        <w:rPr>
          <w:rFonts w:ascii="Times New Roman" w:hAnsi="Times New Roman" w:cs="Times New Roman"/>
          <w:b/>
          <w:noProof/>
          <w:sz w:val="24"/>
          <w:szCs w:val="24"/>
          <w:lang w:eastAsia="fr-CA"/>
        </w:rPr>
        <w:drawing>
          <wp:inline distT="0" distB="0" distL="0" distR="0">
            <wp:extent cx="5486400" cy="3476625"/>
            <wp:effectExtent l="0" t="133350" r="0" b="104775"/>
            <wp:docPr id="11" name="Diagramme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DA619A" w:rsidRDefault="00DA619A" w:rsidP="00DA619A">
      <w:pPr>
        <w:pStyle w:val="Paragraphedeliste"/>
        <w:rPr>
          <w:rFonts w:ascii="Times New Roman" w:hAnsi="Times New Roman" w:cs="Times New Roman"/>
          <w:sz w:val="24"/>
          <w:szCs w:val="24"/>
          <w:u w:val="single"/>
        </w:rPr>
      </w:pPr>
    </w:p>
    <w:p w:rsidR="00DA619A" w:rsidRDefault="00DA619A" w:rsidP="00DA619A">
      <w:pPr>
        <w:pStyle w:val="Paragraphedeliste"/>
        <w:rPr>
          <w:rFonts w:ascii="Times New Roman" w:hAnsi="Times New Roman" w:cs="Times New Roman"/>
          <w:sz w:val="24"/>
          <w:szCs w:val="24"/>
          <w:u w:val="single"/>
        </w:rPr>
      </w:pPr>
    </w:p>
    <w:p w:rsidR="00DA619A" w:rsidRDefault="00DA619A" w:rsidP="00442D5C">
      <w:pPr>
        <w:pStyle w:val="Paragraphedeliste"/>
        <w:spacing w:line="360" w:lineRule="auto"/>
        <w:jc w:val="both"/>
        <w:rPr>
          <w:rFonts w:ascii="Times New Roman" w:hAnsi="Times New Roman" w:cs="Times New Roman"/>
          <w:sz w:val="24"/>
          <w:szCs w:val="24"/>
        </w:rPr>
      </w:pPr>
      <w:r w:rsidRPr="00163610">
        <w:rPr>
          <w:rFonts w:ascii="Times New Roman" w:hAnsi="Times New Roman" w:cs="Times New Roman"/>
          <w:sz w:val="24"/>
          <w:szCs w:val="24"/>
          <w:u w:val="single"/>
        </w:rPr>
        <w:t>Paradigme :</w:t>
      </w:r>
      <w:r w:rsidR="00123FFA">
        <w:rPr>
          <w:rFonts w:ascii="Times New Roman" w:hAnsi="Times New Roman" w:cs="Times New Roman"/>
          <w:sz w:val="24"/>
          <w:szCs w:val="24"/>
        </w:rPr>
        <w:t xml:space="preserve"> L’UQTR est un établissement scolaire offrant comme service la distribution du savoir par la formation supérieure et la recherche scientifique. </w:t>
      </w:r>
      <w:r w:rsidR="00AF40DE">
        <w:rPr>
          <w:rFonts w:ascii="Times New Roman" w:hAnsi="Times New Roman" w:cs="Times New Roman"/>
          <w:sz w:val="24"/>
          <w:szCs w:val="24"/>
        </w:rPr>
        <w:t>Les principaux acteurs de cette institution sont le corps enseignant et la population étudiante. Donc</w:t>
      </w:r>
      <w:r w:rsidR="00AF40DE" w:rsidRPr="001C3661">
        <w:rPr>
          <w:rFonts w:ascii="Times New Roman" w:hAnsi="Times New Roman" w:cs="Times New Roman"/>
          <w:sz w:val="24"/>
          <w:szCs w:val="24"/>
        </w:rPr>
        <w:t>,</w:t>
      </w:r>
      <w:r w:rsidR="000404CA" w:rsidRPr="001C3661">
        <w:rPr>
          <w:rFonts w:ascii="Times New Roman" w:hAnsi="Times New Roman" w:cs="Times New Roman"/>
          <w:sz w:val="24"/>
          <w:szCs w:val="24"/>
        </w:rPr>
        <w:t xml:space="preserve"> des dualités peuvent être posées </w:t>
      </w:r>
      <w:r w:rsidR="00AF40DE" w:rsidRPr="001C3661">
        <w:rPr>
          <w:rFonts w:ascii="Times New Roman" w:hAnsi="Times New Roman" w:cs="Times New Roman"/>
          <w:sz w:val="24"/>
          <w:szCs w:val="24"/>
        </w:rPr>
        <w:t>entre ces acteurs</w:t>
      </w:r>
      <w:r w:rsidR="000404CA" w:rsidRPr="001C3661">
        <w:rPr>
          <w:rFonts w:ascii="Times New Roman" w:hAnsi="Times New Roman" w:cs="Times New Roman"/>
          <w:sz w:val="24"/>
          <w:szCs w:val="24"/>
        </w:rPr>
        <w:t>. Est-ce que les efforts doivent être mis davantage sur la recherche ou la qualité de l’enseignement ? Est-ce que l’enseignement est plus important que l’apprentissage ? Est-ce que le corps enseignant es</w:t>
      </w:r>
      <w:r w:rsidR="00660B2C" w:rsidRPr="001C3661">
        <w:rPr>
          <w:rFonts w:ascii="Times New Roman" w:hAnsi="Times New Roman" w:cs="Times New Roman"/>
          <w:sz w:val="24"/>
          <w:szCs w:val="24"/>
        </w:rPr>
        <w:t>t plus important que les étudiants ?</w:t>
      </w:r>
      <w:r w:rsidR="00660B2C">
        <w:rPr>
          <w:rFonts w:ascii="Times New Roman" w:hAnsi="Times New Roman" w:cs="Times New Roman"/>
          <w:sz w:val="24"/>
          <w:szCs w:val="24"/>
        </w:rPr>
        <w:t xml:space="preserve"> </w:t>
      </w:r>
    </w:p>
    <w:p w:rsidR="0047516C" w:rsidRPr="000404CA" w:rsidRDefault="0047516C" w:rsidP="00442D5C">
      <w:pPr>
        <w:pStyle w:val="Paragraphedeliste"/>
        <w:spacing w:line="360" w:lineRule="auto"/>
        <w:jc w:val="both"/>
        <w:rPr>
          <w:rFonts w:ascii="Times New Roman" w:hAnsi="Times New Roman" w:cs="Times New Roman"/>
          <w:sz w:val="24"/>
          <w:szCs w:val="24"/>
        </w:rPr>
      </w:pPr>
    </w:p>
    <w:p w:rsidR="00DA619A" w:rsidRPr="00442D5C" w:rsidRDefault="00DA619A" w:rsidP="00442D5C">
      <w:pPr>
        <w:pStyle w:val="Paragraphedeliste"/>
        <w:spacing w:line="360" w:lineRule="auto"/>
        <w:jc w:val="both"/>
        <w:rPr>
          <w:rFonts w:ascii="Times New Roman" w:hAnsi="Times New Roman" w:cs="Times New Roman"/>
          <w:sz w:val="24"/>
          <w:szCs w:val="24"/>
        </w:rPr>
      </w:pPr>
      <w:r w:rsidRPr="00163610">
        <w:rPr>
          <w:rFonts w:ascii="Times New Roman" w:hAnsi="Times New Roman" w:cs="Times New Roman"/>
          <w:sz w:val="24"/>
          <w:szCs w:val="24"/>
          <w:u w:val="single"/>
        </w:rPr>
        <w:t>Rites </w:t>
      </w:r>
      <w:r>
        <w:rPr>
          <w:rFonts w:ascii="Times New Roman" w:hAnsi="Times New Roman" w:cs="Times New Roman"/>
          <w:sz w:val="24"/>
          <w:szCs w:val="24"/>
          <w:u w:val="single"/>
        </w:rPr>
        <w:t>et routine :</w:t>
      </w:r>
      <w:r w:rsidR="00442D5C" w:rsidRPr="00442D5C">
        <w:rPr>
          <w:rFonts w:ascii="Times New Roman" w:hAnsi="Times New Roman" w:cs="Times New Roman"/>
          <w:sz w:val="24"/>
          <w:szCs w:val="24"/>
        </w:rPr>
        <w:t xml:space="preserve"> </w:t>
      </w:r>
      <w:r w:rsidR="001A1E40">
        <w:rPr>
          <w:rFonts w:ascii="Times New Roman" w:hAnsi="Times New Roman" w:cs="Times New Roman"/>
          <w:sz w:val="24"/>
          <w:szCs w:val="24"/>
        </w:rPr>
        <w:t xml:space="preserve">L’UQTR a pour rites la </w:t>
      </w:r>
      <w:proofErr w:type="spellStart"/>
      <w:r w:rsidR="001A1E40">
        <w:rPr>
          <w:rFonts w:ascii="Times New Roman" w:hAnsi="Times New Roman" w:cs="Times New Roman"/>
          <w:sz w:val="24"/>
          <w:szCs w:val="24"/>
        </w:rPr>
        <w:t>diplomation</w:t>
      </w:r>
      <w:proofErr w:type="spellEnd"/>
      <w:r w:rsidR="001A1E40">
        <w:rPr>
          <w:rFonts w:ascii="Times New Roman" w:hAnsi="Times New Roman" w:cs="Times New Roman"/>
          <w:sz w:val="24"/>
          <w:szCs w:val="24"/>
        </w:rPr>
        <w:t xml:space="preserve"> des étudiants, le bal des finissants et les initiations lors de l’arrivée des nouveaux étudiants dans leur programme. L’institution a pour routine principale les sessions d’automne, d’hiver et d’été, car elles se répètent d’année scolaire en année scolaire. L’utilisation du Portail électronique de l’UQTR par les employés et les étudiants </w:t>
      </w:r>
      <w:r w:rsidR="001A1E40">
        <w:rPr>
          <w:rFonts w:ascii="Times New Roman" w:hAnsi="Times New Roman" w:cs="Times New Roman"/>
          <w:sz w:val="24"/>
          <w:szCs w:val="24"/>
        </w:rPr>
        <w:lastRenderedPageBreak/>
        <w:t>est notamment un exemple de routine dont tous ont l’habitude de faire au quotidien.</w:t>
      </w:r>
    </w:p>
    <w:p w:rsidR="00DA619A" w:rsidRDefault="00DA619A" w:rsidP="00442D5C">
      <w:pPr>
        <w:pStyle w:val="Paragraphedeliste"/>
        <w:spacing w:line="360" w:lineRule="auto"/>
        <w:jc w:val="both"/>
        <w:rPr>
          <w:rFonts w:ascii="Times New Roman" w:hAnsi="Times New Roman" w:cs="Times New Roman"/>
          <w:sz w:val="24"/>
          <w:szCs w:val="24"/>
        </w:rPr>
      </w:pPr>
      <w:r w:rsidRPr="00163610">
        <w:rPr>
          <w:rFonts w:ascii="Times New Roman" w:hAnsi="Times New Roman" w:cs="Times New Roman"/>
          <w:sz w:val="24"/>
          <w:szCs w:val="24"/>
          <w:u w:val="single"/>
        </w:rPr>
        <w:t>Mythes :</w:t>
      </w:r>
      <w:r w:rsidRPr="00AC168C">
        <w:rPr>
          <w:rFonts w:ascii="Times New Roman" w:hAnsi="Times New Roman" w:cs="Times New Roman"/>
          <w:sz w:val="24"/>
          <w:szCs w:val="24"/>
        </w:rPr>
        <w:t xml:space="preserve"> </w:t>
      </w:r>
      <w:r w:rsidR="00AC168C">
        <w:rPr>
          <w:rFonts w:ascii="Times New Roman" w:hAnsi="Times New Roman" w:cs="Times New Roman"/>
          <w:sz w:val="24"/>
          <w:szCs w:val="24"/>
        </w:rPr>
        <w:t>L’UQTR est une institution</w:t>
      </w:r>
      <w:r w:rsidRPr="00471A66">
        <w:rPr>
          <w:rFonts w:ascii="Times New Roman" w:hAnsi="Times New Roman" w:cs="Times New Roman"/>
          <w:sz w:val="24"/>
          <w:szCs w:val="24"/>
        </w:rPr>
        <w:t xml:space="preserve"> ré</w:t>
      </w:r>
      <w:r w:rsidR="00AC168C">
        <w:rPr>
          <w:rFonts w:ascii="Times New Roman" w:hAnsi="Times New Roman" w:cs="Times New Roman"/>
          <w:sz w:val="24"/>
          <w:szCs w:val="24"/>
        </w:rPr>
        <w:t>gionale qui par son emplacement donne l’impression d’avoir une moins bonne réputation ayant un enseignement de</w:t>
      </w:r>
      <w:r>
        <w:rPr>
          <w:rFonts w:ascii="Times New Roman" w:hAnsi="Times New Roman" w:cs="Times New Roman"/>
          <w:sz w:val="24"/>
          <w:szCs w:val="24"/>
        </w:rPr>
        <w:t xml:space="preserve"> mo</w:t>
      </w:r>
      <w:r w:rsidR="00AC168C">
        <w:rPr>
          <w:rFonts w:ascii="Times New Roman" w:hAnsi="Times New Roman" w:cs="Times New Roman"/>
          <w:sz w:val="24"/>
          <w:szCs w:val="24"/>
        </w:rPr>
        <w:t>ins bonne qualité que les universités des grandes villes (Montréal et Québec). Pour ce faire, le diplôme n’a pas la même valeur</w:t>
      </w:r>
      <w:r>
        <w:rPr>
          <w:rFonts w:ascii="Times New Roman" w:hAnsi="Times New Roman" w:cs="Times New Roman"/>
          <w:sz w:val="24"/>
          <w:szCs w:val="24"/>
        </w:rPr>
        <w:t xml:space="preserve"> que les autres </w:t>
      </w:r>
      <w:r w:rsidR="00AC168C">
        <w:rPr>
          <w:rFonts w:ascii="Times New Roman" w:hAnsi="Times New Roman" w:cs="Times New Roman"/>
          <w:sz w:val="24"/>
          <w:szCs w:val="24"/>
        </w:rPr>
        <w:t xml:space="preserve">universités mieux situées. De plus, il est souvent mentionné que l’accessibilité aux études supérieures est réservée aux gens fortunés se trouvant dans la classe supérieure de la population. Finalement, la population </w:t>
      </w:r>
      <w:r w:rsidR="003520A0">
        <w:rPr>
          <w:rFonts w:ascii="Times New Roman" w:hAnsi="Times New Roman" w:cs="Times New Roman"/>
          <w:sz w:val="24"/>
          <w:szCs w:val="24"/>
        </w:rPr>
        <w:t>étudiante</w:t>
      </w:r>
      <w:r w:rsidR="00AC168C">
        <w:rPr>
          <w:rFonts w:ascii="Times New Roman" w:hAnsi="Times New Roman" w:cs="Times New Roman"/>
          <w:sz w:val="24"/>
          <w:szCs w:val="24"/>
        </w:rPr>
        <w:t xml:space="preserve"> serait reconnue comme des individus faisant énormément la fête au détriment de leurs études.</w:t>
      </w:r>
    </w:p>
    <w:p w:rsidR="00235611" w:rsidRPr="00163610" w:rsidRDefault="00235611" w:rsidP="00442D5C">
      <w:pPr>
        <w:pStyle w:val="Paragraphedeliste"/>
        <w:spacing w:line="360" w:lineRule="auto"/>
        <w:jc w:val="both"/>
        <w:rPr>
          <w:rFonts w:ascii="Times New Roman" w:hAnsi="Times New Roman" w:cs="Times New Roman"/>
          <w:sz w:val="24"/>
          <w:szCs w:val="24"/>
          <w:u w:val="single"/>
        </w:rPr>
      </w:pPr>
    </w:p>
    <w:p w:rsidR="00DA619A" w:rsidRDefault="00DA619A" w:rsidP="00442D5C">
      <w:pPr>
        <w:pStyle w:val="Paragraphedeliste"/>
        <w:spacing w:line="360" w:lineRule="auto"/>
        <w:jc w:val="both"/>
        <w:rPr>
          <w:rFonts w:ascii="Times New Roman" w:hAnsi="Times New Roman" w:cs="Times New Roman"/>
          <w:sz w:val="24"/>
          <w:szCs w:val="24"/>
        </w:rPr>
      </w:pPr>
      <w:r w:rsidRPr="00163610">
        <w:rPr>
          <w:rFonts w:ascii="Times New Roman" w:hAnsi="Times New Roman" w:cs="Times New Roman"/>
          <w:sz w:val="24"/>
          <w:szCs w:val="24"/>
          <w:u w:val="single"/>
        </w:rPr>
        <w:t>Symboles :</w:t>
      </w:r>
      <w:r w:rsidR="00442D5C" w:rsidRPr="00442D5C">
        <w:rPr>
          <w:rFonts w:ascii="Times New Roman" w:hAnsi="Times New Roman" w:cs="Times New Roman"/>
          <w:sz w:val="24"/>
          <w:szCs w:val="24"/>
        </w:rPr>
        <w:t xml:space="preserve"> </w:t>
      </w:r>
      <w:r w:rsidR="00442D5C">
        <w:rPr>
          <w:rFonts w:ascii="Times New Roman" w:hAnsi="Times New Roman" w:cs="Times New Roman"/>
          <w:sz w:val="24"/>
          <w:szCs w:val="24"/>
        </w:rPr>
        <w:t>L’UQTR est représentée par son logo et par s</w:t>
      </w:r>
      <w:r w:rsidR="001434B6">
        <w:rPr>
          <w:rFonts w:ascii="Times New Roman" w:hAnsi="Times New Roman" w:cs="Times New Roman"/>
          <w:sz w:val="24"/>
          <w:szCs w:val="24"/>
        </w:rPr>
        <w:t>es</w:t>
      </w:r>
      <w:r w:rsidR="00442D5C">
        <w:rPr>
          <w:rFonts w:ascii="Times New Roman" w:hAnsi="Times New Roman" w:cs="Times New Roman"/>
          <w:sz w:val="24"/>
          <w:szCs w:val="24"/>
        </w:rPr>
        <w:t xml:space="preserve"> armoirie</w:t>
      </w:r>
      <w:r w:rsidR="001434B6">
        <w:rPr>
          <w:rFonts w:ascii="Times New Roman" w:hAnsi="Times New Roman" w:cs="Times New Roman"/>
          <w:sz w:val="24"/>
          <w:szCs w:val="24"/>
        </w:rPr>
        <w:t>s</w:t>
      </w:r>
      <w:r w:rsidR="008E52F2">
        <w:rPr>
          <w:rFonts w:ascii="Times New Roman" w:hAnsi="Times New Roman" w:cs="Times New Roman"/>
          <w:sz w:val="24"/>
          <w:szCs w:val="24"/>
        </w:rPr>
        <w:t xml:space="preserve"> qui </w:t>
      </w:r>
      <w:r w:rsidR="001434B6">
        <w:rPr>
          <w:rFonts w:ascii="Times New Roman" w:hAnsi="Times New Roman" w:cs="Times New Roman"/>
          <w:sz w:val="24"/>
          <w:szCs w:val="24"/>
        </w:rPr>
        <w:t>sont</w:t>
      </w:r>
      <w:r w:rsidR="008E52F2">
        <w:rPr>
          <w:rFonts w:ascii="Times New Roman" w:hAnsi="Times New Roman" w:cs="Times New Roman"/>
          <w:sz w:val="24"/>
          <w:szCs w:val="24"/>
        </w:rPr>
        <w:t xml:space="preserve"> plus protocolair</w:t>
      </w:r>
      <w:r w:rsidR="001434B6">
        <w:rPr>
          <w:rFonts w:ascii="Times New Roman" w:hAnsi="Times New Roman" w:cs="Times New Roman"/>
          <w:sz w:val="24"/>
          <w:szCs w:val="24"/>
        </w:rPr>
        <w:t>es</w:t>
      </w:r>
      <w:r w:rsidR="00442D5C">
        <w:rPr>
          <w:rFonts w:ascii="Times New Roman" w:hAnsi="Times New Roman" w:cs="Times New Roman"/>
          <w:sz w:val="24"/>
          <w:szCs w:val="24"/>
        </w:rPr>
        <w:t xml:space="preserve">.  Les couleurs verte et or sont notamment associées à l’institution. De plus, le logo des équipes sportives universitaires, les Patriotes, </w:t>
      </w:r>
      <w:r w:rsidR="003520A0">
        <w:rPr>
          <w:rFonts w:ascii="Times New Roman" w:hAnsi="Times New Roman" w:cs="Times New Roman"/>
          <w:sz w:val="24"/>
          <w:szCs w:val="24"/>
        </w:rPr>
        <w:t>est</w:t>
      </w:r>
      <w:r w:rsidR="00442D5C">
        <w:rPr>
          <w:rFonts w:ascii="Times New Roman" w:hAnsi="Times New Roman" w:cs="Times New Roman"/>
          <w:sz w:val="24"/>
          <w:szCs w:val="24"/>
        </w:rPr>
        <w:t xml:space="preserve"> notamment emblèmes de l’UQT</w:t>
      </w:r>
      <w:r w:rsidR="00FE1F3D">
        <w:rPr>
          <w:rFonts w:ascii="Times New Roman" w:hAnsi="Times New Roman" w:cs="Times New Roman"/>
          <w:sz w:val="24"/>
          <w:szCs w:val="24"/>
        </w:rPr>
        <w:t>R (Voir la page suivante).</w:t>
      </w:r>
    </w:p>
    <w:p w:rsidR="00FE1F3D" w:rsidRDefault="00FE1F3D" w:rsidP="00442D5C">
      <w:pPr>
        <w:pStyle w:val="Paragraphedeliste"/>
        <w:spacing w:line="360" w:lineRule="auto"/>
        <w:jc w:val="both"/>
        <w:rPr>
          <w:rFonts w:ascii="Times New Roman" w:hAnsi="Times New Roman" w:cs="Times New Roman"/>
          <w:sz w:val="24"/>
          <w:szCs w:val="24"/>
        </w:rPr>
      </w:pPr>
    </w:p>
    <w:p w:rsidR="001434B6" w:rsidRDefault="001434B6" w:rsidP="00442D5C">
      <w:pPr>
        <w:pStyle w:val="Paragraphedeliste"/>
        <w:spacing w:line="360" w:lineRule="auto"/>
        <w:jc w:val="both"/>
        <w:rPr>
          <w:rFonts w:ascii="Times New Roman" w:hAnsi="Times New Roman" w:cs="Times New Roman"/>
          <w:sz w:val="24"/>
          <w:szCs w:val="24"/>
        </w:rPr>
      </w:pPr>
    </w:p>
    <w:p w:rsidR="001434B6" w:rsidRDefault="001434B6" w:rsidP="00442D5C">
      <w:pPr>
        <w:pStyle w:val="Paragraphedeliste"/>
        <w:spacing w:line="360" w:lineRule="auto"/>
        <w:jc w:val="both"/>
        <w:rPr>
          <w:rFonts w:ascii="Times New Roman" w:hAnsi="Times New Roman" w:cs="Times New Roman"/>
          <w:sz w:val="24"/>
          <w:szCs w:val="24"/>
        </w:rPr>
      </w:pPr>
    </w:p>
    <w:p w:rsidR="001434B6" w:rsidRDefault="001434B6" w:rsidP="00442D5C">
      <w:pPr>
        <w:pStyle w:val="Paragraphedeliste"/>
        <w:spacing w:line="360" w:lineRule="auto"/>
        <w:jc w:val="both"/>
        <w:rPr>
          <w:rFonts w:ascii="Times New Roman" w:hAnsi="Times New Roman" w:cs="Times New Roman"/>
          <w:sz w:val="24"/>
          <w:szCs w:val="24"/>
        </w:rPr>
      </w:pPr>
    </w:p>
    <w:p w:rsidR="001434B6" w:rsidRDefault="001434B6" w:rsidP="00442D5C">
      <w:pPr>
        <w:pStyle w:val="Paragraphedeliste"/>
        <w:spacing w:line="360" w:lineRule="auto"/>
        <w:jc w:val="both"/>
        <w:rPr>
          <w:rFonts w:ascii="Times New Roman" w:hAnsi="Times New Roman" w:cs="Times New Roman"/>
          <w:sz w:val="24"/>
          <w:szCs w:val="24"/>
        </w:rPr>
      </w:pPr>
    </w:p>
    <w:p w:rsidR="001434B6" w:rsidRPr="001434B6" w:rsidRDefault="001434B6" w:rsidP="00442D5C">
      <w:pPr>
        <w:pStyle w:val="Paragraphedeliste"/>
        <w:spacing w:line="360" w:lineRule="auto"/>
        <w:jc w:val="both"/>
        <w:rPr>
          <w:rFonts w:ascii="Times New Roman" w:hAnsi="Times New Roman" w:cs="Times New Roman"/>
          <w:b/>
          <w:sz w:val="24"/>
          <w:szCs w:val="24"/>
          <w:u w:val="single"/>
        </w:rPr>
      </w:pPr>
    </w:p>
    <w:p w:rsidR="008436FC" w:rsidRDefault="008436FC">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1434B6" w:rsidRPr="001434B6" w:rsidRDefault="008436FC" w:rsidP="00442D5C">
      <w:pPr>
        <w:pStyle w:val="Paragraphedeliste"/>
        <w:spacing w:line="360" w:lineRule="auto"/>
        <w:jc w:val="both"/>
        <w:rPr>
          <w:rFonts w:ascii="Times New Roman" w:hAnsi="Times New Roman" w:cs="Times New Roman"/>
          <w:b/>
          <w:sz w:val="24"/>
          <w:szCs w:val="24"/>
          <w:u w:val="single"/>
        </w:rPr>
      </w:pPr>
      <w:r>
        <w:rPr>
          <w:rFonts w:ascii="Times New Roman" w:hAnsi="Times New Roman" w:cs="Times New Roman"/>
          <w:b/>
          <w:noProof/>
          <w:sz w:val="24"/>
          <w:szCs w:val="24"/>
          <w:u w:val="single"/>
          <w:lang w:eastAsia="fr-CA"/>
        </w:rPr>
        <w:lastRenderedPageBreak/>
        <w:drawing>
          <wp:anchor distT="0" distB="0" distL="114300" distR="114300" simplePos="0" relativeHeight="251660800" behindDoc="0" locked="0" layoutInCell="1" allowOverlap="1">
            <wp:simplePos x="0" y="0"/>
            <wp:positionH relativeFrom="column">
              <wp:posOffset>2695575</wp:posOffset>
            </wp:positionH>
            <wp:positionV relativeFrom="paragraph">
              <wp:posOffset>-295275</wp:posOffset>
            </wp:positionV>
            <wp:extent cx="2260600" cy="1133475"/>
            <wp:effectExtent l="19050" t="0" r="6350" b="0"/>
            <wp:wrapThrough wrapText="bothSides">
              <wp:wrapPolygon edited="0">
                <wp:start x="-182" y="0"/>
                <wp:lineTo x="-182" y="21418"/>
                <wp:lineTo x="21661" y="21418"/>
                <wp:lineTo x="21661" y="0"/>
                <wp:lineTo x="-182" y="0"/>
              </wp:wrapPolygon>
            </wp:wrapThrough>
            <wp:docPr id="54" name="Image 8" descr="C:\Users\Célia\Documents\Administration des affaires\Hiver 2015\Gestion stratégique des entreprises\UQTR_1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élia\Documents\Administration des affaires\Hiver 2015\Gestion stratégique des entreprises\UQTR_1_300.jpg"/>
                    <pic:cNvPicPr>
                      <a:picLocks noChangeAspect="1" noChangeArrowheads="1"/>
                    </pic:cNvPicPr>
                  </pic:nvPicPr>
                  <pic:blipFill>
                    <a:blip r:embed="rId40" cstate="print"/>
                    <a:srcRect/>
                    <a:stretch>
                      <a:fillRect/>
                    </a:stretch>
                  </pic:blipFill>
                  <pic:spPr bwMode="auto">
                    <a:xfrm>
                      <a:off x="0" y="0"/>
                      <a:ext cx="2260600" cy="1133475"/>
                    </a:xfrm>
                    <a:prstGeom prst="rect">
                      <a:avLst/>
                    </a:prstGeom>
                    <a:noFill/>
                    <a:ln w="9525">
                      <a:noFill/>
                      <a:miter lim="800000"/>
                      <a:headEnd/>
                      <a:tailEnd/>
                    </a:ln>
                  </pic:spPr>
                </pic:pic>
              </a:graphicData>
            </a:graphic>
          </wp:anchor>
        </w:drawing>
      </w:r>
      <w:r w:rsidR="001434B6" w:rsidRPr="001434B6">
        <w:rPr>
          <w:rFonts w:ascii="Times New Roman" w:hAnsi="Times New Roman" w:cs="Times New Roman"/>
          <w:b/>
          <w:sz w:val="24"/>
          <w:szCs w:val="24"/>
          <w:u w:val="single"/>
        </w:rPr>
        <w:t>L</w:t>
      </w:r>
      <w:r w:rsidR="001434B6">
        <w:rPr>
          <w:rFonts w:ascii="Times New Roman" w:hAnsi="Times New Roman" w:cs="Times New Roman"/>
          <w:b/>
          <w:sz w:val="24"/>
          <w:szCs w:val="24"/>
          <w:u w:val="single"/>
        </w:rPr>
        <w:t>ogo</w:t>
      </w:r>
      <w:r w:rsidR="001434B6" w:rsidRPr="001434B6">
        <w:rPr>
          <w:rFonts w:ascii="Times New Roman" w:hAnsi="Times New Roman" w:cs="Times New Roman"/>
          <w:b/>
          <w:sz w:val="24"/>
          <w:szCs w:val="24"/>
          <w:u w:val="single"/>
        </w:rPr>
        <w:t xml:space="preserve"> de l’UQTR :</w:t>
      </w:r>
    </w:p>
    <w:p w:rsidR="001434B6" w:rsidRDefault="001434B6" w:rsidP="00442D5C">
      <w:pPr>
        <w:pStyle w:val="Paragraphedeliste"/>
        <w:spacing w:line="360" w:lineRule="auto"/>
        <w:jc w:val="both"/>
        <w:rPr>
          <w:rFonts w:ascii="Times New Roman" w:hAnsi="Times New Roman" w:cs="Times New Roman"/>
          <w:sz w:val="24"/>
          <w:szCs w:val="24"/>
        </w:rPr>
      </w:pPr>
    </w:p>
    <w:p w:rsidR="001434B6" w:rsidRDefault="001434B6" w:rsidP="00442D5C">
      <w:pPr>
        <w:pStyle w:val="Paragraphedeliste"/>
        <w:spacing w:line="360" w:lineRule="auto"/>
        <w:jc w:val="both"/>
        <w:rPr>
          <w:rFonts w:ascii="Times New Roman" w:hAnsi="Times New Roman" w:cs="Times New Roman"/>
          <w:sz w:val="24"/>
          <w:szCs w:val="24"/>
        </w:rPr>
      </w:pPr>
    </w:p>
    <w:p w:rsidR="001434B6" w:rsidRDefault="001434B6" w:rsidP="00442D5C">
      <w:pPr>
        <w:pStyle w:val="Paragraphedeliste"/>
        <w:spacing w:line="360" w:lineRule="auto"/>
        <w:jc w:val="both"/>
        <w:rPr>
          <w:rFonts w:ascii="Times New Roman" w:hAnsi="Times New Roman" w:cs="Times New Roman"/>
          <w:sz w:val="24"/>
          <w:szCs w:val="24"/>
        </w:rPr>
      </w:pPr>
    </w:p>
    <w:tbl>
      <w:tblPr>
        <w:tblStyle w:val="Grilledutableau"/>
        <w:tblpPr w:leftFromText="141" w:rightFromText="141" w:vertAnchor="text" w:horzAnchor="page" w:tblpX="5593" w:tblpY="311"/>
        <w:tblOverlap w:val="never"/>
        <w:tblW w:w="5778" w:type="dxa"/>
        <w:tblLayout w:type="fixed"/>
        <w:tblLook w:val="04A0"/>
      </w:tblPr>
      <w:tblGrid>
        <w:gridCol w:w="1526"/>
        <w:gridCol w:w="4252"/>
      </w:tblGrid>
      <w:tr w:rsidR="0047516C" w:rsidTr="0047516C">
        <w:trPr>
          <w:trHeight w:val="701"/>
        </w:trPr>
        <w:tc>
          <w:tcPr>
            <w:tcW w:w="5778" w:type="dxa"/>
            <w:gridSpan w:val="2"/>
            <w:shd w:val="clear" w:color="auto" w:fill="00703C"/>
          </w:tcPr>
          <w:p w:rsidR="0047516C" w:rsidRDefault="0047516C" w:rsidP="0047516C">
            <w:pPr>
              <w:pStyle w:val="Paragraphedeliste"/>
              <w:ind w:left="0"/>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 xml:space="preserve">Armoiries de l’UQTR </w:t>
            </w:r>
          </w:p>
          <w:p w:rsidR="0047516C" w:rsidRPr="00DD0281" w:rsidRDefault="0047516C" w:rsidP="0047516C">
            <w:pPr>
              <w:pStyle w:val="Paragraphedeliste"/>
              <w:ind w:left="0"/>
              <w:jc w:val="center"/>
              <w:rPr>
                <w:rFonts w:ascii="Times New Roman" w:hAnsi="Times New Roman" w:cs="Times New Roman"/>
                <w:b/>
                <w:color w:val="FFFFFF" w:themeColor="background1"/>
                <w:sz w:val="16"/>
                <w:szCs w:val="16"/>
              </w:rPr>
            </w:pPr>
            <w:r w:rsidRPr="00DD0281">
              <w:rPr>
                <w:rFonts w:ascii="Times New Roman" w:hAnsi="Times New Roman" w:cs="Times New Roman"/>
                <w:b/>
                <w:color w:val="FFFFFF" w:themeColor="background1"/>
                <w:sz w:val="16"/>
                <w:szCs w:val="16"/>
              </w:rPr>
              <w:t>Source </w:t>
            </w:r>
            <w:proofErr w:type="gramStart"/>
            <w:r w:rsidRPr="00DD0281">
              <w:rPr>
                <w:rFonts w:ascii="Times New Roman" w:hAnsi="Times New Roman" w:cs="Times New Roman"/>
                <w:b/>
                <w:color w:val="FFFFFF" w:themeColor="background1"/>
                <w:sz w:val="16"/>
                <w:szCs w:val="16"/>
              </w:rPr>
              <w:t xml:space="preserve">: </w:t>
            </w:r>
            <w:r w:rsidRPr="00DD0281">
              <w:rPr>
                <w:sz w:val="16"/>
                <w:szCs w:val="16"/>
              </w:rPr>
              <w:t xml:space="preserve"> </w:t>
            </w:r>
            <w:r w:rsidRPr="00DD0281">
              <w:rPr>
                <w:rFonts w:ascii="Times New Roman" w:hAnsi="Times New Roman" w:cs="Times New Roman"/>
                <w:b/>
                <w:color w:val="FFFFFF" w:themeColor="background1"/>
                <w:sz w:val="16"/>
                <w:szCs w:val="16"/>
              </w:rPr>
              <w:t>https</w:t>
            </w:r>
            <w:proofErr w:type="gramEnd"/>
            <w:r w:rsidRPr="00DD0281">
              <w:rPr>
                <w:rFonts w:ascii="Times New Roman" w:hAnsi="Times New Roman" w:cs="Times New Roman"/>
                <w:b/>
                <w:color w:val="FFFFFF" w:themeColor="background1"/>
                <w:sz w:val="16"/>
                <w:szCs w:val="16"/>
              </w:rPr>
              <w:t>://oraprdnt.uqtr.uquebec.ca/pls/public/gscw031?owa_no_site=4009&amp;owa_no_fiche=15</w:t>
            </w:r>
          </w:p>
        </w:tc>
      </w:tr>
      <w:tr w:rsidR="0047516C" w:rsidTr="0047516C">
        <w:trPr>
          <w:trHeight w:val="400"/>
        </w:trPr>
        <w:tc>
          <w:tcPr>
            <w:tcW w:w="1526" w:type="dxa"/>
            <w:shd w:val="clear" w:color="auto" w:fill="00703C"/>
          </w:tcPr>
          <w:p w:rsidR="0047516C" w:rsidRPr="00887FE1" w:rsidRDefault="0047516C" w:rsidP="0047516C">
            <w:pPr>
              <w:pStyle w:val="Paragraphedeliste"/>
              <w:spacing w:line="360" w:lineRule="auto"/>
              <w:ind w:left="0"/>
              <w:jc w:val="center"/>
              <w:rPr>
                <w:rFonts w:ascii="Times New Roman" w:hAnsi="Times New Roman" w:cs="Times New Roman"/>
                <w:b/>
                <w:color w:val="FFFFFF" w:themeColor="background1"/>
                <w:sz w:val="24"/>
                <w:szCs w:val="24"/>
              </w:rPr>
            </w:pPr>
            <w:r w:rsidRPr="00887FE1">
              <w:rPr>
                <w:rFonts w:ascii="Times New Roman" w:hAnsi="Times New Roman" w:cs="Times New Roman"/>
                <w:b/>
                <w:color w:val="FFFFFF" w:themeColor="background1"/>
                <w:sz w:val="24"/>
                <w:szCs w:val="24"/>
              </w:rPr>
              <w:t>Symboles</w:t>
            </w:r>
          </w:p>
        </w:tc>
        <w:tc>
          <w:tcPr>
            <w:tcW w:w="4252" w:type="dxa"/>
            <w:shd w:val="clear" w:color="auto" w:fill="00703C"/>
          </w:tcPr>
          <w:p w:rsidR="0047516C" w:rsidRPr="00887FE1" w:rsidRDefault="0047516C" w:rsidP="0047516C">
            <w:pPr>
              <w:pStyle w:val="Paragraphedeliste"/>
              <w:spacing w:line="360" w:lineRule="auto"/>
              <w:ind w:left="0"/>
              <w:jc w:val="center"/>
              <w:rPr>
                <w:rFonts w:ascii="Times New Roman" w:hAnsi="Times New Roman" w:cs="Times New Roman"/>
                <w:b/>
                <w:color w:val="FFFFFF" w:themeColor="background1"/>
                <w:sz w:val="24"/>
                <w:szCs w:val="24"/>
              </w:rPr>
            </w:pPr>
            <w:r w:rsidRPr="00887FE1">
              <w:rPr>
                <w:rFonts w:ascii="Times New Roman" w:hAnsi="Times New Roman" w:cs="Times New Roman"/>
                <w:b/>
                <w:color w:val="FFFFFF" w:themeColor="background1"/>
                <w:sz w:val="24"/>
                <w:szCs w:val="24"/>
              </w:rPr>
              <w:t>Signification</w:t>
            </w:r>
          </w:p>
        </w:tc>
      </w:tr>
      <w:tr w:rsidR="0047516C" w:rsidTr="0047516C">
        <w:trPr>
          <w:trHeight w:val="1013"/>
        </w:trPr>
        <w:tc>
          <w:tcPr>
            <w:tcW w:w="1526" w:type="dxa"/>
            <w:shd w:val="clear" w:color="auto" w:fill="C4960C"/>
          </w:tcPr>
          <w:p w:rsidR="0047516C" w:rsidRPr="00887FE1" w:rsidRDefault="0047516C" w:rsidP="0047516C">
            <w:pPr>
              <w:pStyle w:val="Paragraphedeliste"/>
              <w:spacing w:line="360" w:lineRule="auto"/>
              <w:ind w:left="0"/>
              <w:jc w:val="center"/>
              <w:rPr>
                <w:rFonts w:ascii="Times New Roman" w:hAnsi="Times New Roman" w:cs="Times New Roman"/>
                <w:b/>
                <w:sz w:val="24"/>
                <w:szCs w:val="24"/>
              </w:rPr>
            </w:pPr>
            <w:r w:rsidRPr="00887FE1">
              <w:rPr>
                <w:rFonts w:ascii="Times New Roman" w:hAnsi="Times New Roman" w:cs="Times New Roman"/>
                <w:b/>
                <w:sz w:val="24"/>
                <w:szCs w:val="24"/>
              </w:rPr>
              <w:t>Cimier</w:t>
            </w:r>
          </w:p>
        </w:tc>
        <w:tc>
          <w:tcPr>
            <w:tcW w:w="4252" w:type="dxa"/>
          </w:tcPr>
          <w:p w:rsidR="0047516C" w:rsidRDefault="0047516C" w:rsidP="0047516C">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Casque médiéval, observatoire du pavillon Pierre-Boucher, fleurs de lys (drapeau du Québec), iris (emblème floral du Québec).</w:t>
            </w:r>
          </w:p>
        </w:tc>
      </w:tr>
      <w:tr w:rsidR="0047516C" w:rsidTr="0047516C">
        <w:trPr>
          <w:trHeight w:val="1013"/>
        </w:trPr>
        <w:tc>
          <w:tcPr>
            <w:tcW w:w="1526" w:type="dxa"/>
            <w:shd w:val="clear" w:color="auto" w:fill="C4960C"/>
          </w:tcPr>
          <w:p w:rsidR="0047516C" w:rsidRPr="00887FE1" w:rsidRDefault="0047516C" w:rsidP="0047516C">
            <w:pPr>
              <w:pStyle w:val="Paragraphedeliste"/>
              <w:spacing w:line="360" w:lineRule="auto"/>
              <w:ind w:left="0"/>
              <w:jc w:val="center"/>
              <w:rPr>
                <w:rFonts w:ascii="Times New Roman" w:hAnsi="Times New Roman" w:cs="Times New Roman"/>
                <w:b/>
                <w:sz w:val="24"/>
                <w:szCs w:val="24"/>
              </w:rPr>
            </w:pPr>
            <w:r w:rsidRPr="00887FE1">
              <w:rPr>
                <w:rFonts w:ascii="Times New Roman" w:hAnsi="Times New Roman" w:cs="Times New Roman"/>
                <w:b/>
                <w:sz w:val="24"/>
                <w:szCs w:val="24"/>
              </w:rPr>
              <w:t>Tenants</w:t>
            </w:r>
          </w:p>
        </w:tc>
        <w:tc>
          <w:tcPr>
            <w:tcW w:w="4252" w:type="dxa"/>
          </w:tcPr>
          <w:p w:rsidR="0047516C" w:rsidRDefault="0047516C" w:rsidP="0047516C">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Rébellion des Patriotes (nom des équipes sportives de l’UQTR), étudiants mixte de l’UQTR.</w:t>
            </w:r>
          </w:p>
        </w:tc>
      </w:tr>
      <w:tr w:rsidR="0047516C" w:rsidTr="0047516C">
        <w:trPr>
          <w:trHeight w:val="1984"/>
        </w:trPr>
        <w:tc>
          <w:tcPr>
            <w:tcW w:w="1526" w:type="dxa"/>
            <w:shd w:val="clear" w:color="auto" w:fill="C4960C"/>
          </w:tcPr>
          <w:p w:rsidR="0047516C" w:rsidRPr="00887FE1" w:rsidRDefault="0047516C" w:rsidP="0047516C">
            <w:pPr>
              <w:pStyle w:val="Paragraphedeliste"/>
              <w:spacing w:line="360" w:lineRule="auto"/>
              <w:ind w:left="0"/>
              <w:jc w:val="center"/>
              <w:rPr>
                <w:rFonts w:ascii="Times New Roman" w:hAnsi="Times New Roman" w:cs="Times New Roman"/>
                <w:b/>
                <w:sz w:val="24"/>
                <w:szCs w:val="24"/>
              </w:rPr>
            </w:pPr>
            <w:r w:rsidRPr="00887FE1">
              <w:rPr>
                <w:rFonts w:ascii="Times New Roman" w:hAnsi="Times New Roman" w:cs="Times New Roman"/>
                <w:b/>
                <w:sz w:val="24"/>
                <w:szCs w:val="24"/>
              </w:rPr>
              <w:t>Écu</w:t>
            </w:r>
          </w:p>
        </w:tc>
        <w:tc>
          <w:tcPr>
            <w:tcW w:w="4252" w:type="dxa"/>
          </w:tcPr>
          <w:p w:rsidR="0047516C" w:rsidRDefault="0047516C" w:rsidP="0047516C">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Bouclier avec 3 bandes signifiant les 3 cycles d’études et les 3 rivières. Bande verticale représente le partenariat entre l’UQTR, la Mauricie et le Centre-du-Québec. Les 3 mortiers évoquent les 3 cycles d’études et les 3 missions de l’UQTR : enseignement, recherche et services à collectivité.</w:t>
            </w:r>
          </w:p>
        </w:tc>
      </w:tr>
      <w:tr w:rsidR="0047516C" w:rsidTr="0047516C">
        <w:trPr>
          <w:trHeight w:val="1013"/>
        </w:trPr>
        <w:tc>
          <w:tcPr>
            <w:tcW w:w="1526" w:type="dxa"/>
            <w:shd w:val="clear" w:color="auto" w:fill="C4960C"/>
          </w:tcPr>
          <w:p w:rsidR="0047516C" w:rsidRPr="00887FE1" w:rsidRDefault="0047516C" w:rsidP="0047516C">
            <w:pPr>
              <w:pStyle w:val="Paragraphedeliste"/>
              <w:spacing w:line="360" w:lineRule="auto"/>
              <w:ind w:left="0"/>
              <w:jc w:val="center"/>
              <w:rPr>
                <w:rFonts w:ascii="Times New Roman" w:hAnsi="Times New Roman" w:cs="Times New Roman"/>
                <w:b/>
                <w:sz w:val="24"/>
                <w:szCs w:val="24"/>
              </w:rPr>
            </w:pPr>
            <w:r w:rsidRPr="00887FE1">
              <w:rPr>
                <w:rFonts w:ascii="Times New Roman" w:hAnsi="Times New Roman" w:cs="Times New Roman"/>
                <w:b/>
                <w:sz w:val="24"/>
                <w:szCs w:val="24"/>
              </w:rPr>
              <w:t>Terrasse</w:t>
            </w:r>
          </w:p>
        </w:tc>
        <w:tc>
          <w:tcPr>
            <w:tcW w:w="4252" w:type="dxa"/>
          </w:tcPr>
          <w:p w:rsidR="0047516C" w:rsidRDefault="0047516C" w:rsidP="0047516C">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 xml:space="preserve">Représente les </w:t>
            </w:r>
            <w:proofErr w:type="spellStart"/>
            <w:r>
              <w:rPr>
                <w:rFonts w:ascii="Times New Roman" w:hAnsi="Times New Roman" w:cs="Times New Roman"/>
                <w:sz w:val="24"/>
                <w:szCs w:val="24"/>
              </w:rPr>
              <w:t>côteaux</w:t>
            </w:r>
            <w:proofErr w:type="spellEnd"/>
            <w:r>
              <w:rPr>
                <w:rFonts w:ascii="Times New Roman" w:hAnsi="Times New Roman" w:cs="Times New Roman"/>
                <w:sz w:val="24"/>
                <w:szCs w:val="24"/>
              </w:rPr>
              <w:t xml:space="preserve"> de Trois-Rivières avec emblème floral de la ville (asters à feuilles de linaire)</w:t>
            </w:r>
          </w:p>
        </w:tc>
      </w:tr>
      <w:tr w:rsidR="0047516C" w:rsidTr="0047516C">
        <w:trPr>
          <w:trHeight w:val="675"/>
        </w:trPr>
        <w:tc>
          <w:tcPr>
            <w:tcW w:w="1526" w:type="dxa"/>
            <w:shd w:val="clear" w:color="auto" w:fill="C4960C"/>
          </w:tcPr>
          <w:p w:rsidR="0047516C" w:rsidRPr="00887FE1" w:rsidRDefault="0047516C" w:rsidP="0047516C">
            <w:pPr>
              <w:pStyle w:val="Paragraphedeliste"/>
              <w:spacing w:line="360" w:lineRule="auto"/>
              <w:ind w:left="0"/>
              <w:jc w:val="center"/>
              <w:rPr>
                <w:rFonts w:ascii="Times New Roman" w:hAnsi="Times New Roman" w:cs="Times New Roman"/>
                <w:b/>
                <w:sz w:val="24"/>
                <w:szCs w:val="24"/>
              </w:rPr>
            </w:pPr>
            <w:r w:rsidRPr="00887FE1">
              <w:rPr>
                <w:rFonts w:ascii="Times New Roman" w:hAnsi="Times New Roman" w:cs="Times New Roman"/>
                <w:b/>
                <w:sz w:val="24"/>
                <w:szCs w:val="24"/>
              </w:rPr>
              <w:t>Listel</w:t>
            </w:r>
          </w:p>
        </w:tc>
        <w:tc>
          <w:tcPr>
            <w:tcW w:w="4252" w:type="dxa"/>
          </w:tcPr>
          <w:p w:rsidR="0047516C" w:rsidRDefault="0047516C" w:rsidP="0047516C">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Banderole indiquant la devise de l’université.</w:t>
            </w:r>
          </w:p>
        </w:tc>
      </w:tr>
    </w:tbl>
    <w:p w:rsidR="008E52F2" w:rsidRDefault="008E52F2" w:rsidP="00442D5C">
      <w:pPr>
        <w:pStyle w:val="Paragraphedeliste"/>
        <w:spacing w:line="360" w:lineRule="auto"/>
        <w:jc w:val="both"/>
        <w:rPr>
          <w:rFonts w:ascii="Times New Roman" w:hAnsi="Times New Roman" w:cs="Times New Roman"/>
          <w:sz w:val="24"/>
          <w:szCs w:val="24"/>
        </w:rPr>
      </w:pPr>
    </w:p>
    <w:p w:rsidR="00887FE1" w:rsidRDefault="00887FE1" w:rsidP="00442D5C">
      <w:pPr>
        <w:pStyle w:val="Paragraphedeliste"/>
        <w:spacing w:line="360" w:lineRule="auto"/>
        <w:jc w:val="both"/>
        <w:rPr>
          <w:rFonts w:ascii="Times New Roman" w:hAnsi="Times New Roman" w:cs="Times New Roman"/>
          <w:sz w:val="24"/>
          <w:szCs w:val="24"/>
        </w:rPr>
      </w:pPr>
    </w:p>
    <w:p w:rsidR="00442D5C" w:rsidRDefault="008436FC" w:rsidP="00442D5C">
      <w:pPr>
        <w:pStyle w:val="Paragraphedeliste"/>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fr-CA"/>
        </w:rPr>
        <w:drawing>
          <wp:anchor distT="0" distB="0" distL="114300" distR="114300" simplePos="0" relativeHeight="251659776" behindDoc="1" locked="0" layoutInCell="1" allowOverlap="1">
            <wp:simplePos x="0" y="0"/>
            <wp:positionH relativeFrom="column">
              <wp:posOffset>-885825</wp:posOffset>
            </wp:positionH>
            <wp:positionV relativeFrom="paragraph">
              <wp:posOffset>127635</wp:posOffset>
            </wp:positionV>
            <wp:extent cx="3895725" cy="4133850"/>
            <wp:effectExtent l="0" t="0" r="0" b="0"/>
            <wp:wrapNone/>
            <wp:docPr id="58" name="Image 10" descr="C:\Users\Célia\Documents\Administration des affaires\Hiver 2015\Gestion stratégique des entreprises\armoiries_uqtr_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élia\Documents\Administration des affaires\Hiver 2015\Gestion stratégique des entreprises\armoiries_uqtr_mb.png"/>
                    <pic:cNvPicPr>
                      <a:picLocks noChangeAspect="1" noChangeArrowheads="1"/>
                    </pic:cNvPicPr>
                  </pic:nvPicPr>
                  <pic:blipFill>
                    <a:blip r:embed="rId41" cstate="print"/>
                    <a:srcRect/>
                    <a:stretch>
                      <a:fillRect/>
                    </a:stretch>
                  </pic:blipFill>
                  <pic:spPr bwMode="auto">
                    <a:xfrm>
                      <a:off x="0" y="0"/>
                      <a:ext cx="3895725" cy="4133850"/>
                    </a:xfrm>
                    <a:prstGeom prst="rect">
                      <a:avLst/>
                    </a:prstGeom>
                    <a:noFill/>
                    <a:ln w="9525">
                      <a:noFill/>
                      <a:miter lim="800000"/>
                      <a:headEnd/>
                      <a:tailEnd/>
                    </a:ln>
                  </pic:spPr>
                </pic:pic>
              </a:graphicData>
            </a:graphic>
          </wp:anchor>
        </w:drawing>
      </w:r>
      <w:r w:rsidR="001434B6">
        <w:rPr>
          <w:rFonts w:ascii="Times New Roman" w:hAnsi="Times New Roman" w:cs="Times New Roman"/>
          <w:sz w:val="24"/>
          <w:szCs w:val="24"/>
        </w:rPr>
        <w:br w:type="textWrapping" w:clear="all"/>
      </w:r>
    </w:p>
    <w:p w:rsidR="00442D5C" w:rsidRDefault="00442D5C" w:rsidP="00DA619A">
      <w:pPr>
        <w:pStyle w:val="Paragraphedeliste"/>
        <w:rPr>
          <w:rFonts w:ascii="Times New Roman" w:hAnsi="Times New Roman" w:cs="Times New Roman"/>
          <w:sz w:val="24"/>
          <w:szCs w:val="24"/>
        </w:rPr>
      </w:pPr>
    </w:p>
    <w:p w:rsidR="001434B6" w:rsidRDefault="001434B6" w:rsidP="00DA619A">
      <w:pPr>
        <w:pStyle w:val="Paragraphedeliste"/>
        <w:rPr>
          <w:rFonts w:ascii="Times New Roman" w:hAnsi="Times New Roman" w:cs="Times New Roman"/>
          <w:sz w:val="24"/>
          <w:szCs w:val="24"/>
        </w:rPr>
      </w:pPr>
      <w:r w:rsidRPr="001434B6">
        <w:rPr>
          <w:rFonts w:ascii="Times New Roman" w:hAnsi="Times New Roman" w:cs="Times New Roman"/>
          <w:noProof/>
          <w:sz w:val="24"/>
          <w:szCs w:val="24"/>
          <w:lang w:eastAsia="fr-CA"/>
        </w:rPr>
        <w:drawing>
          <wp:anchor distT="0" distB="0" distL="114300" distR="114300" simplePos="0" relativeHeight="251661824" behindDoc="0" locked="0" layoutInCell="1" allowOverlap="1">
            <wp:simplePos x="0" y="0"/>
            <wp:positionH relativeFrom="column">
              <wp:posOffset>484133</wp:posOffset>
            </wp:positionH>
            <wp:positionV relativeFrom="paragraph">
              <wp:posOffset>1248</wp:posOffset>
            </wp:positionV>
            <wp:extent cx="1573267" cy="1213945"/>
            <wp:effectExtent l="19050" t="0" r="7883" b="0"/>
            <wp:wrapThrough wrapText="bothSides">
              <wp:wrapPolygon edited="0">
                <wp:start x="-262" y="0"/>
                <wp:lineTo x="-262" y="21355"/>
                <wp:lineTo x="21708" y="21355"/>
                <wp:lineTo x="21708" y="0"/>
                <wp:lineTo x="-262" y="0"/>
              </wp:wrapPolygon>
            </wp:wrapThrough>
            <wp:docPr id="61" name="Image 11" descr="C:\Users\Célia\Documents\Administration des affaires\Hiver 2015\Gestion stratégique des entreprises\8295_uqtr_patriotes-primary-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élia\Documents\Administration des affaires\Hiver 2015\Gestion stratégique des entreprises\8295_uqtr_patriotes-primary-0.png"/>
                    <pic:cNvPicPr>
                      <a:picLocks noChangeAspect="1" noChangeArrowheads="1"/>
                    </pic:cNvPicPr>
                  </pic:nvPicPr>
                  <pic:blipFill>
                    <a:blip r:embed="rId42" cstate="print"/>
                    <a:srcRect/>
                    <a:stretch>
                      <a:fillRect/>
                    </a:stretch>
                  </pic:blipFill>
                  <pic:spPr bwMode="auto">
                    <a:xfrm>
                      <a:off x="0" y="0"/>
                      <a:ext cx="1573267" cy="1213945"/>
                    </a:xfrm>
                    <a:prstGeom prst="rect">
                      <a:avLst/>
                    </a:prstGeom>
                    <a:noFill/>
                    <a:ln w="9525">
                      <a:noFill/>
                      <a:miter lim="800000"/>
                      <a:headEnd/>
                      <a:tailEnd/>
                    </a:ln>
                  </pic:spPr>
                </pic:pic>
              </a:graphicData>
            </a:graphic>
          </wp:anchor>
        </w:drawing>
      </w:r>
      <w:r>
        <w:rPr>
          <w:rFonts w:ascii="Times New Roman" w:hAnsi="Times New Roman" w:cs="Times New Roman"/>
          <w:sz w:val="24"/>
          <w:szCs w:val="24"/>
        </w:rPr>
        <w:tab/>
      </w:r>
      <w:r>
        <w:rPr>
          <w:rFonts w:ascii="Times New Roman" w:hAnsi="Times New Roman" w:cs="Times New Roman"/>
          <w:sz w:val="24"/>
          <w:szCs w:val="24"/>
        </w:rPr>
        <w:tab/>
      </w:r>
    </w:p>
    <w:p w:rsidR="001434B6" w:rsidRDefault="001434B6" w:rsidP="00DA619A">
      <w:pPr>
        <w:pStyle w:val="Paragraphedeliste"/>
        <w:rPr>
          <w:rFonts w:ascii="Times New Roman" w:hAnsi="Times New Roman" w:cs="Times New Roman"/>
          <w:sz w:val="24"/>
          <w:szCs w:val="24"/>
        </w:rPr>
      </w:pPr>
    </w:p>
    <w:p w:rsidR="001434B6" w:rsidRDefault="001434B6" w:rsidP="00DA619A">
      <w:pPr>
        <w:pStyle w:val="Paragraphedeliste"/>
        <w:rPr>
          <w:rFonts w:ascii="Times New Roman" w:hAnsi="Times New Roman" w:cs="Times New Roman"/>
          <w:sz w:val="24"/>
          <w:szCs w:val="24"/>
        </w:rPr>
      </w:pPr>
    </w:p>
    <w:p w:rsidR="001434B6" w:rsidRDefault="001434B6" w:rsidP="001434B6">
      <w:pPr>
        <w:pStyle w:val="Paragraphedeliste"/>
        <w:ind w:firstLine="696"/>
        <w:rPr>
          <w:rFonts w:ascii="Times New Roman" w:hAnsi="Times New Roman" w:cs="Times New Roman"/>
          <w:sz w:val="24"/>
          <w:szCs w:val="24"/>
        </w:rPr>
      </w:pPr>
    </w:p>
    <w:p w:rsidR="00442D5C" w:rsidRPr="001434B6" w:rsidRDefault="001434B6" w:rsidP="001434B6">
      <w:pPr>
        <w:pStyle w:val="Paragraphedeliste"/>
        <w:ind w:firstLine="696"/>
        <w:rPr>
          <w:rFonts w:ascii="Times New Roman" w:hAnsi="Times New Roman" w:cs="Times New Roman"/>
          <w:sz w:val="24"/>
          <w:szCs w:val="24"/>
        </w:rPr>
      </w:pPr>
      <w:r w:rsidRPr="001434B6">
        <w:rPr>
          <w:rFonts w:ascii="Times New Roman" w:hAnsi="Times New Roman" w:cs="Times New Roman"/>
          <w:b/>
          <w:sz w:val="24"/>
          <w:szCs w:val="24"/>
          <w:u w:val="single"/>
        </w:rPr>
        <w:t>Logo des Patriotes de l’UQTR</w:t>
      </w:r>
    </w:p>
    <w:p w:rsidR="001434B6" w:rsidRDefault="001434B6" w:rsidP="00DA619A">
      <w:pPr>
        <w:pStyle w:val="Paragraphedeliste"/>
        <w:spacing w:line="360" w:lineRule="auto"/>
        <w:jc w:val="both"/>
        <w:rPr>
          <w:rFonts w:ascii="Times New Roman" w:hAnsi="Times New Roman" w:cs="Times New Roman"/>
          <w:sz w:val="24"/>
          <w:szCs w:val="24"/>
          <w:u w:val="single"/>
        </w:rPr>
      </w:pPr>
    </w:p>
    <w:p w:rsidR="001434B6" w:rsidRDefault="001434B6" w:rsidP="00DA619A">
      <w:pPr>
        <w:pStyle w:val="Paragraphedeliste"/>
        <w:spacing w:line="360" w:lineRule="auto"/>
        <w:jc w:val="both"/>
        <w:rPr>
          <w:rFonts w:ascii="Times New Roman" w:hAnsi="Times New Roman" w:cs="Times New Roman"/>
          <w:sz w:val="24"/>
          <w:szCs w:val="24"/>
          <w:u w:val="single"/>
        </w:rPr>
      </w:pPr>
    </w:p>
    <w:p w:rsidR="001434B6" w:rsidRDefault="001434B6" w:rsidP="00DA619A">
      <w:pPr>
        <w:pStyle w:val="Paragraphedeliste"/>
        <w:spacing w:line="360" w:lineRule="auto"/>
        <w:jc w:val="both"/>
        <w:rPr>
          <w:rFonts w:ascii="Times New Roman" w:hAnsi="Times New Roman" w:cs="Times New Roman"/>
          <w:sz w:val="24"/>
          <w:szCs w:val="24"/>
          <w:u w:val="single"/>
        </w:rPr>
      </w:pPr>
    </w:p>
    <w:p w:rsidR="001434B6" w:rsidRDefault="001434B6" w:rsidP="00DA619A">
      <w:pPr>
        <w:pStyle w:val="Paragraphedeliste"/>
        <w:spacing w:line="360" w:lineRule="auto"/>
        <w:jc w:val="both"/>
        <w:rPr>
          <w:rFonts w:ascii="Times New Roman" w:hAnsi="Times New Roman" w:cs="Times New Roman"/>
          <w:sz w:val="24"/>
          <w:szCs w:val="24"/>
          <w:u w:val="single"/>
        </w:rPr>
      </w:pPr>
    </w:p>
    <w:p w:rsidR="00DA619A" w:rsidRPr="00811CED" w:rsidRDefault="00DA619A" w:rsidP="00DA619A">
      <w:pPr>
        <w:pStyle w:val="Paragraphedeliste"/>
        <w:spacing w:line="360" w:lineRule="auto"/>
        <w:jc w:val="both"/>
        <w:rPr>
          <w:rFonts w:ascii="Times New Roman" w:hAnsi="Times New Roman" w:cs="Times New Roman"/>
          <w:sz w:val="24"/>
          <w:szCs w:val="24"/>
        </w:rPr>
      </w:pPr>
      <w:r w:rsidRPr="00163610">
        <w:rPr>
          <w:rFonts w:ascii="Times New Roman" w:hAnsi="Times New Roman" w:cs="Times New Roman"/>
          <w:sz w:val="24"/>
          <w:szCs w:val="24"/>
          <w:u w:val="single"/>
        </w:rPr>
        <w:t>Structures de pouvoir :</w:t>
      </w:r>
      <w:r w:rsidRPr="00C472D6">
        <w:rPr>
          <w:rFonts w:ascii="Times New Roman" w:hAnsi="Times New Roman" w:cs="Times New Roman"/>
          <w:sz w:val="24"/>
          <w:szCs w:val="24"/>
        </w:rPr>
        <w:t xml:space="preserve"> </w:t>
      </w:r>
      <w:r w:rsidRPr="00811CED">
        <w:rPr>
          <w:rFonts w:ascii="Times New Roman" w:hAnsi="Times New Roman" w:cs="Times New Roman"/>
          <w:sz w:val="24"/>
          <w:szCs w:val="24"/>
        </w:rPr>
        <w:t>À l’</w:t>
      </w:r>
      <w:r>
        <w:rPr>
          <w:rFonts w:ascii="Times New Roman" w:hAnsi="Times New Roman" w:cs="Times New Roman"/>
          <w:sz w:val="24"/>
          <w:szCs w:val="24"/>
        </w:rPr>
        <w:t>UQTR, il s’agit du rectorat et du</w:t>
      </w:r>
      <w:r w:rsidRPr="00811CED">
        <w:rPr>
          <w:rFonts w:ascii="Times New Roman" w:hAnsi="Times New Roman" w:cs="Times New Roman"/>
          <w:sz w:val="24"/>
          <w:szCs w:val="24"/>
        </w:rPr>
        <w:t xml:space="preserve"> Comité d’administration qui </w:t>
      </w:r>
      <w:proofErr w:type="gramStart"/>
      <w:r>
        <w:rPr>
          <w:rFonts w:ascii="Times New Roman" w:hAnsi="Times New Roman" w:cs="Times New Roman"/>
          <w:sz w:val="24"/>
          <w:szCs w:val="24"/>
        </w:rPr>
        <w:t>ont</w:t>
      </w:r>
      <w:proofErr w:type="gramEnd"/>
      <w:r w:rsidRPr="00811CED">
        <w:rPr>
          <w:rFonts w:ascii="Times New Roman" w:hAnsi="Times New Roman" w:cs="Times New Roman"/>
          <w:sz w:val="24"/>
          <w:szCs w:val="24"/>
        </w:rPr>
        <w:t xml:space="preserve"> pour mandat d’</w:t>
      </w:r>
      <w:r>
        <w:rPr>
          <w:rFonts w:ascii="Times New Roman" w:hAnsi="Times New Roman" w:cs="Times New Roman"/>
          <w:sz w:val="24"/>
          <w:szCs w:val="24"/>
        </w:rPr>
        <w:t>exécuter</w:t>
      </w:r>
      <w:r w:rsidRPr="00811CED">
        <w:rPr>
          <w:rFonts w:ascii="Times New Roman" w:hAnsi="Times New Roman" w:cs="Times New Roman"/>
          <w:sz w:val="24"/>
          <w:szCs w:val="24"/>
        </w:rPr>
        <w:t xml:space="preserve"> les </w:t>
      </w:r>
      <w:r w:rsidRPr="009621BB">
        <w:rPr>
          <w:rFonts w:ascii="Times New Roman" w:hAnsi="Times New Roman" w:cs="Times New Roman"/>
          <w:sz w:val="24"/>
          <w:szCs w:val="24"/>
        </w:rPr>
        <w:t xml:space="preserve">pouvoirs et les droits de l’université. Certes, le recteur est à la tête de </w:t>
      </w:r>
      <w:r w:rsidRPr="009621BB">
        <w:rPr>
          <w:rFonts w:ascii="Times New Roman" w:hAnsi="Times New Roman" w:cs="Times New Roman"/>
          <w:color w:val="000000" w:themeColor="text1"/>
          <w:sz w:val="24"/>
          <w:szCs w:val="24"/>
        </w:rPr>
        <w:t xml:space="preserve">l’institution, mais les décisions doivent être présentées au C.A. qui est </w:t>
      </w:r>
      <w:r w:rsidR="003520A0">
        <w:rPr>
          <w:rFonts w:ascii="Times New Roman" w:hAnsi="Times New Roman" w:cs="Times New Roman"/>
          <w:color w:val="000000" w:themeColor="text1"/>
          <w:sz w:val="24"/>
          <w:szCs w:val="24"/>
        </w:rPr>
        <w:t>formé</w:t>
      </w:r>
      <w:r w:rsidRPr="009621BB">
        <w:rPr>
          <w:rFonts w:ascii="Times New Roman" w:hAnsi="Times New Roman" w:cs="Times New Roman"/>
          <w:color w:val="000000" w:themeColor="text1"/>
          <w:sz w:val="24"/>
          <w:szCs w:val="24"/>
        </w:rPr>
        <w:t xml:space="preserve"> de professeurs, d’étudiants, de </w:t>
      </w:r>
      <w:r w:rsidR="003520A0">
        <w:rPr>
          <w:rFonts w:ascii="Times New Roman" w:hAnsi="Times New Roman" w:cs="Times New Roman"/>
          <w:color w:val="000000" w:themeColor="text1"/>
          <w:sz w:val="24"/>
          <w:szCs w:val="24"/>
        </w:rPr>
        <w:t>chargés</w:t>
      </w:r>
      <w:r w:rsidRPr="009621BB">
        <w:rPr>
          <w:rFonts w:ascii="Times New Roman" w:hAnsi="Times New Roman" w:cs="Times New Roman"/>
          <w:color w:val="000000" w:themeColor="text1"/>
          <w:sz w:val="24"/>
          <w:szCs w:val="24"/>
        </w:rPr>
        <w:t xml:space="preserve"> de cours, de diplômés, de membres de la direction ainsi que de représentants socio-économiques</w:t>
      </w:r>
      <w:r>
        <w:rPr>
          <w:rFonts w:ascii="Times New Roman" w:hAnsi="Times New Roman" w:cs="Times New Roman"/>
          <w:color w:val="000000" w:themeColor="text1"/>
          <w:sz w:val="24"/>
          <w:szCs w:val="24"/>
        </w:rPr>
        <w:t>. Le Gouvernement provincial détient un certain pouvoir quant à la nomination du recteur ou de la rectrice</w:t>
      </w:r>
      <w:r>
        <w:rPr>
          <w:rFonts w:ascii="Times New Roman" w:hAnsi="Times New Roman" w:cs="Times New Roman"/>
          <w:sz w:val="24"/>
          <w:szCs w:val="24"/>
        </w:rPr>
        <w:t>, puisque ce dernier est choisi à l’Assemblée des Gouverneurs du Québec.</w:t>
      </w:r>
    </w:p>
    <w:p w:rsidR="00DA619A" w:rsidRPr="00811CED" w:rsidRDefault="00DA619A" w:rsidP="00DA619A">
      <w:pPr>
        <w:pStyle w:val="Paragraphedeliste"/>
        <w:spacing w:line="360" w:lineRule="auto"/>
        <w:rPr>
          <w:rFonts w:ascii="Times New Roman" w:hAnsi="Times New Roman" w:cs="Times New Roman"/>
          <w:sz w:val="24"/>
          <w:szCs w:val="24"/>
          <w:u w:val="single"/>
        </w:rPr>
      </w:pPr>
    </w:p>
    <w:p w:rsidR="00DA619A" w:rsidRDefault="00DA619A" w:rsidP="00DA619A">
      <w:pPr>
        <w:pStyle w:val="Paragraphedeliste"/>
        <w:spacing w:line="360" w:lineRule="auto"/>
        <w:jc w:val="both"/>
        <w:rPr>
          <w:rFonts w:ascii="Times New Roman" w:hAnsi="Times New Roman" w:cs="Times New Roman"/>
          <w:sz w:val="24"/>
        </w:rPr>
      </w:pPr>
      <w:r w:rsidRPr="001756D5">
        <w:rPr>
          <w:rFonts w:ascii="Times New Roman" w:hAnsi="Times New Roman" w:cs="Times New Roman"/>
          <w:sz w:val="24"/>
          <w:u w:val="single"/>
        </w:rPr>
        <w:t>Structure organisationnelle :</w:t>
      </w:r>
      <w:r w:rsidRPr="001756D5">
        <w:rPr>
          <w:rFonts w:ascii="Times New Roman" w:hAnsi="Times New Roman" w:cs="Times New Roman"/>
          <w:b/>
          <w:sz w:val="24"/>
        </w:rPr>
        <w:t xml:space="preserve"> </w:t>
      </w:r>
      <w:r w:rsidRPr="001756D5">
        <w:rPr>
          <w:rFonts w:ascii="Times New Roman" w:hAnsi="Times New Roman" w:cs="Times New Roman"/>
          <w:sz w:val="24"/>
        </w:rPr>
        <w:t>Le pouvoir à l’UQTR est plutôt décentralisé. En effet, les h</w:t>
      </w:r>
      <w:r>
        <w:rPr>
          <w:rFonts w:ascii="Times New Roman" w:hAnsi="Times New Roman" w:cs="Times New Roman"/>
          <w:sz w:val="24"/>
        </w:rPr>
        <w:t xml:space="preserve">auts cadres </w:t>
      </w:r>
      <w:r w:rsidR="003520A0">
        <w:rPr>
          <w:rFonts w:ascii="Times New Roman" w:hAnsi="Times New Roman" w:cs="Times New Roman"/>
          <w:sz w:val="24"/>
        </w:rPr>
        <w:t>tels</w:t>
      </w:r>
      <w:r>
        <w:rPr>
          <w:rFonts w:ascii="Times New Roman" w:hAnsi="Times New Roman" w:cs="Times New Roman"/>
          <w:sz w:val="24"/>
        </w:rPr>
        <w:t xml:space="preserve"> que le recteur et </w:t>
      </w:r>
      <w:r w:rsidRPr="001756D5">
        <w:rPr>
          <w:rFonts w:ascii="Times New Roman" w:hAnsi="Times New Roman" w:cs="Times New Roman"/>
          <w:sz w:val="24"/>
        </w:rPr>
        <w:t xml:space="preserve">les vice-recteurs citent la ligne directrice à suivre et laisse les comités de chaque département prendre leurs décisions. Chaque département à son budget et le gère par lui-même, tout en rendant des comptes </w:t>
      </w:r>
      <w:r>
        <w:rPr>
          <w:rFonts w:ascii="Times New Roman" w:hAnsi="Times New Roman" w:cs="Times New Roman"/>
          <w:sz w:val="24"/>
        </w:rPr>
        <w:t>au Comité d’administration</w:t>
      </w:r>
      <w:r w:rsidRPr="001756D5">
        <w:rPr>
          <w:rFonts w:ascii="Times New Roman" w:hAnsi="Times New Roman" w:cs="Times New Roman"/>
          <w:sz w:val="24"/>
        </w:rPr>
        <w:t xml:space="preserve">. Bien sûr, les décisions quant à la formation sont </w:t>
      </w:r>
      <w:r w:rsidR="003520A0">
        <w:rPr>
          <w:rFonts w:ascii="Times New Roman" w:hAnsi="Times New Roman" w:cs="Times New Roman"/>
          <w:sz w:val="24"/>
        </w:rPr>
        <w:t>votées</w:t>
      </w:r>
      <w:r w:rsidRPr="001756D5">
        <w:rPr>
          <w:rFonts w:ascii="Times New Roman" w:hAnsi="Times New Roman" w:cs="Times New Roman"/>
          <w:sz w:val="24"/>
        </w:rPr>
        <w:t xml:space="preserve"> dans les comités de programmes et doivent ensuite passer à la sous-commission des études puis à la commission des études jusqu’à être approuvées par le doyen. Donc, bien que le pouvoir soit décentralisé, les hauts cadres ont toujours le dernier mot. Finalement, les professeurs sont maîtres de leurs classes une fois que le plan de cours est approuvé.</w:t>
      </w:r>
    </w:p>
    <w:p w:rsidR="0061502F" w:rsidRDefault="0061502F" w:rsidP="00DA619A">
      <w:pPr>
        <w:pStyle w:val="Paragraphedeliste"/>
        <w:spacing w:line="360" w:lineRule="auto"/>
        <w:jc w:val="both"/>
        <w:rPr>
          <w:rFonts w:ascii="Times New Roman" w:hAnsi="Times New Roman" w:cs="Times New Roman"/>
          <w:sz w:val="24"/>
        </w:rPr>
      </w:pPr>
    </w:p>
    <w:p w:rsidR="00EF6D28" w:rsidRPr="00EF6D28" w:rsidRDefault="0061502F" w:rsidP="00277C37">
      <w:pPr>
        <w:pStyle w:val="Paragraphedeliste"/>
        <w:spacing w:line="360" w:lineRule="auto"/>
        <w:jc w:val="both"/>
        <w:rPr>
          <w:rFonts w:cstheme="minorHAnsi"/>
          <w:sz w:val="24"/>
          <w:szCs w:val="24"/>
        </w:rPr>
      </w:pPr>
      <w:r w:rsidRPr="00277C37">
        <w:rPr>
          <w:rFonts w:ascii="Times New Roman" w:hAnsi="Times New Roman" w:cs="Times New Roman"/>
          <w:sz w:val="24"/>
          <w:u w:val="single"/>
        </w:rPr>
        <w:t>Systèmes de contrôles :</w:t>
      </w:r>
      <w:r>
        <w:rPr>
          <w:rFonts w:ascii="Times New Roman" w:hAnsi="Times New Roman" w:cs="Times New Roman"/>
          <w:sz w:val="24"/>
        </w:rPr>
        <w:t xml:space="preserve"> L’UQTR fixe des règlements de contrôle aux étudiants face à leur comportement tant académique que personnel. En effet, il y a </w:t>
      </w:r>
      <w:r w:rsidR="001B2EF4">
        <w:rPr>
          <w:rFonts w:ascii="Times New Roman" w:hAnsi="Times New Roman" w:cs="Times New Roman"/>
          <w:sz w:val="24"/>
        </w:rPr>
        <w:t>des</w:t>
      </w:r>
      <w:r>
        <w:rPr>
          <w:rFonts w:ascii="Times New Roman" w:hAnsi="Times New Roman" w:cs="Times New Roman"/>
          <w:sz w:val="24"/>
        </w:rPr>
        <w:t xml:space="preserve"> règlement</w:t>
      </w:r>
      <w:r w:rsidR="001B2EF4">
        <w:rPr>
          <w:rFonts w:ascii="Times New Roman" w:hAnsi="Times New Roman" w:cs="Times New Roman"/>
          <w:sz w:val="24"/>
        </w:rPr>
        <w:t>s</w:t>
      </w:r>
      <w:r>
        <w:rPr>
          <w:rFonts w:ascii="Times New Roman" w:hAnsi="Times New Roman" w:cs="Times New Roman"/>
          <w:sz w:val="24"/>
        </w:rPr>
        <w:t xml:space="preserve"> sur le cheminement des étudiants de premier cycle, sur les études de cycles</w:t>
      </w:r>
      <w:r w:rsidR="001B2EF4">
        <w:rPr>
          <w:rFonts w:ascii="Times New Roman" w:hAnsi="Times New Roman" w:cs="Times New Roman"/>
          <w:sz w:val="24"/>
        </w:rPr>
        <w:t xml:space="preserve"> supérieurs, relatifs à la qualité du français dans les programmes d’études ainsi que sur les délits relatifs aux études (sous la responsabilité du Secrétaire général). De plus, des règ</w:t>
      </w:r>
      <w:r w:rsidR="00277C37">
        <w:rPr>
          <w:rFonts w:ascii="Times New Roman" w:hAnsi="Times New Roman" w:cs="Times New Roman"/>
          <w:sz w:val="24"/>
        </w:rPr>
        <w:t>lements s’adressant à la population générale ayant accès aux infrastructures de l’UQTR s’appliquent au niveau de la bibliothèque, des salles publiques ainsi que de la sécurité sur le campus.</w:t>
      </w:r>
      <w:r w:rsidR="008436FC">
        <w:rPr>
          <w:rStyle w:val="Appelnotedebasdep"/>
          <w:rFonts w:ascii="Times New Roman" w:hAnsi="Times New Roman" w:cs="Times New Roman"/>
          <w:sz w:val="24"/>
        </w:rPr>
        <w:footnoteReference w:id="80"/>
      </w:r>
    </w:p>
    <w:p w:rsidR="000D0609" w:rsidRPr="006E124F" w:rsidRDefault="00A9103C" w:rsidP="00AF40DE">
      <w:pPr>
        <w:pStyle w:val="Titre1"/>
        <w:spacing w:before="0"/>
      </w:pPr>
      <w:bookmarkStart w:id="35" w:name="_Toc417486247"/>
      <w:r w:rsidRPr="006E124F">
        <w:lastRenderedPageBreak/>
        <w:t>CHOIX STRATÉGIQUES</w:t>
      </w:r>
      <w:bookmarkEnd w:id="35"/>
    </w:p>
    <w:p w:rsidR="006E124F" w:rsidRDefault="007A7A51" w:rsidP="00AF40DE">
      <w:pPr>
        <w:pStyle w:val="Titre2"/>
        <w:spacing w:before="0"/>
        <w:rPr>
          <w:rFonts w:ascii="Times New Roman" w:hAnsi="Times New Roman" w:cs="Times New Roman"/>
          <w:sz w:val="24"/>
          <w:szCs w:val="24"/>
        </w:rPr>
      </w:pPr>
      <w:bookmarkStart w:id="36" w:name="_Toc417486248"/>
      <w:r>
        <w:t xml:space="preserve">6. </w:t>
      </w:r>
      <w:r w:rsidR="000D0609" w:rsidRPr="006E124F">
        <w:t>Les stratégies par domaine d’activité</w:t>
      </w:r>
      <w:bookmarkEnd w:id="36"/>
      <w:r w:rsidR="006E124F" w:rsidRPr="006E124F">
        <w:rPr>
          <w:rFonts w:ascii="Times New Roman" w:hAnsi="Times New Roman" w:cs="Times New Roman"/>
          <w:sz w:val="24"/>
          <w:szCs w:val="24"/>
        </w:rPr>
        <w:t xml:space="preserve"> </w:t>
      </w:r>
    </w:p>
    <w:p w:rsidR="006E124F" w:rsidRPr="00597357" w:rsidRDefault="006E124F" w:rsidP="00AF40DE">
      <w:pPr>
        <w:pStyle w:val="Titre3"/>
        <w:spacing w:before="0" w:line="360" w:lineRule="auto"/>
      </w:pPr>
      <w:bookmarkStart w:id="37" w:name="_Toc417486249"/>
      <w:r>
        <w:t>6.1  L’identification des d</w:t>
      </w:r>
      <w:r w:rsidRPr="00597357">
        <w:t xml:space="preserve">omaines d’activité stratégique </w:t>
      </w:r>
      <w:r>
        <w:t xml:space="preserve">(DAS) </w:t>
      </w:r>
      <w:r w:rsidRPr="00597357">
        <w:t>de l’UQTR</w:t>
      </w:r>
      <w:bookmarkEnd w:id="37"/>
      <w:r>
        <w:t xml:space="preserve"> </w:t>
      </w:r>
    </w:p>
    <w:p w:rsidR="006E124F" w:rsidRDefault="006E124F" w:rsidP="006E124F">
      <w:pPr>
        <w:spacing w:line="360" w:lineRule="auto"/>
        <w:ind w:firstLine="708"/>
        <w:jc w:val="both"/>
        <w:rPr>
          <w:rFonts w:ascii="Times New Roman" w:hAnsi="Times New Roman" w:cs="Times New Roman"/>
          <w:sz w:val="24"/>
          <w:szCs w:val="24"/>
        </w:rPr>
      </w:pPr>
      <w:r w:rsidRPr="00597357">
        <w:rPr>
          <w:rFonts w:ascii="Times New Roman" w:hAnsi="Times New Roman" w:cs="Times New Roman"/>
          <w:sz w:val="24"/>
          <w:szCs w:val="24"/>
        </w:rPr>
        <w:t>L’UQTR a été analysée en suivant le protocole indiqué dans le tableau suivant, et ce afin de repérer les DAS de l’organisation. Nous constations alors que l’UQTR convient deux DAS, soit l’éducation universitaire et les services à la communauté, par domaines. Ces deux domaines sont naturellement connectés à la mission de l’UQ. La présente section abordera plus particulièrement le DAS «services à la communauté par domaines» pour y proposer une expansion qui permettrait à l’UQTR d’exploiter ses ressources de façon optimale envers la société.</w:t>
      </w:r>
    </w:p>
    <w:p w:rsidR="006E124F" w:rsidRPr="00597357" w:rsidRDefault="00B05C0A" w:rsidP="006E124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fr-CA"/>
        </w:rPr>
        <w:pict>
          <v:shape id="_x0000_s1027" type="#_x0000_t202" style="position:absolute;left:0;text-align:left;margin-left:0;margin-top:0;width:531pt;height:503.35pt;z-index:251664896;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" stroked="f">
            <v:textbox>
              <w:txbxContent>
                <w:tbl>
                  <w:tblPr>
                    <w:tblStyle w:val="Grilledutableau"/>
                    <w:tblW w:w="9869" w:type="dxa"/>
                    <w:jc w:val="center"/>
                    <w:tblLook w:val="04A0"/>
                  </w:tblPr>
                  <w:tblGrid>
                    <w:gridCol w:w="2600"/>
                    <w:gridCol w:w="3544"/>
                    <w:gridCol w:w="3725"/>
                  </w:tblGrid>
                  <w:tr w:rsidR="00CE1436" w:rsidTr="00597357">
                    <w:trPr>
                      <w:trHeight w:val="213"/>
                      <w:jc w:val="center"/>
                    </w:trPr>
                    <w:tc>
                      <w:tcPr>
                        <w:tcW w:w="2600" w:type="dxa"/>
                        <w:vMerge w:val="restart"/>
                        <w:shd w:val="clear" w:color="auto" w:fill="00703C"/>
                      </w:tcPr>
                      <w:p w:rsidR="00CE1436" w:rsidRPr="00597357" w:rsidRDefault="00CE1436" w:rsidP="00A802FC">
                        <w:pPr>
                          <w:rPr>
                            <w:rFonts w:ascii="Times New Roman" w:hAnsi="Times New Roman" w:cs="Times New Roman"/>
                            <w:b/>
                            <w:color w:val="FFFFFF" w:themeColor="background1"/>
                          </w:rPr>
                        </w:pPr>
                        <w:r w:rsidRPr="00597357">
                          <w:rPr>
                            <w:rFonts w:ascii="Times New Roman" w:hAnsi="Times New Roman" w:cs="Times New Roman"/>
                            <w:b/>
                            <w:color w:val="FFFFFF" w:themeColor="background1"/>
                          </w:rPr>
                          <w:br w:type="page"/>
                        </w:r>
                      </w:p>
                      <w:p w:rsidR="00CE1436" w:rsidRPr="00597357" w:rsidRDefault="00CE1436" w:rsidP="00A802FC">
                        <w:pPr>
                          <w:jc w:val="center"/>
                          <w:rPr>
                            <w:rFonts w:ascii="Times New Roman" w:hAnsi="Times New Roman" w:cs="Times New Roman"/>
                            <w:b/>
                            <w:color w:val="FFFFFF" w:themeColor="background1"/>
                          </w:rPr>
                        </w:pPr>
                        <w:r w:rsidRPr="00597357">
                          <w:rPr>
                            <w:rFonts w:ascii="Times New Roman" w:hAnsi="Times New Roman" w:cs="Times New Roman"/>
                            <w:b/>
                            <w:color w:val="FFFFFF" w:themeColor="background1"/>
                          </w:rPr>
                          <w:t>Facteurs clé de succès</w:t>
                        </w:r>
                      </w:p>
                    </w:tc>
                    <w:tc>
                      <w:tcPr>
                        <w:tcW w:w="3544" w:type="dxa"/>
                        <w:shd w:val="clear" w:color="auto" w:fill="00703C"/>
                      </w:tcPr>
                      <w:p w:rsidR="00CE1436" w:rsidRPr="00597357" w:rsidRDefault="00CE1436" w:rsidP="00A802FC">
                        <w:pPr>
                          <w:jc w:val="center"/>
                          <w:rPr>
                            <w:rFonts w:ascii="Times New Roman" w:hAnsi="Times New Roman" w:cs="Times New Roman"/>
                            <w:b/>
                            <w:color w:val="FFFFFF" w:themeColor="background1"/>
                            <w:sz w:val="32"/>
                          </w:rPr>
                        </w:pPr>
                        <w:r w:rsidRPr="00597357">
                          <w:rPr>
                            <w:rFonts w:ascii="Times New Roman" w:hAnsi="Times New Roman" w:cs="Times New Roman"/>
                            <w:b/>
                            <w:color w:val="FFFFFF" w:themeColor="background1"/>
                            <w:sz w:val="32"/>
                          </w:rPr>
                          <w:t>A</w:t>
                        </w:r>
                      </w:p>
                    </w:tc>
                    <w:tc>
                      <w:tcPr>
                        <w:tcW w:w="3725" w:type="dxa"/>
                        <w:shd w:val="clear" w:color="auto" w:fill="00703C"/>
                      </w:tcPr>
                      <w:p w:rsidR="00CE1436" w:rsidRPr="00597357" w:rsidRDefault="00CE1436" w:rsidP="00A802FC">
                        <w:pPr>
                          <w:jc w:val="center"/>
                          <w:rPr>
                            <w:rFonts w:ascii="Times New Roman" w:hAnsi="Times New Roman" w:cs="Times New Roman"/>
                            <w:b/>
                            <w:color w:val="FFFFFF" w:themeColor="background1"/>
                            <w:sz w:val="32"/>
                          </w:rPr>
                        </w:pPr>
                        <w:r w:rsidRPr="00597357">
                          <w:rPr>
                            <w:rFonts w:ascii="Times New Roman" w:hAnsi="Times New Roman" w:cs="Times New Roman"/>
                            <w:b/>
                            <w:color w:val="FFFFFF" w:themeColor="background1"/>
                            <w:sz w:val="32"/>
                          </w:rPr>
                          <w:t>B</w:t>
                        </w:r>
                      </w:p>
                    </w:tc>
                  </w:tr>
                  <w:tr w:rsidR="00CE1436" w:rsidTr="00597357">
                    <w:trPr>
                      <w:trHeight w:val="213"/>
                      <w:jc w:val="center"/>
                    </w:trPr>
                    <w:tc>
                      <w:tcPr>
                        <w:tcW w:w="2600" w:type="dxa"/>
                        <w:vMerge/>
                        <w:shd w:val="clear" w:color="auto" w:fill="00703C"/>
                      </w:tcPr>
                      <w:p w:rsidR="00CE1436" w:rsidRPr="00597357" w:rsidRDefault="00CE1436" w:rsidP="00A802FC">
                        <w:pPr>
                          <w:jc w:val="center"/>
                          <w:rPr>
                            <w:rFonts w:ascii="Times New Roman" w:hAnsi="Times New Roman" w:cs="Times New Roman"/>
                            <w:b/>
                            <w:color w:val="FFFFFF" w:themeColor="background1"/>
                          </w:rPr>
                        </w:pPr>
                      </w:p>
                    </w:tc>
                    <w:tc>
                      <w:tcPr>
                        <w:tcW w:w="3544" w:type="dxa"/>
                        <w:shd w:val="clear" w:color="auto" w:fill="00703C"/>
                      </w:tcPr>
                      <w:p w:rsidR="00CE1436" w:rsidRPr="00597357" w:rsidRDefault="00CE1436" w:rsidP="00A802FC">
                        <w:pPr>
                          <w:jc w:val="center"/>
                          <w:rPr>
                            <w:rFonts w:ascii="Times New Roman" w:hAnsi="Times New Roman" w:cs="Times New Roman"/>
                            <w:b/>
                            <w:color w:val="FFFFFF" w:themeColor="background1"/>
                          </w:rPr>
                        </w:pPr>
                        <w:r w:rsidRPr="00597357">
                          <w:rPr>
                            <w:rFonts w:ascii="Times New Roman" w:hAnsi="Times New Roman" w:cs="Times New Roman"/>
                            <w:b/>
                            <w:color w:val="FFFFFF" w:themeColor="background1"/>
                          </w:rPr>
                          <w:t>Éducation universitaire</w:t>
                        </w:r>
                      </w:p>
                      <w:p w:rsidR="00CE1436" w:rsidRPr="00597357" w:rsidRDefault="00CE1436" w:rsidP="00A802FC">
                        <w:pPr>
                          <w:jc w:val="center"/>
                          <w:rPr>
                            <w:rFonts w:ascii="Times New Roman" w:hAnsi="Times New Roman" w:cs="Times New Roman"/>
                            <w:b/>
                            <w:color w:val="FFFFFF" w:themeColor="background1"/>
                          </w:rPr>
                        </w:pPr>
                      </w:p>
                    </w:tc>
                    <w:tc>
                      <w:tcPr>
                        <w:tcW w:w="3725" w:type="dxa"/>
                        <w:shd w:val="clear" w:color="auto" w:fill="00703C"/>
                      </w:tcPr>
                      <w:p w:rsidR="00CE1436" w:rsidRPr="00597357" w:rsidRDefault="00CE1436" w:rsidP="00A802FC">
                        <w:pPr>
                          <w:jc w:val="center"/>
                          <w:rPr>
                            <w:rFonts w:ascii="Times New Roman" w:hAnsi="Times New Roman" w:cs="Times New Roman"/>
                            <w:b/>
                            <w:color w:val="FFFFFF" w:themeColor="background1"/>
                          </w:rPr>
                        </w:pPr>
                        <w:r w:rsidRPr="00597357">
                          <w:rPr>
                            <w:rFonts w:ascii="Times New Roman" w:hAnsi="Times New Roman" w:cs="Times New Roman"/>
                            <w:b/>
                            <w:color w:val="FFFFFF" w:themeColor="background1"/>
                          </w:rPr>
                          <w:t>Services à la communauté par domaines</w:t>
                        </w:r>
                      </w:p>
                    </w:tc>
                  </w:tr>
                  <w:tr w:rsidR="00CE1436" w:rsidTr="00597357">
                    <w:trPr>
                      <w:trHeight w:val="272"/>
                      <w:jc w:val="center"/>
                    </w:trPr>
                    <w:tc>
                      <w:tcPr>
                        <w:tcW w:w="2600" w:type="dxa"/>
                        <w:shd w:val="clear" w:color="auto" w:fill="00703C"/>
                      </w:tcPr>
                      <w:p w:rsidR="00CE1436" w:rsidRPr="00597357" w:rsidRDefault="00CE1436" w:rsidP="00A802FC">
                        <w:pPr>
                          <w:jc w:val="center"/>
                          <w:rPr>
                            <w:rFonts w:ascii="Times New Roman" w:hAnsi="Times New Roman" w:cs="Times New Roman"/>
                            <w:b/>
                            <w:color w:val="FFFFFF" w:themeColor="background1"/>
                          </w:rPr>
                        </w:pPr>
                        <w:r w:rsidRPr="00597357">
                          <w:rPr>
                            <w:rFonts w:ascii="Times New Roman" w:hAnsi="Times New Roman" w:cs="Times New Roman"/>
                            <w:b/>
                            <w:color w:val="FFFFFF" w:themeColor="background1"/>
                          </w:rPr>
                          <w:t>Critères externes</w:t>
                        </w:r>
                      </w:p>
                    </w:tc>
                    <w:tc>
                      <w:tcPr>
                        <w:tcW w:w="7269" w:type="dxa"/>
                        <w:gridSpan w:val="2"/>
                        <w:shd w:val="clear" w:color="auto" w:fill="00703C"/>
                      </w:tcPr>
                      <w:p w:rsidR="00CE1436" w:rsidRPr="00597357" w:rsidRDefault="00CE1436" w:rsidP="00A802FC">
                        <w:pPr>
                          <w:rPr>
                            <w:rFonts w:ascii="Times New Roman" w:hAnsi="Times New Roman" w:cs="Times New Roman"/>
                            <w:color w:val="FFFFFF" w:themeColor="background1"/>
                          </w:rPr>
                        </w:pPr>
                      </w:p>
                    </w:tc>
                  </w:tr>
                  <w:tr w:rsidR="00CE1436" w:rsidTr="00A802FC">
                    <w:trPr>
                      <w:trHeight w:val="272"/>
                      <w:jc w:val="center"/>
                    </w:trPr>
                    <w:tc>
                      <w:tcPr>
                        <w:tcW w:w="2600" w:type="dxa"/>
                      </w:tcPr>
                      <w:p w:rsidR="00CE1436" w:rsidRPr="00597357" w:rsidRDefault="00CE1436" w:rsidP="00A802FC">
                        <w:pPr>
                          <w:rPr>
                            <w:rFonts w:ascii="Times New Roman" w:hAnsi="Times New Roman" w:cs="Times New Roman"/>
                          </w:rPr>
                        </w:pPr>
                        <w:r w:rsidRPr="00597357">
                          <w:rPr>
                            <w:rFonts w:ascii="Times New Roman" w:hAnsi="Times New Roman" w:cs="Times New Roman"/>
                          </w:rPr>
                          <w:t>Clientèle</w:t>
                        </w:r>
                      </w:p>
                    </w:tc>
                    <w:tc>
                      <w:tcPr>
                        <w:tcW w:w="3544" w:type="dxa"/>
                      </w:tcPr>
                      <w:p w:rsidR="00CE1436" w:rsidRPr="00597357" w:rsidRDefault="00CE1436" w:rsidP="00A802FC">
                        <w:pPr>
                          <w:rPr>
                            <w:rFonts w:ascii="Times New Roman" w:hAnsi="Times New Roman" w:cs="Times New Roman"/>
                          </w:rPr>
                        </w:pPr>
                        <w:r w:rsidRPr="00597357">
                          <w:rPr>
                            <w:rFonts w:ascii="Times New Roman" w:hAnsi="Times New Roman" w:cs="Times New Roman"/>
                          </w:rPr>
                          <w:t>Étudiants de Trois-Rivières et de la province de Québec</w:t>
                        </w:r>
                      </w:p>
                    </w:tc>
                    <w:tc>
                      <w:tcPr>
                        <w:tcW w:w="3725" w:type="dxa"/>
                      </w:tcPr>
                      <w:p w:rsidR="00CE1436" w:rsidRPr="00597357" w:rsidRDefault="00CE1436" w:rsidP="00A802FC">
                        <w:pPr>
                          <w:rPr>
                            <w:rFonts w:ascii="Times New Roman" w:hAnsi="Times New Roman" w:cs="Times New Roman"/>
                          </w:rPr>
                        </w:pPr>
                        <w:r w:rsidRPr="00597357">
                          <w:rPr>
                            <w:rFonts w:ascii="Times New Roman" w:hAnsi="Times New Roman" w:cs="Times New Roman"/>
                          </w:rPr>
                          <w:t>Population générale de Trois-Rivières, variable selon les services considérés</w:t>
                        </w:r>
                      </w:p>
                    </w:tc>
                  </w:tr>
                  <w:tr w:rsidR="00CE1436" w:rsidTr="00A802FC">
                    <w:trPr>
                      <w:trHeight w:val="272"/>
                      <w:jc w:val="center"/>
                    </w:trPr>
                    <w:tc>
                      <w:tcPr>
                        <w:tcW w:w="2600" w:type="dxa"/>
                      </w:tcPr>
                      <w:p w:rsidR="00CE1436" w:rsidRPr="00597357" w:rsidRDefault="00CE1436" w:rsidP="00A802FC">
                        <w:pPr>
                          <w:rPr>
                            <w:rFonts w:ascii="Times New Roman" w:hAnsi="Times New Roman" w:cs="Times New Roman"/>
                          </w:rPr>
                        </w:pPr>
                        <w:r w:rsidRPr="00597357">
                          <w:rPr>
                            <w:rFonts w:ascii="Times New Roman" w:hAnsi="Times New Roman" w:cs="Times New Roman"/>
                          </w:rPr>
                          <w:t>Périmètre géographique</w:t>
                        </w:r>
                      </w:p>
                    </w:tc>
                    <w:tc>
                      <w:tcPr>
                        <w:tcW w:w="3544" w:type="dxa"/>
                      </w:tcPr>
                      <w:p w:rsidR="00CE1436" w:rsidRPr="00597357" w:rsidRDefault="00CE1436" w:rsidP="00A802FC">
                        <w:pPr>
                          <w:rPr>
                            <w:rFonts w:ascii="Times New Roman" w:hAnsi="Times New Roman" w:cs="Times New Roman"/>
                          </w:rPr>
                        </w:pPr>
                        <w:r w:rsidRPr="00597357">
                          <w:rPr>
                            <w:rFonts w:ascii="Times New Roman" w:hAnsi="Times New Roman" w:cs="Times New Roman"/>
                          </w:rPr>
                          <w:t>Provincial</w:t>
                        </w:r>
                      </w:p>
                    </w:tc>
                    <w:tc>
                      <w:tcPr>
                        <w:tcW w:w="3725" w:type="dxa"/>
                      </w:tcPr>
                      <w:p w:rsidR="00CE1436" w:rsidRPr="00597357" w:rsidRDefault="00CE1436" w:rsidP="00A802FC">
                        <w:pPr>
                          <w:rPr>
                            <w:rFonts w:ascii="Times New Roman" w:hAnsi="Times New Roman" w:cs="Times New Roman"/>
                          </w:rPr>
                        </w:pPr>
                        <w:r w:rsidRPr="00597357">
                          <w:rPr>
                            <w:rFonts w:ascii="Times New Roman" w:hAnsi="Times New Roman" w:cs="Times New Roman"/>
                          </w:rPr>
                          <w:t>Trois-Rivières</w:t>
                        </w:r>
                      </w:p>
                    </w:tc>
                  </w:tr>
                  <w:tr w:rsidR="00CE1436" w:rsidTr="00A802FC">
                    <w:trPr>
                      <w:trHeight w:val="272"/>
                      <w:jc w:val="center"/>
                    </w:trPr>
                    <w:tc>
                      <w:tcPr>
                        <w:tcW w:w="2600" w:type="dxa"/>
                      </w:tcPr>
                      <w:p w:rsidR="00CE1436" w:rsidRPr="00597357" w:rsidRDefault="00CE1436" w:rsidP="00A802FC">
                        <w:pPr>
                          <w:rPr>
                            <w:rFonts w:ascii="Times New Roman" w:hAnsi="Times New Roman" w:cs="Times New Roman"/>
                          </w:rPr>
                        </w:pPr>
                        <w:r w:rsidRPr="00597357">
                          <w:rPr>
                            <w:rFonts w:ascii="Times New Roman" w:hAnsi="Times New Roman" w:cs="Times New Roman"/>
                          </w:rPr>
                          <w:t>Distribution</w:t>
                        </w:r>
                      </w:p>
                    </w:tc>
                    <w:tc>
                      <w:tcPr>
                        <w:tcW w:w="3544" w:type="dxa"/>
                        <w:shd w:val="clear" w:color="auto" w:fill="auto"/>
                      </w:tcPr>
                      <w:p w:rsidR="00CE1436" w:rsidRPr="00597357" w:rsidRDefault="00CE1436" w:rsidP="00A802FC">
                        <w:pPr>
                          <w:rPr>
                            <w:rFonts w:ascii="Times New Roman" w:hAnsi="Times New Roman" w:cs="Times New Roman"/>
                          </w:rPr>
                        </w:pPr>
                        <w:r w:rsidRPr="00597357">
                          <w:rPr>
                            <w:rFonts w:ascii="Times New Roman" w:hAnsi="Times New Roman" w:cs="Times New Roman"/>
                          </w:rPr>
                          <w:t>Distinct de B</w:t>
                        </w:r>
                      </w:p>
                    </w:tc>
                    <w:tc>
                      <w:tcPr>
                        <w:tcW w:w="3725" w:type="dxa"/>
                        <w:shd w:val="clear" w:color="auto" w:fill="auto"/>
                      </w:tcPr>
                      <w:p w:rsidR="00CE1436" w:rsidRPr="00597357" w:rsidRDefault="00CE1436" w:rsidP="00A802FC">
                        <w:pPr>
                          <w:rPr>
                            <w:rFonts w:ascii="Times New Roman" w:hAnsi="Times New Roman" w:cs="Times New Roman"/>
                          </w:rPr>
                        </w:pPr>
                        <w:r w:rsidRPr="00597357">
                          <w:rPr>
                            <w:rFonts w:ascii="Times New Roman" w:hAnsi="Times New Roman" w:cs="Times New Roman"/>
                          </w:rPr>
                          <w:t>Distinct de A</w:t>
                        </w:r>
                      </w:p>
                    </w:tc>
                  </w:tr>
                  <w:tr w:rsidR="00CE1436" w:rsidTr="00A802FC">
                    <w:trPr>
                      <w:trHeight w:val="272"/>
                      <w:jc w:val="center"/>
                    </w:trPr>
                    <w:tc>
                      <w:tcPr>
                        <w:tcW w:w="2600" w:type="dxa"/>
                      </w:tcPr>
                      <w:p w:rsidR="00CE1436" w:rsidRPr="00597357" w:rsidRDefault="00CE1436" w:rsidP="00A802FC">
                        <w:pPr>
                          <w:rPr>
                            <w:rFonts w:ascii="Times New Roman" w:hAnsi="Times New Roman" w:cs="Times New Roman"/>
                          </w:rPr>
                        </w:pPr>
                        <w:r w:rsidRPr="00597357">
                          <w:rPr>
                            <w:rFonts w:ascii="Times New Roman" w:hAnsi="Times New Roman" w:cs="Times New Roman"/>
                          </w:rPr>
                          <w:t>Concurrence</w:t>
                        </w:r>
                      </w:p>
                    </w:tc>
                    <w:tc>
                      <w:tcPr>
                        <w:tcW w:w="3544" w:type="dxa"/>
                      </w:tcPr>
                      <w:p w:rsidR="00CE1436" w:rsidRPr="00597357" w:rsidRDefault="00CE1436" w:rsidP="00A802FC">
                        <w:pPr>
                          <w:rPr>
                            <w:rFonts w:ascii="Times New Roman" w:hAnsi="Times New Roman" w:cs="Times New Roman"/>
                          </w:rPr>
                        </w:pPr>
                        <w:r w:rsidRPr="00597357">
                          <w:rPr>
                            <w:rFonts w:ascii="Times New Roman" w:hAnsi="Times New Roman" w:cs="Times New Roman"/>
                          </w:rPr>
                          <w:t>Réseau universitaire du Québec</w:t>
                        </w:r>
                      </w:p>
                    </w:tc>
                    <w:tc>
                      <w:tcPr>
                        <w:tcW w:w="3725" w:type="dxa"/>
                      </w:tcPr>
                      <w:p w:rsidR="00CE1436" w:rsidRPr="00597357" w:rsidRDefault="00CE1436" w:rsidP="00A802FC">
                        <w:pPr>
                          <w:rPr>
                            <w:rFonts w:ascii="Times New Roman" w:hAnsi="Times New Roman" w:cs="Times New Roman"/>
                          </w:rPr>
                        </w:pPr>
                        <w:r w:rsidRPr="00597357">
                          <w:rPr>
                            <w:rFonts w:ascii="Times New Roman" w:hAnsi="Times New Roman" w:cs="Times New Roman"/>
                          </w:rPr>
                          <w:t>Organisations et commerces de la région, voire OSBL</w:t>
                        </w:r>
                        <w:r w:rsidRPr="00597357">
                          <w:rPr>
                            <w:rStyle w:val="Appelnotedebasdep"/>
                            <w:rFonts w:ascii="Times New Roman" w:hAnsi="Times New Roman" w:cs="Times New Roman"/>
                          </w:rPr>
                          <w:footnoteRef/>
                        </w:r>
                        <w:r w:rsidRPr="00597357">
                          <w:rPr>
                            <w:rFonts w:ascii="Times New Roman" w:hAnsi="Times New Roman" w:cs="Times New Roman"/>
                          </w:rPr>
                          <w:t>, centres sportifs</w:t>
                        </w:r>
                        <w:r w:rsidRPr="00597357">
                          <w:rPr>
                            <w:rStyle w:val="Appelnotedebasdep"/>
                            <w:rFonts w:ascii="Times New Roman" w:hAnsi="Times New Roman" w:cs="Times New Roman"/>
                          </w:rPr>
                          <w:footnoteRef/>
                        </w:r>
                        <w:r w:rsidRPr="00597357">
                          <w:rPr>
                            <w:rFonts w:ascii="Times New Roman" w:hAnsi="Times New Roman" w:cs="Times New Roman"/>
                          </w:rPr>
                          <w:t>, cliniques de santé et hôpitaux</w:t>
                        </w:r>
                        <w:r w:rsidRPr="00597357">
                          <w:rPr>
                            <w:rStyle w:val="Appelnotedebasdep"/>
                            <w:rFonts w:ascii="Times New Roman" w:hAnsi="Times New Roman" w:cs="Times New Roman"/>
                          </w:rPr>
                          <w:footnoteRef/>
                        </w:r>
                        <w:r w:rsidRPr="00597357">
                          <w:rPr>
                            <w:rFonts w:ascii="Times New Roman" w:hAnsi="Times New Roman" w:cs="Times New Roman"/>
                          </w:rPr>
                          <w:t>, bibliothèques municipales</w:t>
                        </w:r>
                        <w:r w:rsidRPr="00597357">
                          <w:rPr>
                            <w:rStyle w:val="Appelnotedebasdep"/>
                            <w:rFonts w:ascii="Times New Roman" w:hAnsi="Times New Roman" w:cs="Times New Roman"/>
                          </w:rPr>
                          <w:footnoteRef/>
                        </w:r>
                        <w:r w:rsidRPr="00597357">
                          <w:rPr>
                            <w:rFonts w:ascii="Times New Roman" w:hAnsi="Times New Roman" w:cs="Times New Roman"/>
                          </w:rPr>
                          <w:t>, médias d’information</w:t>
                        </w:r>
                        <w:r w:rsidRPr="00597357">
                          <w:rPr>
                            <w:rStyle w:val="Appelnotedebasdep"/>
                            <w:rFonts w:ascii="Times New Roman" w:hAnsi="Times New Roman" w:cs="Times New Roman"/>
                          </w:rPr>
                          <w:footnoteRef/>
                        </w:r>
                        <w:r w:rsidRPr="00597357">
                          <w:rPr>
                            <w:rFonts w:ascii="Times New Roman" w:hAnsi="Times New Roman" w:cs="Times New Roman"/>
                          </w:rPr>
                          <w:t>, restaurants</w:t>
                        </w:r>
                        <w:r w:rsidRPr="00597357">
                          <w:rPr>
                            <w:rStyle w:val="Appelnotedebasdep"/>
                            <w:rFonts w:ascii="Times New Roman" w:hAnsi="Times New Roman" w:cs="Times New Roman"/>
                          </w:rPr>
                          <w:footnoteRef/>
                        </w:r>
                        <w:r w:rsidRPr="00597357">
                          <w:rPr>
                            <w:rFonts w:ascii="Times New Roman" w:hAnsi="Times New Roman" w:cs="Times New Roman"/>
                          </w:rPr>
                          <w:t xml:space="preserve"> et boutiques commerciales</w:t>
                        </w:r>
                        <w:r w:rsidRPr="00597357">
                          <w:rPr>
                            <w:rStyle w:val="Appelnotedebasdep"/>
                            <w:rFonts w:ascii="Times New Roman" w:hAnsi="Times New Roman" w:cs="Times New Roman"/>
                          </w:rPr>
                          <w:footnoteRef/>
                        </w:r>
                      </w:p>
                    </w:tc>
                  </w:tr>
                  <w:tr w:rsidR="00CE1436" w:rsidTr="00597357">
                    <w:trPr>
                      <w:trHeight w:val="272"/>
                      <w:jc w:val="center"/>
                    </w:trPr>
                    <w:tc>
                      <w:tcPr>
                        <w:tcW w:w="2600" w:type="dxa"/>
                        <w:shd w:val="clear" w:color="auto" w:fill="C4960C"/>
                      </w:tcPr>
                      <w:p w:rsidR="00CE1436" w:rsidRPr="00597357" w:rsidRDefault="00CE1436" w:rsidP="00A802FC">
                        <w:pPr>
                          <w:jc w:val="center"/>
                          <w:rPr>
                            <w:rFonts w:ascii="Times New Roman" w:hAnsi="Times New Roman" w:cs="Times New Roman"/>
                            <w:b/>
                          </w:rPr>
                        </w:pPr>
                        <w:r w:rsidRPr="00597357">
                          <w:rPr>
                            <w:rFonts w:ascii="Times New Roman" w:hAnsi="Times New Roman" w:cs="Times New Roman"/>
                            <w:b/>
                          </w:rPr>
                          <w:t>Critères internes</w:t>
                        </w:r>
                      </w:p>
                    </w:tc>
                    <w:tc>
                      <w:tcPr>
                        <w:tcW w:w="7269" w:type="dxa"/>
                        <w:gridSpan w:val="2"/>
                        <w:shd w:val="clear" w:color="auto" w:fill="C4960C"/>
                      </w:tcPr>
                      <w:p w:rsidR="00CE1436" w:rsidRPr="00597357" w:rsidRDefault="00CE1436" w:rsidP="00A802FC">
                        <w:pPr>
                          <w:rPr>
                            <w:rFonts w:ascii="Times New Roman" w:hAnsi="Times New Roman" w:cs="Times New Roman"/>
                          </w:rPr>
                        </w:pPr>
                      </w:p>
                    </w:tc>
                  </w:tr>
                  <w:tr w:rsidR="00CE1436" w:rsidTr="00A802FC">
                    <w:trPr>
                      <w:trHeight w:val="272"/>
                      <w:jc w:val="center"/>
                    </w:trPr>
                    <w:tc>
                      <w:tcPr>
                        <w:tcW w:w="2600" w:type="dxa"/>
                      </w:tcPr>
                      <w:p w:rsidR="00CE1436" w:rsidRPr="00597357" w:rsidRDefault="00CE1436" w:rsidP="00A802FC">
                        <w:pPr>
                          <w:rPr>
                            <w:rFonts w:ascii="Times New Roman" w:hAnsi="Times New Roman" w:cs="Times New Roman"/>
                          </w:rPr>
                        </w:pPr>
                        <w:r w:rsidRPr="00597357">
                          <w:rPr>
                            <w:rFonts w:ascii="Times New Roman" w:hAnsi="Times New Roman" w:cs="Times New Roman"/>
                          </w:rPr>
                          <w:t>Technologies</w:t>
                        </w:r>
                      </w:p>
                    </w:tc>
                    <w:tc>
                      <w:tcPr>
                        <w:tcW w:w="3544" w:type="dxa"/>
                        <w:shd w:val="clear" w:color="auto" w:fill="auto"/>
                      </w:tcPr>
                      <w:p w:rsidR="00CE1436" w:rsidRPr="00597357" w:rsidRDefault="00CE1436" w:rsidP="00A802FC">
                        <w:pPr>
                          <w:rPr>
                            <w:rFonts w:ascii="Times New Roman" w:hAnsi="Times New Roman" w:cs="Times New Roman"/>
                          </w:rPr>
                        </w:pPr>
                        <w:r w:rsidRPr="00597357">
                          <w:rPr>
                            <w:rFonts w:ascii="Times New Roman" w:hAnsi="Times New Roman" w:cs="Times New Roman"/>
                          </w:rPr>
                          <w:t>Significativement différentes de B (TI, diffusion web, serveurs de données). Peu de médias sociaux sont utilisés pour gérer significativement les opérations.</w:t>
                        </w:r>
                      </w:p>
                    </w:tc>
                    <w:tc>
                      <w:tcPr>
                        <w:tcW w:w="3725" w:type="dxa"/>
                        <w:shd w:val="clear" w:color="auto" w:fill="auto"/>
                      </w:tcPr>
                      <w:p w:rsidR="00CE1436" w:rsidRPr="00597357" w:rsidRDefault="00CE1436" w:rsidP="00A802FC">
                        <w:pPr>
                          <w:rPr>
                            <w:rFonts w:ascii="Times New Roman" w:hAnsi="Times New Roman" w:cs="Times New Roman"/>
                          </w:rPr>
                        </w:pPr>
                        <w:r w:rsidRPr="00597357">
                          <w:rPr>
                            <w:rFonts w:ascii="Times New Roman" w:hAnsi="Times New Roman" w:cs="Times New Roman"/>
                          </w:rPr>
                          <w:t>Significativement différentes de A, soit des supports informatiques commerciaux (CRM, SRM, médias sociaux)</w:t>
                        </w:r>
                      </w:p>
                    </w:tc>
                  </w:tr>
                  <w:tr w:rsidR="00CE1436" w:rsidTr="00A802FC">
                    <w:trPr>
                      <w:trHeight w:val="272"/>
                      <w:jc w:val="center"/>
                    </w:trPr>
                    <w:tc>
                      <w:tcPr>
                        <w:tcW w:w="2600" w:type="dxa"/>
                      </w:tcPr>
                      <w:p w:rsidR="00CE1436" w:rsidRPr="00597357" w:rsidRDefault="00CE1436" w:rsidP="00A802FC">
                        <w:pPr>
                          <w:rPr>
                            <w:rFonts w:ascii="Times New Roman" w:hAnsi="Times New Roman" w:cs="Times New Roman"/>
                          </w:rPr>
                        </w:pPr>
                        <w:r w:rsidRPr="00597357">
                          <w:rPr>
                            <w:rFonts w:ascii="Times New Roman" w:hAnsi="Times New Roman" w:cs="Times New Roman"/>
                          </w:rPr>
                          <w:t>Compétences</w:t>
                        </w:r>
                      </w:p>
                    </w:tc>
                    <w:tc>
                      <w:tcPr>
                        <w:tcW w:w="3544" w:type="dxa"/>
                        <w:shd w:val="clear" w:color="auto" w:fill="auto"/>
                      </w:tcPr>
                      <w:p w:rsidR="00CE1436" w:rsidRPr="00597357" w:rsidRDefault="00CE1436" w:rsidP="00A802FC">
                        <w:pPr>
                          <w:rPr>
                            <w:rFonts w:ascii="Times New Roman" w:hAnsi="Times New Roman" w:cs="Times New Roman"/>
                          </w:rPr>
                        </w:pPr>
                        <w:r w:rsidRPr="00597357">
                          <w:rPr>
                            <w:rFonts w:ascii="Times New Roman" w:hAnsi="Times New Roman" w:cs="Times New Roman"/>
                          </w:rPr>
                          <w:t>Significativement différent de B.</w:t>
                        </w:r>
                      </w:p>
                      <w:p w:rsidR="00CE1436" w:rsidRPr="00597357" w:rsidRDefault="00CE1436" w:rsidP="00A802FC">
                        <w:pPr>
                          <w:rPr>
                            <w:rFonts w:ascii="Times New Roman" w:hAnsi="Times New Roman" w:cs="Times New Roman"/>
                          </w:rPr>
                        </w:pPr>
                      </w:p>
                      <w:p w:rsidR="00CE1436" w:rsidRPr="00597357" w:rsidRDefault="00CE1436" w:rsidP="00A802FC">
                        <w:pPr>
                          <w:rPr>
                            <w:rFonts w:ascii="Times New Roman" w:hAnsi="Times New Roman" w:cs="Times New Roman"/>
                          </w:rPr>
                        </w:pPr>
                        <w:r w:rsidRPr="00597357">
                          <w:rPr>
                            <w:rFonts w:ascii="Times New Roman" w:hAnsi="Times New Roman" w:cs="Times New Roman"/>
                          </w:rPr>
                          <w:t>Savoir académique, compétences pédagogiques et en communication.</w:t>
                        </w:r>
                      </w:p>
                    </w:tc>
                    <w:tc>
                      <w:tcPr>
                        <w:tcW w:w="3725" w:type="dxa"/>
                        <w:shd w:val="clear" w:color="auto" w:fill="auto"/>
                      </w:tcPr>
                      <w:p w:rsidR="00CE1436" w:rsidRPr="00597357" w:rsidRDefault="00CE1436" w:rsidP="00A802FC">
                        <w:pPr>
                          <w:rPr>
                            <w:rFonts w:ascii="Times New Roman" w:hAnsi="Times New Roman" w:cs="Times New Roman"/>
                          </w:rPr>
                        </w:pPr>
                        <w:r w:rsidRPr="00597357">
                          <w:rPr>
                            <w:rFonts w:ascii="Times New Roman" w:hAnsi="Times New Roman" w:cs="Times New Roman"/>
                          </w:rPr>
                          <w:t>Significativement différent de A.</w:t>
                        </w:r>
                      </w:p>
                      <w:p w:rsidR="00CE1436" w:rsidRPr="00597357" w:rsidRDefault="00CE1436" w:rsidP="00A802FC">
                        <w:pPr>
                          <w:rPr>
                            <w:rFonts w:ascii="Times New Roman" w:hAnsi="Times New Roman" w:cs="Times New Roman"/>
                          </w:rPr>
                        </w:pPr>
                      </w:p>
                      <w:p w:rsidR="00CE1436" w:rsidRPr="00597357" w:rsidRDefault="00CE1436" w:rsidP="00A802FC">
                        <w:pPr>
                          <w:rPr>
                            <w:rFonts w:ascii="Times New Roman" w:hAnsi="Times New Roman" w:cs="Times New Roman"/>
                          </w:rPr>
                        </w:pPr>
                        <w:r w:rsidRPr="00597357">
                          <w:rPr>
                            <w:rFonts w:ascii="Times New Roman" w:hAnsi="Times New Roman" w:cs="Times New Roman"/>
                          </w:rPr>
                          <w:t>Savoir professionnel pour OSBL, centres sportifs, cliniques de santé et hôpitaux, bibliothèques municipales.</w:t>
                        </w:r>
                      </w:p>
                      <w:p w:rsidR="00CE1436" w:rsidRPr="00597357" w:rsidRDefault="00CE1436" w:rsidP="00A802FC">
                        <w:pPr>
                          <w:rPr>
                            <w:rFonts w:ascii="Times New Roman" w:hAnsi="Times New Roman" w:cs="Times New Roman"/>
                          </w:rPr>
                        </w:pPr>
                      </w:p>
                      <w:p w:rsidR="00CE1436" w:rsidRPr="00597357" w:rsidRDefault="00CE1436" w:rsidP="00A802FC">
                        <w:pPr>
                          <w:rPr>
                            <w:rFonts w:ascii="Times New Roman" w:hAnsi="Times New Roman" w:cs="Times New Roman"/>
                          </w:rPr>
                        </w:pPr>
                        <w:r w:rsidRPr="00597357">
                          <w:rPr>
                            <w:rFonts w:ascii="Times New Roman" w:hAnsi="Times New Roman" w:cs="Times New Roman"/>
                          </w:rPr>
                          <w:t>Compétences commerciales liées au domaine des affaires pour médias d’information, restauration et boutiques commerciales</w:t>
                        </w:r>
                      </w:p>
                    </w:tc>
                  </w:tr>
                  <w:tr w:rsidR="00CE1436" w:rsidTr="00A802FC">
                    <w:trPr>
                      <w:trHeight w:val="272"/>
                      <w:jc w:val="center"/>
                    </w:trPr>
                    <w:tc>
                      <w:tcPr>
                        <w:tcW w:w="2600" w:type="dxa"/>
                      </w:tcPr>
                      <w:p w:rsidR="00CE1436" w:rsidRPr="00597357" w:rsidRDefault="00CE1436" w:rsidP="00A802FC">
                        <w:pPr>
                          <w:rPr>
                            <w:rFonts w:ascii="Times New Roman" w:hAnsi="Times New Roman" w:cs="Times New Roman"/>
                          </w:rPr>
                        </w:pPr>
                        <w:r w:rsidRPr="00597357">
                          <w:rPr>
                            <w:rFonts w:ascii="Times New Roman" w:hAnsi="Times New Roman" w:cs="Times New Roman"/>
                          </w:rPr>
                          <w:t>Synergies</w:t>
                        </w:r>
                      </w:p>
                    </w:tc>
                    <w:tc>
                      <w:tcPr>
                        <w:tcW w:w="3544" w:type="dxa"/>
                        <w:shd w:val="clear" w:color="auto" w:fill="auto"/>
                      </w:tcPr>
                      <w:p w:rsidR="00CE1436" w:rsidRPr="00597357" w:rsidRDefault="00CE1436" w:rsidP="00A802FC">
                        <w:pPr>
                          <w:rPr>
                            <w:rFonts w:ascii="Times New Roman" w:hAnsi="Times New Roman" w:cs="Times New Roman"/>
                          </w:rPr>
                        </w:pPr>
                        <w:r w:rsidRPr="00597357">
                          <w:rPr>
                            <w:rFonts w:ascii="Times New Roman" w:hAnsi="Times New Roman" w:cs="Times New Roman"/>
                          </w:rPr>
                          <w:t>Forte entre les sous parties étudiants en campus, hors campus, troisième âge de MOOC.</w:t>
                        </w:r>
                      </w:p>
                    </w:tc>
                    <w:tc>
                      <w:tcPr>
                        <w:tcW w:w="3725" w:type="dxa"/>
                        <w:shd w:val="clear" w:color="auto" w:fill="auto"/>
                      </w:tcPr>
                      <w:p w:rsidR="00CE1436" w:rsidRPr="00597357" w:rsidRDefault="00CE1436" w:rsidP="00A802FC">
                        <w:pPr>
                          <w:rPr>
                            <w:rFonts w:ascii="Times New Roman" w:hAnsi="Times New Roman" w:cs="Times New Roman"/>
                          </w:rPr>
                        </w:pPr>
                        <w:r w:rsidRPr="00597357">
                          <w:rPr>
                            <w:rFonts w:ascii="Times New Roman" w:hAnsi="Times New Roman" w:cs="Times New Roman"/>
                          </w:rPr>
                          <w:t>Faibles entre tous les services offerts, car forte différence entre les services.</w:t>
                        </w:r>
                      </w:p>
                    </w:tc>
                  </w:tr>
                  <w:tr w:rsidR="00CE1436" w:rsidTr="00A802FC">
                    <w:trPr>
                      <w:trHeight w:val="285"/>
                      <w:jc w:val="center"/>
                    </w:trPr>
                    <w:tc>
                      <w:tcPr>
                        <w:tcW w:w="2600" w:type="dxa"/>
                      </w:tcPr>
                      <w:p w:rsidR="00CE1436" w:rsidRPr="00597357" w:rsidRDefault="00CE1436" w:rsidP="00A802FC">
                        <w:pPr>
                          <w:rPr>
                            <w:rFonts w:ascii="Times New Roman" w:hAnsi="Times New Roman" w:cs="Times New Roman"/>
                          </w:rPr>
                        </w:pPr>
                        <w:r w:rsidRPr="00597357">
                          <w:rPr>
                            <w:rFonts w:ascii="Times New Roman" w:hAnsi="Times New Roman" w:cs="Times New Roman"/>
                          </w:rPr>
                          <w:t>Structure de coûts</w:t>
                        </w:r>
                      </w:p>
                    </w:tc>
                    <w:tc>
                      <w:tcPr>
                        <w:tcW w:w="3544" w:type="dxa"/>
                        <w:shd w:val="clear" w:color="auto" w:fill="auto"/>
                      </w:tcPr>
                      <w:p w:rsidR="00CE1436" w:rsidRPr="00597357" w:rsidRDefault="00CE1436" w:rsidP="00A802FC">
                        <w:pPr>
                          <w:rPr>
                            <w:rFonts w:ascii="Times New Roman" w:hAnsi="Times New Roman" w:cs="Times New Roman"/>
                          </w:rPr>
                        </w:pPr>
                        <w:r w:rsidRPr="00597357">
                          <w:rPr>
                            <w:rFonts w:ascii="Times New Roman" w:hAnsi="Times New Roman" w:cs="Times New Roman"/>
                          </w:rPr>
                          <w:t>Prépondérance de coûts spécifiques</w:t>
                        </w:r>
                      </w:p>
                    </w:tc>
                    <w:tc>
                      <w:tcPr>
                        <w:tcW w:w="3725" w:type="dxa"/>
                        <w:shd w:val="clear" w:color="auto" w:fill="auto"/>
                      </w:tcPr>
                      <w:p w:rsidR="00CE1436" w:rsidRPr="00597357" w:rsidRDefault="00CE1436" w:rsidP="00A802FC">
                        <w:pPr>
                          <w:rPr>
                            <w:rFonts w:ascii="Times New Roman" w:hAnsi="Times New Roman" w:cs="Times New Roman"/>
                          </w:rPr>
                        </w:pPr>
                        <w:r w:rsidRPr="00597357">
                          <w:rPr>
                            <w:rFonts w:ascii="Times New Roman" w:hAnsi="Times New Roman" w:cs="Times New Roman"/>
                          </w:rPr>
                          <w:t>Prépondérance de coûts spécifiques</w:t>
                        </w:r>
                      </w:p>
                    </w:tc>
                  </w:tr>
                  <w:tr w:rsidR="00CE1436" w:rsidRPr="0052214A" w:rsidTr="00597357">
                    <w:trPr>
                      <w:trHeight w:val="285"/>
                      <w:jc w:val="center"/>
                    </w:trPr>
                    <w:tc>
                      <w:tcPr>
                        <w:tcW w:w="2600" w:type="dxa"/>
                        <w:shd w:val="clear" w:color="auto" w:fill="C4960C"/>
                      </w:tcPr>
                      <w:p w:rsidR="00CE1436" w:rsidRPr="00597357" w:rsidRDefault="00CE1436" w:rsidP="00A802FC">
                        <w:pPr>
                          <w:jc w:val="center"/>
                          <w:rPr>
                            <w:rFonts w:ascii="Times New Roman" w:hAnsi="Times New Roman" w:cs="Times New Roman"/>
                            <w:b/>
                          </w:rPr>
                        </w:pPr>
                        <w:r w:rsidRPr="00597357">
                          <w:rPr>
                            <w:rFonts w:ascii="Times New Roman" w:hAnsi="Times New Roman" w:cs="Times New Roman"/>
                            <w:b/>
                          </w:rPr>
                          <w:t>Chaîne de valeur</w:t>
                        </w:r>
                      </w:p>
                    </w:tc>
                    <w:tc>
                      <w:tcPr>
                        <w:tcW w:w="3544" w:type="dxa"/>
                        <w:shd w:val="clear" w:color="auto" w:fill="auto"/>
                      </w:tcPr>
                      <w:p w:rsidR="00CE1436" w:rsidRPr="00597357" w:rsidRDefault="00CE1436" w:rsidP="00A802FC">
                        <w:pPr>
                          <w:rPr>
                            <w:rFonts w:ascii="Times New Roman" w:hAnsi="Times New Roman" w:cs="Times New Roman"/>
                          </w:rPr>
                        </w:pPr>
                        <w:r w:rsidRPr="00597357">
                          <w:rPr>
                            <w:rFonts w:ascii="Times New Roman" w:hAnsi="Times New Roman" w:cs="Times New Roman"/>
                          </w:rPr>
                          <w:t>Une seule chaîne de valeur</w:t>
                        </w:r>
                      </w:p>
                    </w:tc>
                    <w:tc>
                      <w:tcPr>
                        <w:tcW w:w="3725" w:type="dxa"/>
                        <w:shd w:val="clear" w:color="auto" w:fill="auto"/>
                      </w:tcPr>
                      <w:p w:rsidR="00CE1436" w:rsidRPr="00597357" w:rsidRDefault="00CE1436" w:rsidP="00A802FC">
                        <w:pPr>
                          <w:rPr>
                            <w:rFonts w:ascii="Times New Roman" w:hAnsi="Times New Roman" w:cs="Times New Roman"/>
                          </w:rPr>
                        </w:pPr>
                        <w:r w:rsidRPr="00597357">
                          <w:rPr>
                            <w:rFonts w:ascii="Times New Roman" w:hAnsi="Times New Roman" w:cs="Times New Roman"/>
                          </w:rPr>
                          <w:t>Plusieurs chaînes de valeur</w:t>
                        </w:r>
                      </w:p>
                    </w:tc>
                  </w:tr>
                </w:tbl>
                <w:p w:rsidR="00CE1436" w:rsidRDefault="00CE1436" w:rsidP="006E124F"/>
              </w:txbxContent>
            </v:textbox>
          </v:shape>
        </w:pict>
      </w:r>
      <w:r w:rsidR="006E124F" w:rsidRPr="00597357">
        <w:rPr>
          <w:rFonts w:ascii="Times New Roman" w:hAnsi="Times New Roman" w:cs="Times New Roman"/>
          <w:sz w:val="24"/>
          <w:szCs w:val="24"/>
        </w:rPr>
        <w:br w:type="page"/>
      </w:r>
    </w:p>
    <w:p w:rsidR="006E124F" w:rsidRPr="00597357" w:rsidRDefault="006E124F" w:rsidP="006E124F">
      <w:pPr>
        <w:spacing w:line="360" w:lineRule="auto"/>
        <w:jc w:val="both"/>
        <w:rPr>
          <w:rFonts w:ascii="Times New Roman" w:hAnsi="Times New Roman" w:cs="Times New Roman"/>
          <w:sz w:val="24"/>
          <w:szCs w:val="24"/>
        </w:rPr>
      </w:pPr>
      <w:r w:rsidRPr="00597357">
        <w:rPr>
          <w:rFonts w:ascii="Times New Roman" w:hAnsi="Times New Roman" w:cs="Times New Roman"/>
          <w:sz w:val="24"/>
          <w:szCs w:val="24"/>
        </w:rPr>
        <w:lastRenderedPageBreak/>
        <w:t>Ainsi, l’UQTR œuvre dans deux grands domaines, connectées à la mission de l’UQ, soit (1) l’éducation universitaire et (2) les services à la communauté</w:t>
      </w:r>
      <w:r w:rsidRPr="00597357">
        <w:rPr>
          <w:rStyle w:val="Appelnotedebasdep"/>
          <w:rFonts w:ascii="Times New Roman" w:hAnsi="Times New Roman" w:cs="Times New Roman"/>
          <w:sz w:val="24"/>
          <w:szCs w:val="24"/>
        </w:rPr>
        <w:footnoteReference w:id="81"/>
      </w:r>
      <w:r w:rsidRPr="00597357">
        <w:rPr>
          <w:rFonts w:ascii="Times New Roman" w:hAnsi="Times New Roman" w:cs="Times New Roman"/>
          <w:sz w:val="24"/>
          <w:szCs w:val="24"/>
        </w:rPr>
        <w:t>. L’organigramme suivant illustre ces deux DAS et leurs sous-parties :</w:t>
      </w:r>
    </w:p>
    <w:p w:rsidR="006E124F" w:rsidRPr="00597357" w:rsidRDefault="006E124F" w:rsidP="006E124F">
      <w:pPr>
        <w:spacing w:line="360" w:lineRule="auto"/>
        <w:jc w:val="both"/>
        <w:rPr>
          <w:rFonts w:ascii="Times New Roman" w:hAnsi="Times New Roman" w:cs="Times New Roman"/>
          <w:sz w:val="24"/>
          <w:szCs w:val="24"/>
        </w:rPr>
      </w:pPr>
      <w:r w:rsidRPr="00597357">
        <w:rPr>
          <w:rFonts w:ascii="Times New Roman" w:hAnsi="Times New Roman" w:cs="Times New Roman"/>
          <w:noProof/>
          <w:sz w:val="24"/>
          <w:szCs w:val="24"/>
          <w:lang w:eastAsia="fr-CA"/>
        </w:rPr>
        <w:drawing>
          <wp:anchor distT="0" distB="0" distL="114300" distR="114300" simplePos="0" relativeHeight="251656704" behindDoc="0" locked="0" layoutInCell="1" allowOverlap="1">
            <wp:simplePos x="0" y="0"/>
            <wp:positionH relativeFrom="column">
              <wp:posOffset>-698500</wp:posOffset>
            </wp:positionH>
            <wp:positionV relativeFrom="paragraph">
              <wp:posOffset>255905</wp:posOffset>
            </wp:positionV>
            <wp:extent cx="6702724" cy="3812876"/>
            <wp:effectExtent l="0" t="0" r="0" b="0"/>
            <wp:wrapNone/>
            <wp:docPr id="3"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anchor>
        </w:drawing>
      </w:r>
    </w:p>
    <w:p w:rsidR="006E124F" w:rsidRPr="00597357" w:rsidRDefault="006E124F" w:rsidP="006E124F">
      <w:pPr>
        <w:spacing w:line="360" w:lineRule="auto"/>
        <w:jc w:val="both"/>
        <w:rPr>
          <w:rFonts w:ascii="Times New Roman" w:hAnsi="Times New Roman" w:cs="Times New Roman"/>
          <w:sz w:val="24"/>
          <w:szCs w:val="24"/>
        </w:rPr>
      </w:pPr>
    </w:p>
    <w:p w:rsidR="006E124F" w:rsidRPr="00597357" w:rsidRDefault="006E124F" w:rsidP="006E124F">
      <w:pPr>
        <w:spacing w:line="360" w:lineRule="auto"/>
        <w:jc w:val="both"/>
        <w:rPr>
          <w:rFonts w:ascii="Times New Roman" w:hAnsi="Times New Roman" w:cs="Times New Roman"/>
          <w:sz w:val="24"/>
          <w:szCs w:val="24"/>
        </w:rPr>
      </w:pPr>
    </w:p>
    <w:p w:rsidR="006E124F" w:rsidRPr="00597357" w:rsidRDefault="006E124F" w:rsidP="006E124F">
      <w:pPr>
        <w:spacing w:line="360" w:lineRule="auto"/>
        <w:jc w:val="both"/>
        <w:rPr>
          <w:rFonts w:ascii="Times New Roman" w:hAnsi="Times New Roman" w:cs="Times New Roman"/>
          <w:sz w:val="24"/>
          <w:szCs w:val="24"/>
        </w:rPr>
      </w:pPr>
    </w:p>
    <w:p w:rsidR="006E124F" w:rsidRPr="00597357" w:rsidRDefault="006E124F" w:rsidP="006E124F">
      <w:pPr>
        <w:spacing w:line="360" w:lineRule="auto"/>
        <w:jc w:val="both"/>
        <w:rPr>
          <w:rFonts w:ascii="Times New Roman" w:hAnsi="Times New Roman" w:cs="Times New Roman"/>
          <w:sz w:val="24"/>
          <w:szCs w:val="24"/>
        </w:rPr>
      </w:pPr>
    </w:p>
    <w:p w:rsidR="006E124F" w:rsidRPr="00597357" w:rsidRDefault="006E124F" w:rsidP="006E124F">
      <w:pPr>
        <w:spacing w:line="360" w:lineRule="auto"/>
        <w:jc w:val="both"/>
        <w:rPr>
          <w:rFonts w:ascii="Times New Roman" w:hAnsi="Times New Roman" w:cs="Times New Roman"/>
          <w:sz w:val="24"/>
          <w:szCs w:val="24"/>
        </w:rPr>
      </w:pPr>
    </w:p>
    <w:p w:rsidR="006E124F" w:rsidRPr="00597357" w:rsidRDefault="006E124F" w:rsidP="006E124F">
      <w:pPr>
        <w:spacing w:line="360" w:lineRule="auto"/>
        <w:jc w:val="both"/>
        <w:rPr>
          <w:rFonts w:ascii="Times New Roman" w:hAnsi="Times New Roman" w:cs="Times New Roman"/>
          <w:sz w:val="24"/>
          <w:szCs w:val="24"/>
        </w:rPr>
      </w:pPr>
    </w:p>
    <w:p w:rsidR="006E124F" w:rsidRPr="00597357" w:rsidRDefault="006E124F" w:rsidP="006E124F">
      <w:pPr>
        <w:spacing w:line="360" w:lineRule="auto"/>
        <w:jc w:val="both"/>
        <w:rPr>
          <w:rFonts w:ascii="Times New Roman" w:hAnsi="Times New Roman" w:cs="Times New Roman"/>
          <w:sz w:val="24"/>
          <w:szCs w:val="24"/>
        </w:rPr>
      </w:pPr>
    </w:p>
    <w:p w:rsidR="006E124F" w:rsidRPr="00597357" w:rsidRDefault="006E124F" w:rsidP="006E124F">
      <w:pPr>
        <w:spacing w:line="360" w:lineRule="auto"/>
        <w:jc w:val="both"/>
        <w:rPr>
          <w:rFonts w:ascii="Times New Roman" w:hAnsi="Times New Roman" w:cs="Times New Roman"/>
          <w:sz w:val="24"/>
          <w:szCs w:val="24"/>
        </w:rPr>
      </w:pPr>
    </w:p>
    <w:p w:rsidR="006E124F" w:rsidRPr="00597357" w:rsidRDefault="006E124F" w:rsidP="006E124F">
      <w:pPr>
        <w:spacing w:line="360" w:lineRule="auto"/>
        <w:jc w:val="both"/>
        <w:rPr>
          <w:rFonts w:ascii="Times New Roman" w:hAnsi="Times New Roman" w:cs="Times New Roman"/>
          <w:sz w:val="24"/>
          <w:szCs w:val="24"/>
        </w:rPr>
      </w:pPr>
    </w:p>
    <w:p w:rsidR="006E124F" w:rsidRPr="00597357" w:rsidRDefault="006E124F" w:rsidP="006E124F">
      <w:pPr>
        <w:spacing w:line="360" w:lineRule="auto"/>
        <w:jc w:val="both"/>
        <w:rPr>
          <w:rFonts w:ascii="Times New Roman" w:hAnsi="Times New Roman" w:cs="Times New Roman"/>
          <w:sz w:val="24"/>
          <w:szCs w:val="24"/>
        </w:rPr>
      </w:pPr>
    </w:p>
    <w:p w:rsidR="006E124F" w:rsidRPr="00597357" w:rsidRDefault="006E124F" w:rsidP="006E124F">
      <w:pPr>
        <w:spacing w:line="360" w:lineRule="auto"/>
        <w:jc w:val="both"/>
        <w:rPr>
          <w:rFonts w:ascii="Times New Roman" w:hAnsi="Times New Roman" w:cs="Times New Roman"/>
          <w:sz w:val="24"/>
          <w:szCs w:val="24"/>
        </w:rPr>
      </w:pPr>
    </w:p>
    <w:p w:rsidR="00AF40DE" w:rsidRDefault="00AF40DE" w:rsidP="006E124F">
      <w:pPr>
        <w:pStyle w:val="Titre3"/>
      </w:pPr>
    </w:p>
    <w:p w:rsidR="006E124F" w:rsidRDefault="006E124F" w:rsidP="006E124F">
      <w:pPr>
        <w:pStyle w:val="Titre3"/>
      </w:pPr>
      <w:bookmarkStart w:id="38" w:name="_Toc417486250"/>
      <w:r>
        <w:t>6.2 Les stratégies génériques</w:t>
      </w:r>
      <w:bookmarkEnd w:id="38"/>
    </w:p>
    <w:p w:rsidR="006E124F" w:rsidRDefault="006E124F" w:rsidP="006E124F">
      <w:pPr>
        <w:pStyle w:val="Titre4"/>
        <w:ind w:left="708"/>
      </w:pPr>
      <w:bookmarkStart w:id="39" w:name="_Toc417486251"/>
      <w:r>
        <w:t xml:space="preserve">6.2.1 </w:t>
      </w:r>
      <w:r w:rsidRPr="00597357">
        <w:t>Stratégie générique de Porter</w:t>
      </w:r>
      <w:bookmarkEnd w:id="39"/>
    </w:p>
    <w:p w:rsidR="006E124F" w:rsidRPr="006E124F" w:rsidRDefault="006E124F" w:rsidP="006E124F"/>
    <w:p w:rsidR="006E124F" w:rsidRDefault="006E124F" w:rsidP="006E124F">
      <w:pPr>
        <w:spacing w:line="360" w:lineRule="auto"/>
        <w:jc w:val="both"/>
        <w:rPr>
          <w:rFonts w:ascii="Times New Roman" w:hAnsi="Times New Roman" w:cs="Times New Roman"/>
          <w:sz w:val="24"/>
          <w:szCs w:val="24"/>
        </w:rPr>
      </w:pPr>
      <w:r w:rsidRPr="00597357">
        <w:rPr>
          <w:rFonts w:ascii="Times New Roman" w:hAnsi="Times New Roman" w:cs="Times New Roman"/>
          <w:sz w:val="24"/>
          <w:szCs w:val="24"/>
        </w:rPr>
        <w:t>Contrairement à ce qui a été mentionné plus haut, nous n’étudierons ici que les stratégies génériques pratiquées actuellement par l’UQTR.</w:t>
      </w:r>
      <w:r w:rsidR="00AF40DE">
        <w:rPr>
          <w:rFonts w:ascii="Times New Roman" w:hAnsi="Times New Roman" w:cs="Times New Roman"/>
          <w:sz w:val="24"/>
          <w:szCs w:val="24"/>
        </w:rPr>
        <w:t xml:space="preserve"> Voir tableau à la page suivante :</w:t>
      </w:r>
    </w:p>
    <w:p w:rsidR="00AF40DE" w:rsidRDefault="00AF40DE" w:rsidP="006E124F">
      <w:pPr>
        <w:spacing w:line="360" w:lineRule="auto"/>
        <w:jc w:val="both"/>
        <w:rPr>
          <w:rFonts w:ascii="Times New Roman" w:hAnsi="Times New Roman" w:cs="Times New Roman"/>
          <w:sz w:val="24"/>
          <w:szCs w:val="24"/>
        </w:rPr>
      </w:pPr>
    </w:p>
    <w:p w:rsidR="00AF40DE" w:rsidRDefault="00AF40DE" w:rsidP="006E124F">
      <w:pPr>
        <w:spacing w:line="360" w:lineRule="auto"/>
        <w:jc w:val="both"/>
        <w:rPr>
          <w:rFonts w:ascii="Times New Roman" w:hAnsi="Times New Roman" w:cs="Times New Roman"/>
          <w:sz w:val="24"/>
          <w:szCs w:val="24"/>
        </w:rPr>
      </w:pPr>
    </w:p>
    <w:tbl>
      <w:tblPr>
        <w:tblStyle w:val="Grilledutableau"/>
        <w:tblW w:w="10349" w:type="dxa"/>
        <w:tblInd w:w="-743" w:type="dxa"/>
        <w:tblLayout w:type="fixed"/>
        <w:tblLook w:val="04A0"/>
      </w:tblPr>
      <w:tblGrid>
        <w:gridCol w:w="1702"/>
        <w:gridCol w:w="1701"/>
        <w:gridCol w:w="142"/>
        <w:gridCol w:w="4677"/>
        <w:gridCol w:w="2127"/>
      </w:tblGrid>
      <w:tr w:rsidR="006E124F" w:rsidRPr="00597357" w:rsidTr="007A7A51">
        <w:tc>
          <w:tcPr>
            <w:tcW w:w="1702" w:type="dxa"/>
            <w:shd w:val="clear" w:color="auto" w:fill="00703C"/>
            <w:vAlign w:val="center"/>
          </w:tcPr>
          <w:p w:rsidR="006E124F" w:rsidRPr="00597357" w:rsidRDefault="006E124F" w:rsidP="007A7A51">
            <w:pPr>
              <w:spacing w:line="360" w:lineRule="auto"/>
              <w:jc w:val="center"/>
              <w:rPr>
                <w:rFonts w:ascii="Times New Roman" w:hAnsi="Times New Roman" w:cs="Times New Roman"/>
                <w:b/>
                <w:color w:val="FFFFFF" w:themeColor="background1"/>
                <w:sz w:val="24"/>
                <w:szCs w:val="24"/>
              </w:rPr>
            </w:pPr>
          </w:p>
        </w:tc>
        <w:tc>
          <w:tcPr>
            <w:tcW w:w="1843" w:type="dxa"/>
            <w:gridSpan w:val="2"/>
            <w:shd w:val="clear" w:color="auto" w:fill="00703C"/>
            <w:vAlign w:val="center"/>
          </w:tcPr>
          <w:p w:rsidR="006E124F" w:rsidRPr="00597357" w:rsidRDefault="006E124F" w:rsidP="007A7A51">
            <w:pPr>
              <w:spacing w:line="360" w:lineRule="auto"/>
              <w:jc w:val="center"/>
              <w:rPr>
                <w:rFonts w:ascii="Times New Roman" w:hAnsi="Times New Roman" w:cs="Times New Roman"/>
                <w:b/>
                <w:color w:val="FFFFFF" w:themeColor="background1"/>
                <w:sz w:val="24"/>
                <w:szCs w:val="24"/>
              </w:rPr>
            </w:pPr>
            <w:r w:rsidRPr="00597357">
              <w:rPr>
                <w:rFonts w:ascii="Times New Roman" w:hAnsi="Times New Roman" w:cs="Times New Roman"/>
                <w:b/>
                <w:color w:val="FFFFFF" w:themeColor="background1"/>
                <w:sz w:val="24"/>
                <w:szCs w:val="24"/>
              </w:rPr>
              <w:t>Prix payé pour le service</w:t>
            </w:r>
          </w:p>
        </w:tc>
        <w:tc>
          <w:tcPr>
            <w:tcW w:w="4677" w:type="dxa"/>
            <w:shd w:val="clear" w:color="auto" w:fill="00703C"/>
            <w:vAlign w:val="center"/>
          </w:tcPr>
          <w:p w:rsidR="006E124F" w:rsidRPr="00597357" w:rsidRDefault="006E124F" w:rsidP="007A7A51">
            <w:pPr>
              <w:spacing w:line="360" w:lineRule="auto"/>
              <w:jc w:val="center"/>
              <w:rPr>
                <w:rFonts w:ascii="Times New Roman" w:hAnsi="Times New Roman" w:cs="Times New Roman"/>
                <w:b/>
                <w:color w:val="FFFFFF" w:themeColor="background1"/>
                <w:sz w:val="24"/>
                <w:szCs w:val="24"/>
              </w:rPr>
            </w:pPr>
            <w:r w:rsidRPr="00597357">
              <w:rPr>
                <w:rFonts w:ascii="Times New Roman" w:hAnsi="Times New Roman" w:cs="Times New Roman"/>
                <w:b/>
                <w:color w:val="FFFFFF" w:themeColor="background1"/>
                <w:sz w:val="24"/>
                <w:szCs w:val="24"/>
              </w:rPr>
              <w:t>Comparatif avec compétiteurs</w:t>
            </w:r>
          </w:p>
        </w:tc>
        <w:tc>
          <w:tcPr>
            <w:tcW w:w="2127" w:type="dxa"/>
            <w:shd w:val="clear" w:color="auto" w:fill="00703C"/>
            <w:vAlign w:val="center"/>
          </w:tcPr>
          <w:p w:rsidR="006E124F" w:rsidRPr="00597357" w:rsidRDefault="006E124F" w:rsidP="007A7A51">
            <w:pPr>
              <w:spacing w:line="360" w:lineRule="auto"/>
              <w:jc w:val="center"/>
              <w:rPr>
                <w:rFonts w:ascii="Times New Roman" w:hAnsi="Times New Roman" w:cs="Times New Roman"/>
                <w:b/>
                <w:color w:val="FFFFFF" w:themeColor="background1"/>
                <w:sz w:val="24"/>
                <w:szCs w:val="24"/>
              </w:rPr>
            </w:pPr>
            <w:r w:rsidRPr="00597357">
              <w:rPr>
                <w:rFonts w:ascii="Times New Roman" w:hAnsi="Times New Roman" w:cs="Times New Roman"/>
                <w:b/>
                <w:color w:val="FFFFFF" w:themeColor="background1"/>
                <w:sz w:val="24"/>
                <w:szCs w:val="24"/>
              </w:rPr>
              <w:t>Stratégie générique</w:t>
            </w:r>
          </w:p>
        </w:tc>
      </w:tr>
      <w:tr w:rsidR="006E124F" w:rsidRPr="00597357" w:rsidTr="007A7A51">
        <w:tc>
          <w:tcPr>
            <w:tcW w:w="10349" w:type="dxa"/>
            <w:gridSpan w:val="5"/>
            <w:shd w:val="clear" w:color="auto" w:fill="00703C"/>
          </w:tcPr>
          <w:p w:rsidR="006E124F" w:rsidRPr="00597357" w:rsidRDefault="006E124F" w:rsidP="007A7A51">
            <w:pPr>
              <w:spacing w:line="360" w:lineRule="auto"/>
              <w:jc w:val="both"/>
              <w:rPr>
                <w:rFonts w:ascii="Times New Roman" w:hAnsi="Times New Roman" w:cs="Times New Roman"/>
                <w:color w:val="FFFFFF" w:themeColor="background1"/>
                <w:sz w:val="24"/>
                <w:szCs w:val="24"/>
              </w:rPr>
            </w:pPr>
            <w:r w:rsidRPr="00597357">
              <w:rPr>
                <w:rFonts w:ascii="Times New Roman" w:hAnsi="Times New Roman" w:cs="Times New Roman"/>
                <w:b/>
                <w:color w:val="FFFFFF" w:themeColor="background1"/>
                <w:sz w:val="24"/>
                <w:szCs w:val="24"/>
              </w:rPr>
              <w:t>DAS 1 – Éducation universitaire</w:t>
            </w:r>
          </w:p>
        </w:tc>
      </w:tr>
      <w:tr w:rsidR="006E124F" w:rsidRPr="00597357" w:rsidTr="007A7A51">
        <w:trPr>
          <w:trHeight w:val="1976"/>
        </w:trPr>
        <w:tc>
          <w:tcPr>
            <w:tcW w:w="1702" w:type="dxa"/>
            <w:shd w:val="clear" w:color="auto" w:fill="C4960C"/>
          </w:tcPr>
          <w:p w:rsidR="006E124F" w:rsidRPr="00597357" w:rsidRDefault="006E124F" w:rsidP="007A7A51">
            <w:pPr>
              <w:jc w:val="both"/>
              <w:rPr>
                <w:rFonts w:ascii="Times New Roman" w:hAnsi="Times New Roman" w:cs="Times New Roman"/>
                <w:sz w:val="24"/>
                <w:szCs w:val="24"/>
              </w:rPr>
            </w:pPr>
            <w:r w:rsidRPr="00597357">
              <w:rPr>
                <w:rFonts w:ascii="Times New Roman" w:hAnsi="Times New Roman" w:cs="Times New Roman"/>
                <w:sz w:val="24"/>
                <w:szCs w:val="24"/>
              </w:rPr>
              <w:t>Éducation universitaire</w:t>
            </w:r>
          </w:p>
        </w:tc>
        <w:tc>
          <w:tcPr>
            <w:tcW w:w="1701" w:type="dxa"/>
          </w:tcPr>
          <w:p w:rsidR="006E124F" w:rsidRPr="00B8562B" w:rsidRDefault="006E124F" w:rsidP="007A7A51">
            <w:pPr>
              <w:rPr>
                <w:rFonts w:ascii="Times New Roman" w:hAnsi="Times New Roman" w:cs="Times New Roman"/>
                <w:sz w:val="24"/>
                <w:szCs w:val="24"/>
                <w:lang w:val="en-CA"/>
              </w:rPr>
            </w:pPr>
            <w:r w:rsidRPr="00597357">
              <w:rPr>
                <w:rFonts w:ascii="Times New Roman" w:hAnsi="Times New Roman" w:cs="Times New Roman"/>
                <w:sz w:val="24"/>
                <w:szCs w:val="24"/>
                <w:lang w:val="en-CA"/>
              </w:rPr>
              <w:t xml:space="preserve">1457$ par </w:t>
            </w:r>
            <w:r w:rsidRPr="00597357">
              <w:rPr>
                <w:rFonts w:ascii="Times New Roman" w:hAnsi="Times New Roman" w:cs="Times New Roman"/>
                <w:sz w:val="24"/>
                <w:szCs w:val="24"/>
              </w:rPr>
              <w:t>session de 15 crédits</w:t>
            </w:r>
          </w:p>
        </w:tc>
        <w:tc>
          <w:tcPr>
            <w:tcW w:w="4819" w:type="dxa"/>
            <w:gridSpan w:val="2"/>
          </w:tcPr>
          <w:tbl>
            <w:tblPr>
              <w:tblW w:w="4575" w:type="dxa"/>
              <w:jc w:val="center"/>
              <w:tblLayout w:type="fixed"/>
              <w:tblCellMar>
                <w:left w:w="70" w:type="dxa"/>
                <w:right w:w="70" w:type="dxa"/>
              </w:tblCellMar>
              <w:tblLook w:val="04A0"/>
            </w:tblPr>
            <w:tblGrid>
              <w:gridCol w:w="1276"/>
              <w:gridCol w:w="1009"/>
              <w:gridCol w:w="1347"/>
              <w:gridCol w:w="943"/>
            </w:tblGrid>
            <w:tr w:rsidR="006E124F" w:rsidRPr="00597357" w:rsidTr="007A7A51">
              <w:trPr>
                <w:trHeight w:val="235"/>
                <w:jc w:val="center"/>
              </w:trPr>
              <w:tc>
                <w:tcPr>
                  <w:tcW w:w="1276" w:type="dxa"/>
                  <w:tcBorders>
                    <w:top w:val="nil"/>
                    <w:left w:val="nil"/>
                    <w:bottom w:val="nil"/>
                    <w:right w:val="nil"/>
                  </w:tcBorders>
                  <w:shd w:val="clear" w:color="auto" w:fill="FFF2CD" w:themeFill="accent3" w:themeFillTint="66"/>
                  <w:noWrap/>
                  <w:vAlign w:val="center"/>
                </w:tcPr>
                <w:p w:rsidR="006E124F" w:rsidRPr="00597357" w:rsidRDefault="006E124F" w:rsidP="007A7A51">
                  <w:pPr>
                    <w:spacing w:after="0" w:line="240" w:lineRule="auto"/>
                    <w:rPr>
                      <w:rFonts w:ascii="Times New Roman" w:eastAsia="Times New Roman" w:hAnsi="Times New Roman" w:cs="Times New Roman"/>
                      <w:color w:val="000000"/>
                      <w:sz w:val="24"/>
                      <w:szCs w:val="24"/>
                      <w:lang w:val="en-CA" w:eastAsia="fr-CA"/>
                    </w:rPr>
                  </w:pPr>
                  <w:proofErr w:type="spellStart"/>
                  <w:r w:rsidRPr="00597357">
                    <w:rPr>
                      <w:rFonts w:ascii="Times New Roman" w:eastAsia="Times New Roman" w:hAnsi="Times New Roman" w:cs="Times New Roman"/>
                      <w:color w:val="000000"/>
                      <w:sz w:val="24"/>
                      <w:szCs w:val="24"/>
                      <w:lang w:val="en-CA" w:eastAsia="fr-CA"/>
                    </w:rPr>
                    <w:t>Université</w:t>
                  </w:r>
                  <w:proofErr w:type="spellEnd"/>
                </w:p>
              </w:tc>
              <w:tc>
                <w:tcPr>
                  <w:tcW w:w="1009" w:type="dxa"/>
                  <w:tcBorders>
                    <w:top w:val="nil"/>
                    <w:left w:val="nil"/>
                    <w:bottom w:val="nil"/>
                    <w:right w:val="single" w:sz="4" w:space="0" w:color="auto"/>
                  </w:tcBorders>
                  <w:shd w:val="clear" w:color="auto" w:fill="FFF2CD" w:themeFill="accent3" w:themeFillTint="66"/>
                  <w:noWrap/>
                  <w:vAlign w:val="bottom"/>
                </w:tcPr>
                <w:p w:rsidR="006E124F" w:rsidRPr="00597357" w:rsidRDefault="006E124F" w:rsidP="007A7A51">
                  <w:pPr>
                    <w:spacing w:after="0" w:line="240" w:lineRule="auto"/>
                    <w:rPr>
                      <w:rFonts w:ascii="Times New Roman" w:eastAsia="Times New Roman" w:hAnsi="Times New Roman" w:cs="Times New Roman"/>
                      <w:color w:val="000000"/>
                      <w:sz w:val="24"/>
                      <w:szCs w:val="24"/>
                      <w:lang w:eastAsia="fr-CA"/>
                    </w:rPr>
                  </w:pPr>
                  <w:r w:rsidRPr="00597357">
                    <w:rPr>
                      <w:rFonts w:ascii="Times New Roman" w:eastAsia="Times New Roman" w:hAnsi="Times New Roman" w:cs="Times New Roman"/>
                      <w:color w:val="000000"/>
                      <w:sz w:val="24"/>
                      <w:szCs w:val="24"/>
                      <w:lang w:eastAsia="fr-CA"/>
                    </w:rPr>
                    <w:t>Prix</w:t>
                  </w:r>
                  <w:r w:rsidRPr="00597357">
                    <w:rPr>
                      <w:rStyle w:val="Appelnotedebasdep"/>
                      <w:rFonts w:ascii="Times New Roman" w:eastAsia="Times New Roman" w:hAnsi="Times New Roman" w:cs="Times New Roman"/>
                      <w:color w:val="000000"/>
                      <w:sz w:val="24"/>
                      <w:szCs w:val="24"/>
                      <w:lang w:eastAsia="fr-CA"/>
                    </w:rPr>
                    <w:footnoteReference w:id="82"/>
                  </w:r>
                </w:p>
              </w:tc>
              <w:tc>
                <w:tcPr>
                  <w:tcW w:w="1347" w:type="dxa"/>
                  <w:tcBorders>
                    <w:top w:val="nil"/>
                    <w:left w:val="single" w:sz="4" w:space="0" w:color="auto"/>
                    <w:bottom w:val="nil"/>
                    <w:right w:val="nil"/>
                  </w:tcBorders>
                  <w:shd w:val="clear" w:color="auto" w:fill="FFF2CD" w:themeFill="accent3" w:themeFillTint="66"/>
                  <w:vAlign w:val="center"/>
                </w:tcPr>
                <w:p w:rsidR="006E124F" w:rsidRPr="00597357" w:rsidRDefault="006E124F" w:rsidP="007A7A51">
                  <w:pPr>
                    <w:spacing w:after="0" w:line="240" w:lineRule="auto"/>
                    <w:ind w:right="-217"/>
                    <w:rPr>
                      <w:rFonts w:ascii="Times New Roman" w:eastAsia="Times New Roman" w:hAnsi="Times New Roman" w:cs="Times New Roman"/>
                      <w:color w:val="000000"/>
                      <w:sz w:val="24"/>
                      <w:szCs w:val="24"/>
                      <w:lang w:val="en-CA" w:eastAsia="fr-CA"/>
                    </w:rPr>
                  </w:pPr>
                  <w:proofErr w:type="spellStart"/>
                  <w:r w:rsidRPr="00597357">
                    <w:rPr>
                      <w:rFonts w:ascii="Times New Roman" w:eastAsia="Times New Roman" w:hAnsi="Times New Roman" w:cs="Times New Roman"/>
                      <w:color w:val="000000"/>
                      <w:sz w:val="24"/>
                      <w:szCs w:val="24"/>
                      <w:lang w:val="en-CA" w:eastAsia="fr-CA"/>
                    </w:rPr>
                    <w:t>Université</w:t>
                  </w:r>
                  <w:proofErr w:type="spellEnd"/>
                </w:p>
              </w:tc>
              <w:tc>
                <w:tcPr>
                  <w:tcW w:w="943" w:type="dxa"/>
                  <w:tcBorders>
                    <w:top w:val="nil"/>
                    <w:left w:val="nil"/>
                    <w:bottom w:val="nil"/>
                    <w:right w:val="nil"/>
                  </w:tcBorders>
                  <w:shd w:val="clear" w:color="auto" w:fill="FFF2CD" w:themeFill="accent3" w:themeFillTint="66"/>
                  <w:vAlign w:val="bottom"/>
                </w:tcPr>
                <w:p w:rsidR="006E124F" w:rsidRPr="00597357" w:rsidRDefault="006E124F" w:rsidP="007A7A51">
                  <w:pPr>
                    <w:spacing w:after="0" w:line="240" w:lineRule="auto"/>
                    <w:ind w:right="-217"/>
                    <w:rPr>
                      <w:rFonts w:ascii="Times New Roman" w:eastAsia="Times New Roman" w:hAnsi="Times New Roman" w:cs="Times New Roman"/>
                      <w:color w:val="000000"/>
                      <w:sz w:val="24"/>
                      <w:szCs w:val="24"/>
                      <w:lang w:eastAsia="fr-CA"/>
                    </w:rPr>
                  </w:pPr>
                  <w:r w:rsidRPr="00597357">
                    <w:rPr>
                      <w:rFonts w:ascii="Times New Roman" w:eastAsia="Times New Roman" w:hAnsi="Times New Roman" w:cs="Times New Roman"/>
                      <w:color w:val="000000"/>
                      <w:sz w:val="24"/>
                      <w:szCs w:val="24"/>
                      <w:lang w:eastAsia="fr-CA"/>
                    </w:rPr>
                    <w:t>Prix</w:t>
                  </w:r>
                </w:p>
              </w:tc>
            </w:tr>
            <w:tr w:rsidR="006E124F" w:rsidRPr="00597357" w:rsidTr="007A7A51">
              <w:trPr>
                <w:trHeight w:val="235"/>
                <w:jc w:val="center"/>
              </w:trPr>
              <w:tc>
                <w:tcPr>
                  <w:tcW w:w="1276" w:type="dxa"/>
                  <w:tcBorders>
                    <w:top w:val="nil"/>
                    <w:left w:val="nil"/>
                    <w:bottom w:val="nil"/>
                    <w:right w:val="nil"/>
                  </w:tcBorders>
                  <w:shd w:val="clear" w:color="auto" w:fill="auto"/>
                  <w:noWrap/>
                  <w:vAlign w:val="center"/>
                  <w:hideMark/>
                </w:tcPr>
                <w:p w:rsidR="006E124F" w:rsidRPr="00597357" w:rsidRDefault="006E124F" w:rsidP="007A7A51">
                  <w:pPr>
                    <w:spacing w:after="0" w:line="240" w:lineRule="auto"/>
                    <w:rPr>
                      <w:rFonts w:ascii="Times New Roman" w:eastAsia="Times New Roman" w:hAnsi="Times New Roman" w:cs="Times New Roman"/>
                      <w:color w:val="000000"/>
                      <w:sz w:val="24"/>
                      <w:szCs w:val="24"/>
                      <w:lang w:eastAsia="fr-CA"/>
                    </w:rPr>
                  </w:pPr>
                  <w:r w:rsidRPr="00597357">
                    <w:rPr>
                      <w:rFonts w:ascii="Times New Roman" w:eastAsia="Times New Roman" w:hAnsi="Times New Roman" w:cs="Times New Roman"/>
                      <w:color w:val="000000"/>
                      <w:sz w:val="24"/>
                      <w:szCs w:val="24"/>
                      <w:lang w:val="en-CA" w:eastAsia="fr-CA"/>
                    </w:rPr>
                    <w:t>McGill</w:t>
                  </w:r>
                </w:p>
              </w:tc>
              <w:tc>
                <w:tcPr>
                  <w:tcW w:w="1009" w:type="dxa"/>
                  <w:tcBorders>
                    <w:top w:val="nil"/>
                    <w:left w:val="nil"/>
                    <w:bottom w:val="nil"/>
                    <w:right w:val="single" w:sz="4" w:space="0" w:color="auto"/>
                  </w:tcBorders>
                  <w:shd w:val="clear" w:color="auto" w:fill="auto"/>
                  <w:noWrap/>
                  <w:vAlign w:val="bottom"/>
                  <w:hideMark/>
                </w:tcPr>
                <w:p w:rsidR="006E124F" w:rsidRPr="00597357" w:rsidRDefault="006E124F" w:rsidP="007A7A51">
                  <w:pPr>
                    <w:spacing w:after="0" w:line="240" w:lineRule="auto"/>
                    <w:rPr>
                      <w:rFonts w:ascii="Times New Roman" w:eastAsia="Times New Roman" w:hAnsi="Times New Roman" w:cs="Times New Roman"/>
                      <w:color w:val="000000"/>
                      <w:sz w:val="24"/>
                      <w:szCs w:val="24"/>
                      <w:lang w:eastAsia="fr-CA"/>
                    </w:rPr>
                  </w:pPr>
                  <w:r w:rsidRPr="00597357">
                    <w:rPr>
                      <w:rFonts w:ascii="Times New Roman" w:eastAsia="Times New Roman" w:hAnsi="Times New Roman" w:cs="Times New Roman"/>
                      <w:color w:val="000000"/>
                      <w:sz w:val="24"/>
                      <w:szCs w:val="24"/>
                      <w:lang w:eastAsia="fr-CA"/>
                    </w:rPr>
                    <w:t>2 062 $</w:t>
                  </w:r>
                </w:p>
              </w:tc>
              <w:tc>
                <w:tcPr>
                  <w:tcW w:w="1347" w:type="dxa"/>
                  <w:tcBorders>
                    <w:top w:val="nil"/>
                    <w:left w:val="single" w:sz="4" w:space="0" w:color="auto"/>
                    <w:bottom w:val="nil"/>
                    <w:right w:val="nil"/>
                  </w:tcBorders>
                  <w:vAlign w:val="center"/>
                </w:tcPr>
                <w:p w:rsidR="006E124F" w:rsidRPr="00597357" w:rsidRDefault="006E124F" w:rsidP="007A7A51">
                  <w:pPr>
                    <w:spacing w:after="0" w:line="240" w:lineRule="auto"/>
                    <w:ind w:right="-217"/>
                    <w:rPr>
                      <w:rFonts w:ascii="Times New Roman" w:eastAsia="Times New Roman" w:hAnsi="Times New Roman" w:cs="Times New Roman"/>
                      <w:color w:val="000000"/>
                      <w:sz w:val="24"/>
                      <w:szCs w:val="24"/>
                      <w:lang w:eastAsia="fr-CA"/>
                    </w:rPr>
                  </w:pPr>
                  <w:proofErr w:type="spellStart"/>
                  <w:r>
                    <w:rPr>
                      <w:rFonts w:ascii="Times New Roman" w:eastAsia="Times New Roman" w:hAnsi="Times New Roman" w:cs="Times New Roman"/>
                      <w:color w:val="000000"/>
                      <w:sz w:val="24"/>
                      <w:szCs w:val="24"/>
                      <w:lang w:val="en-CA" w:eastAsia="fr-CA"/>
                    </w:rPr>
                    <w:t>Ude</w:t>
                  </w:r>
                  <w:r w:rsidRPr="00597357">
                    <w:rPr>
                      <w:rFonts w:ascii="Times New Roman" w:eastAsia="Times New Roman" w:hAnsi="Times New Roman" w:cs="Times New Roman"/>
                      <w:color w:val="000000"/>
                      <w:sz w:val="24"/>
                      <w:szCs w:val="24"/>
                      <w:lang w:val="en-CA" w:eastAsia="fr-CA"/>
                    </w:rPr>
                    <w:t>M</w:t>
                  </w:r>
                  <w:proofErr w:type="spellEnd"/>
                </w:p>
              </w:tc>
              <w:tc>
                <w:tcPr>
                  <w:tcW w:w="943" w:type="dxa"/>
                  <w:tcBorders>
                    <w:top w:val="nil"/>
                    <w:left w:val="nil"/>
                    <w:bottom w:val="nil"/>
                    <w:right w:val="nil"/>
                  </w:tcBorders>
                  <w:vAlign w:val="bottom"/>
                </w:tcPr>
                <w:p w:rsidR="006E124F" w:rsidRPr="00597357" w:rsidRDefault="006E124F" w:rsidP="007A7A51">
                  <w:pPr>
                    <w:spacing w:after="0" w:line="240" w:lineRule="auto"/>
                    <w:ind w:right="-217"/>
                    <w:rPr>
                      <w:rFonts w:ascii="Times New Roman" w:eastAsia="Times New Roman" w:hAnsi="Times New Roman" w:cs="Times New Roman"/>
                      <w:color w:val="000000"/>
                      <w:sz w:val="24"/>
                      <w:szCs w:val="24"/>
                      <w:lang w:eastAsia="fr-CA"/>
                    </w:rPr>
                  </w:pPr>
                  <w:r w:rsidRPr="00597357">
                    <w:rPr>
                      <w:rFonts w:ascii="Times New Roman" w:eastAsia="Times New Roman" w:hAnsi="Times New Roman" w:cs="Times New Roman"/>
                      <w:color w:val="000000"/>
                      <w:sz w:val="24"/>
                      <w:szCs w:val="24"/>
                      <w:lang w:eastAsia="fr-CA"/>
                    </w:rPr>
                    <w:t>1 544 $</w:t>
                  </w:r>
                </w:p>
              </w:tc>
            </w:tr>
            <w:tr w:rsidR="006E124F" w:rsidRPr="00597357" w:rsidTr="007A7A51">
              <w:trPr>
                <w:trHeight w:val="235"/>
                <w:jc w:val="center"/>
              </w:trPr>
              <w:tc>
                <w:tcPr>
                  <w:tcW w:w="1276" w:type="dxa"/>
                  <w:tcBorders>
                    <w:top w:val="nil"/>
                    <w:left w:val="nil"/>
                    <w:bottom w:val="nil"/>
                    <w:right w:val="nil"/>
                  </w:tcBorders>
                  <w:shd w:val="clear" w:color="auto" w:fill="auto"/>
                  <w:noWrap/>
                  <w:vAlign w:val="center"/>
                  <w:hideMark/>
                </w:tcPr>
                <w:p w:rsidR="006E124F" w:rsidRPr="00597357" w:rsidRDefault="006E124F" w:rsidP="007A7A51">
                  <w:pPr>
                    <w:spacing w:after="0" w:line="240" w:lineRule="auto"/>
                    <w:rPr>
                      <w:rFonts w:ascii="Times New Roman" w:eastAsia="Times New Roman" w:hAnsi="Times New Roman" w:cs="Times New Roman"/>
                      <w:color w:val="000000"/>
                      <w:sz w:val="24"/>
                      <w:szCs w:val="24"/>
                      <w:lang w:eastAsia="fr-CA"/>
                    </w:rPr>
                  </w:pPr>
                  <w:r w:rsidRPr="00597357">
                    <w:rPr>
                      <w:rFonts w:ascii="Times New Roman" w:eastAsia="Times New Roman" w:hAnsi="Times New Roman" w:cs="Times New Roman"/>
                      <w:color w:val="000000"/>
                      <w:sz w:val="24"/>
                      <w:szCs w:val="24"/>
                      <w:lang w:val="en-CA" w:eastAsia="fr-CA"/>
                    </w:rPr>
                    <w:t>Concordia</w:t>
                  </w:r>
                </w:p>
              </w:tc>
              <w:tc>
                <w:tcPr>
                  <w:tcW w:w="1009" w:type="dxa"/>
                  <w:tcBorders>
                    <w:top w:val="nil"/>
                    <w:left w:val="nil"/>
                    <w:bottom w:val="nil"/>
                    <w:right w:val="single" w:sz="4" w:space="0" w:color="auto"/>
                  </w:tcBorders>
                  <w:shd w:val="clear" w:color="auto" w:fill="auto"/>
                  <w:noWrap/>
                  <w:vAlign w:val="bottom"/>
                  <w:hideMark/>
                </w:tcPr>
                <w:p w:rsidR="006E124F" w:rsidRPr="00597357" w:rsidRDefault="006E124F" w:rsidP="007A7A51">
                  <w:pPr>
                    <w:spacing w:after="0" w:line="240" w:lineRule="auto"/>
                    <w:rPr>
                      <w:rFonts w:ascii="Times New Roman" w:eastAsia="Times New Roman" w:hAnsi="Times New Roman" w:cs="Times New Roman"/>
                      <w:color w:val="000000"/>
                      <w:sz w:val="24"/>
                      <w:szCs w:val="24"/>
                      <w:lang w:eastAsia="fr-CA"/>
                    </w:rPr>
                  </w:pPr>
                  <w:r w:rsidRPr="00597357">
                    <w:rPr>
                      <w:rFonts w:ascii="Times New Roman" w:eastAsia="Times New Roman" w:hAnsi="Times New Roman" w:cs="Times New Roman"/>
                      <w:color w:val="000000"/>
                      <w:sz w:val="24"/>
                      <w:szCs w:val="24"/>
                      <w:lang w:eastAsia="fr-CA"/>
                    </w:rPr>
                    <w:t>1 883 $</w:t>
                  </w:r>
                </w:p>
              </w:tc>
              <w:tc>
                <w:tcPr>
                  <w:tcW w:w="1347" w:type="dxa"/>
                  <w:tcBorders>
                    <w:top w:val="nil"/>
                    <w:left w:val="single" w:sz="4" w:space="0" w:color="auto"/>
                    <w:bottom w:val="nil"/>
                    <w:right w:val="nil"/>
                  </w:tcBorders>
                  <w:vAlign w:val="center"/>
                </w:tcPr>
                <w:p w:rsidR="006E124F" w:rsidRPr="00597357" w:rsidRDefault="006E124F" w:rsidP="007A7A51">
                  <w:pPr>
                    <w:spacing w:after="0" w:line="240" w:lineRule="auto"/>
                    <w:ind w:right="-217"/>
                    <w:rPr>
                      <w:rFonts w:ascii="Times New Roman" w:eastAsia="Times New Roman" w:hAnsi="Times New Roman" w:cs="Times New Roman"/>
                      <w:color w:val="000000"/>
                      <w:sz w:val="24"/>
                      <w:szCs w:val="24"/>
                      <w:lang w:eastAsia="fr-CA"/>
                    </w:rPr>
                  </w:pPr>
                  <w:r w:rsidRPr="00597357">
                    <w:rPr>
                      <w:rFonts w:ascii="Times New Roman" w:eastAsia="Times New Roman" w:hAnsi="Times New Roman" w:cs="Times New Roman"/>
                      <w:color w:val="000000"/>
                      <w:sz w:val="24"/>
                      <w:szCs w:val="24"/>
                      <w:lang w:eastAsia="fr-CA"/>
                    </w:rPr>
                    <w:t>UQAM</w:t>
                  </w:r>
                </w:p>
              </w:tc>
              <w:tc>
                <w:tcPr>
                  <w:tcW w:w="943" w:type="dxa"/>
                  <w:tcBorders>
                    <w:top w:val="nil"/>
                    <w:left w:val="nil"/>
                    <w:bottom w:val="nil"/>
                    <w:right w:val="nil"/>
                  </w:tcBorders>
                  <w:vAlign w:val="bottom"/>
                </w:tcPr>
                <w:p w:rsidR="006E124F" w:rsidRPr="00597357" w:rsidRDefault="006E124F" w:rsidP="007A7A51">
                  <w:pPr>
                    <w:spacing w:after="0" w:line="240" w:lineRule="auto"/>
                    <w:ind w:right="-217"/>
                    <w:rPr>
                      <w:rFonts w:ascii="Times New Roman" w:eastAsia="Times New Roman" w:hAnsi="Times New Roman" w:cs="Times New Roman"/>
                      <w:color w:val="000000"/>
                      <w:sz w:val="24"/>
                      <w:szCs w:val="24"/>
                      <w:lang w:eastAsia="fr-CA"/>
                    </w:rPr>
                  </w:pPr>
                  <w:r w:rsidRPr="00597357">
                    <w:rPr>
                      <w:rFonts w:ascii="Times New Roman" w:eastAsia="Times New Roman" w:hAnsi="Times New Roman" w:cs="Times New Roman"/>
                      <w:color w:val="000000"/>
                      <w:sz w:val="24"/>
                      <w:szCs w:val="24"/>
                      <w:lang w:eastAsia="fr-CA"/>
                    </w:rPr>
                    <w:t>1 514 $</w:t>
                  </w:r>
                </w:p>
              </w:tc>
            </w:tr>
            <w:tr w:rsidR="006E124F" w:rsidRPr="00597357" w:rsidTr="007A7A51">
              <w:trPr>
                <w:trHeight w:val="235"/>
                <w:jc w:val="center"/>
              </w:trPr>
              <w:tc>
                <w:tcPr>
                  <w:tcW w:w="1276" w:type="dxa"/>
                  <w:tcBorders>
                    <w:top w:val="nil"/>
                    <w:left w:val="nil"/>
                    <w:bottom w:val="nil"/>
                    <w:right w:val="nil"/>
                  </w:tcBorders>
                  <w:shd w:val="clear" w:color="auto" w:fill="auto"/>
                  <w:noWrap/>
                  <w:vAlign w:val="center"/>
                  <w:hideMark/>
                </w:tcPr>
                <w:p w:rsidR="006E124F" w:rsidRPr="00597357" w:rsidRDefault="006E124F" w:rsidP="007A7A51">
                  <w:pPr>
                    <w:spacing w:after="0" w:line="240" w:lineRule="auto"/>
                    <w:rPr>
                      <w:rFonts w:ascii="Times New Roman" w:eastAsia="Times New Roman" w:hAnsi="Times New Roman" w:cs="Times New Roman"/>
                      <w:color w:val="000000"/>
                      <w:sz w:val="24"/>
                      <w:szCs w:val="24"/>
                      <w:lang w:eastAsia="fr-CA"/>
                    </w:rPr>
                  </w:pPr>
                  <w:r w:rsidRPr="00597357">
                    <w:rPr>
                      <w:rFonts w:ascii="Times New Roman" w:eastAsia="Times New Roman" w:hAnsi="Times New Roman" w:cs="Times New Roman"/>
                      <w:color w:val="000000"/>
                      <w:sz w:val="24"/>
                      <w:szCs w:val="24"/>
                      <w:lang w:eastAsia="fr-CA"/>
                    </w:rPr>
                    <w:t>HEC</w:t>
                  </w:r>
                </w:p>
              </w:tc>
              <w:tc>
                <w:tcPr>
                  <w:tcW w:w="1009" w:type="dxa"/>
                  <w:tcBorders>
                    <w:top w:val="nil"/>
                    <w:left w:val="nil"/>
                    <w:bottom w:val="nil"/>
                    <w:right w:val="single" w:sz="4" w:space="0" w:color="auto"/>
                  </w:tcBorders>
                  <w:shd w:val="clear" w:color="auto" w:fill="auto"/>
                  <w:noWrap/>
                  <w:vAlign w:val="bottom"/>
                  <w:hideMark/>
                </w:tcPr>
                <w:p w:rsidR="006E124F" w:rsidRPr="00597357" w:rsidRDefault="006E124F" w:rsidP="007A7A51">
                  <w:pPr>
                    <w:spacing w:after="0" w:line="240" w:lineRule="auto"/>
                    <w:rPr>
                      <w:rFonts w:ascii="Times New Roman" w:eastAsia="Times New Roman" w:hAnsi="Times New Roman" w:cs="Times New Roman"/>
                      <w:color w:val="000000"/>
                      <w:sz w:val="24"/>
                      <w:szCs w:val="24"/>
                      <w:lang w:eastAsia="fr-CA"/>
                    </w:rPr>
                  </w:pPr>
                  <w:r w:rsidRPr="00597357">
                    <w:rPr>
                      <w:rFonts w:ascii="Times New Roman" w:eastAsia="Times New Roman" w:hAnsi="Times New Roman" w:cs="Times New Roman"/>
                      <w:color w:val="000000"/>
                      <w:sz w:val="24"/>
                      <w:szCs w:val="24"/>
                      <w:lang w:eastAsia="fr-CA"/>
                    </w:rPr>
                    <w:t>1 746 $</w:t>
                  </w:r>
                </w:p>
              </w:tc>
              <w:tc>
                <w:tcPr>
                  <w:tcW w:w="1347" w:type="dxa"/>
                  <w:tcBorders>
                    <w:top w:val="nil"/>
                    <w:left w:val="single" w:sz="4" w:space="0" w:color="auto"/>
                    <w:bottom w:val="nil"/>
                    <w:right w:val="nil"/>
                  </w:tcBorders>
                  <w:vAlign w:val="center"/>
                </w:tcPr>
                <w:p w:rsidR="006E124F" w:rsidRPr="00597357" w:rsidRDefault="006E124F" w:rsidP="007A7A51">
                  <w:pPr>
                    <w:spacing w:after="0" w:line="240" w:lineRule="auto"/>
                    <w:ind w:right="-217"/>
                    <w:rPr>
                      <w:rFonts w:ascii="Times New Roman" w:eastAsia="Times New Roman" w:hAnsi="Times New Roman" w:cs="Times New Roman"/>
                      <w:color w:val="000000"/>
                      <w:sz w:val="24"/>
                      <w:szCs w:val="24"/>
                      <w:lang w:eastAsia="fr-CA"/>
                    </w:rPr>
                  </w:pPr>
                  <w:proofErr w:type="spellStart"/>
                  <w:r w:rsidRPr="00597357">
                    <w:rPr>
                      <w:rFonts w:ascii="Times New Roman" w:eastAsia="Times New Roman" w:hAnsi="Times New Roman" w:cs="Times New Roman"/>
                      <w:color w:val="000000"/>
                      <w:sz w:val="24"/>
                      <w:szCs w:val="24"/>
                      <w:lang w:val="en-CA" w:eastAsia="fr-CA"/>
                    </w:rPr>
                    <w:t>ULaval</w:t>
                  </w:r>
                  <w:proofErr w:type="spellEnd"/>
                </w:p>
              </w:tc>
              <w:tc>
                <w:tcPr>
                  <w:tcW w:w="943" w:type="dxa"/>
                  <w:tcBorders>
                    <w:top w:val="nil"/>
                    <w:left w:val="nil"/>
                    <w:bottom w:val="nil"/>
                    <w:right w:val="nil"/>
                  </w:tcBorders>
                  <w:vAlign w:val="bottom"/>
                </w:tcPr>
                <w:p w:rsidR="006E124F" w:rsidRPr="00597357" w:rsidRDefault="006E124F" w:rsidP="007A7A51">
                  <w:pPr>
                    <w:spacing w:after="0" w:line="240" w:lineRule="auto"/>
                    <w:ind w:right="-217"/>
                    <w:rPr>
                      <w:rFonts w:ascii="Times New Roman" w:eastAsia="Times New Roman" w:hAnsi="Times New Roman" w:cs="Times New Roman"/>
                      <w:color w:val="000000"/>
                      <w:sz w:val="24"/>
                      <w:szCs w:val="24"/>
                      <w:lang w:eastAsia="fr-CA"/>
                    </w:rPr>
                  </w:pPr>
                  <w:r w:rsidRPr="00597357">
                    <w:rPr>
                      <w:rFonts w:ascii="Times New Roman" w:eastAsia="Times New Roman" w:hAnsi="Times New Roman" w:cs="Times New Roman"/>
                      <w:color w:val="000000"/>
                      <w:sz w:val="24"/>
                      <w:szCs w:val="24"/>
                      <w:lang w:eastAsia="fr-CA"/>
                    </w:rPr>
                    <w:t>1 457 $</w:t>
                  </w:r>
                </w:p>
              </w:tc>
            </w:tr>
            <w:tr w:rsidR="006E124F" w:rsidRPr="00597357" w:rsidTr="007A7A51">
              <w:trPr>
                <w:trHeight w:val="235"/>
                <w:jc w:val="center"/>
              </w:trPr>
              <w:tc>
                <w:tcPr>
                  <w:tcW w:w="1276" w:type="dxa"/>
                  <w:tcBorders>
                    <w:top w:val="nil"/>
                    <w:left w:val="nil"/>
                    <w:bottom w:val="nil"/>
                    <w:right w:val="nil"/>
                  </w:tcBorders>
                  <w:shd w:val="clear" w:color="auto" w:fill="auto"/>
                  <w:noWrap/>
                  <w:vAlign w:val="center"/>
                  <w:hideMark/>
                </w:tcPr>
                <w:p w:rsidR="006E124F" w:rsidRPr="00597357" w:rsidRDefault="006E124F" w:rsidP="007A7A51">
                  <w:pPr>
                    <w:spacing w:after="0" w:line="240" w:lineRule="auto"/>
                    <w:rPr>
                      <w:rFonts w:ascii="Times New Roman" w:eastAsia="Times New Roman" w:hAnsi="Times New Roman" w:cs="Times New Roman"/>
                      <w:color w:val="000000"/>
                      <w:sz w:val="24"/>
                      <w:szCs w:val="24"/>
                      <w:lang w:eastAsia="fr-CA"/>
                    </w:rPr>
                  </w:pPr>
                  <w:r w:rsidRPr="00597357">
                    <w:rPr>
                      <w:rFonts w:ascii="Times New Roman" w:eastAsia="Times New Roman" w:hAnsi="Times New Roman" w:cs="Times New Roman"/>
                      <w:color w:val="000000"/>
                      <w:sz w:val="24"/>
                      <w:szCs w:val="24"/>
                      <w:lang w:val="en-CA" w:eastAsia="fr-CA"/>
                    </w:rPr>
                    <w:t>Bishop</w:t>
                  </w:r>
                </w:p>
              </w:tc>
              <w:tc>
                <w:tcPr>
                  <w:tcW w:w="1009" w:type="dxa"/>
                  <w:tcBorders>
                    <w:top w:val="nil"/>
                    <w:left w:val="nil"/>
                    <w:bottom w:val="nil"/>
                    <w:right w:val="single" w:sz="4" w:space="0" w:color="auto"/>
                  </w:tcBorders>
                  <w:shd w:val="clear" w:color="auto" w:fill="auto"/>
                  <w:noWrap/>
                  <w:vAlign w:val="bottom"/>
                  <w:hideMark/>
                </w:tcPr>
                <w:p w:rsidR="006E124F" w:rsidRPr="00597357" w:rsidRDefault="006E124F" w:rsidP="007A7A51">
                  <w:pPr>
                    <w:spacing w:after="0" w:line="240" w:lineRule="auto"/>
                    <w:rPr>
                      <w:rFonts w:ascii="Times New Roman" w:eastAsia="Times New Roman" w:hAnsi="Times New Roman" w:cs="Times New Roman"/>
                      <w:color w:val="000000"/>
                      <w:sz w:val="24"/>
                      <w:szCs w:val="24"/>
                      <w:lang w:eastAsia="fr-CA"/>
                    </w:rPr>
                  </w:pPr>
                  <w:r w:rsidRPr="00597357">
                    <w:rPr>
                      <w:rFonts w:ascii="Times New Roman" w:eastAsia="Times New Roman" w:hAnsi="Times New Roman" w:cs="Times New Roman"/>
                      <w:color w:val="000000"/>
                      <w:sz w:val="24"/>
                      <w:szCs w:val="24"/>
                      <w:lang w:eastAsia="fr-CA"/>
                    </w:rPr>
                    <w:t>1 668 $</w:t>
                  </w:r>
                </w:p>
              </w:tc>
              <w:tc>
                <w:tcPr>
                  <w:tcW w:w="1347" w:type="dxa"/>
                  <w:tcBorders>
                    <w:top w:val="nil"/>
                    <w:left w:val="single" w:sz="4" w:space="0" w:color="auto"/>
                    <w:bottom w:val="nil"/>
                    <w:right w:val="nil"/>
                  </w:tcBorders>
                  <w:shd w:val="clear" w:color="auto" w:fill="FFFF00"/>
                  <w:vAlign w:val="center"/>
                </w:tcPr>
                <w:p w:rsidR="006E124F" w:rsidRPr="00597357" w:rsidRDefault="006E124F" w:rsidP="007A7A51">
                  <w:pPr>
                    <w:spacing w:after="0" w:line="240" w:lineRule="auto"/>
                    <w:ind w:right="-217"/>
                    <w:rPr>
                      <w:rFonts w:ascii="Times New Roman" w:eastAsia="Times New Roman" w:hAnsi="Times New Roman" w:cs="Times New Roman"/>
                      <w:color w:val="000000"/>
                      <w:sz w:val="24"/>
                      <w:szCs w:val="24"/>
                      <w:lang w:eastAsia="fr-CA"/>
                    </w:rPr>
                  </w:pPr>
                  <w:r w:rsidRPr="00597357">
                    <w:rPr>
                      <w:rFonts w:ascii="Times New Roman" w:eastAsia="Times New Roman" w:hAnsi="Times New Roman" w:cs="Times New Roman"/>
                      <w:color w:val="000000"/>
                      <w:sz w:val="24"/>
                      <w:szCs w:val="24"/>
                      <w:lang w:val="en-CA" w:eastAsia="fr-CA"/>
                    </w:rPr>
                    <w:t>UQTR</w:t>
                  </w:r>
                </w:p>
              </w:tc>
              <w:tc>
                <w:tcPr>
                  <w:tcW w:w="943" w:type="dxa"/>
                  <w:tcBorders>
                    <w:top w:val="nil"/>
                    <w:left w:val="nil"/>
                    <w:bottom w:val="nil"/>
                    <w:right w:val="nil"/>
                  </w:tcBorders>
                  <w:shd w:val="clear" w:color="auto" w:fill="FFFF00"/>
                  <w:vAlign w:val="bottom"/>
                </w:tcPr>
                <w:p w:rsidR="006E124F" w:rsidRPr="00597357" w:rsidRDefault="006E124F" w:rsidP="007A7A51">
                  <w:pPr>
                    <w:spacing w:after="0" w:line="240" w:lineRule="auto"/>
                    <w:ind w:right="-217"/>
                    <w:rPr>
                      <w:rFonts w:ascii="Times New Roman" w:eastAsia="Times New Roman" w:hAnsi="Times New Roman" w:cs="Times New Roman"/>
                      <w:color w:val="000000"/>
                      <w:sz w:val="24"/>
                      <w:szCs w:val="24"/>
                      <w:lang w:eastAsia="fr-CA"/>
                    </w:rPr>
                  </w:pPr>
                  <w:r w:rsidRPr="00597357">
                    <w:rPr>
                      <w:rFonts w:ascii="Times New Roman" w:eastAsia="Times New Roman" w:hAnsi="Times New Roman" w:cs="Times New Roman"/>
                      <w:color w:val="000000"/>
                      <w:sz w:val="24"/>
                      <w:szCs w:val="24"/>
                      <w:lang w:eastAsia="fr-CA"/>
                    </w:rPr>
                    <w:t>1 457 $</w:t>
                  </w:r>
                </w:p>
              </w:tc>
            </w:tr>
            <w:tr w:rsidR="006E124F" w:rsidRPr="00597357" w:rsidTr="007A7A51">
              <w:trPr>
                <w:trHeight w:val="235"/>
                <w:jc w:val="center"/>
              </w:trPr>
              <w:tc>
                <w:tcPr>
                  <w:tcW w:w="1276" w:type="dxa"/>
                  <w:tcBorders>
                    <w:top w:val="nil"/>
                    <w:left w:val="nil"/>
                    <w:bottom w:val="nil"/>
                    <w:right w:val="nil"/>
                  </w:tcBorders>
                  <w:shd w:val="clear" w:color="auto" w:fill="auto"/>
                  <w:noWrap/>
                  <w:vAlign w:val="center"/>
                </w:tcPr>
                <w:p w:rsidR="006E124F" w:rsidRPr="00597357" w:rsidRDefault="006E124F" w:rsidP="007A7A51">
                  <w:pPr>
                    <w:spacing w:after="0" w:line="240" w:lineRule="auto"/>
                    <w:rPr>
                      <w:rFonts w:ascii="Times New Roman" w:eastAsia="Times New Roman" w:hAnsi="Times New Roman" w:cs="Times New Roman"/>
                      <w:color w:val="000000"/>
                      <w:sz w:val="24"/>
                      <w:szCs w:val="24"/>
                      <w:lang w:val="en-CA" w:eastAsia="fr-CA"/>
                    </w:rPr>
                  </w:pPr>
                </w:p>
              </w:tc>
              <w:tc>
                <w:tcPr>
                  <w:tcW w:w="1009" w:type="dxa"/>
                  <w:tcBorders>
                    <w:top w:val="nil"/>
                    <w:left w:val="nil"/>
                    <w:bottom w:val="nil"/>
                    <w:right w:val="single" w:sz="4" w:space="0" w:color="auto"/>
                  </w:tcBorders>
                  <w:shd w:val="clear" w:color="auto" w:fill="auto"/>
                  <w:noWrap/>
                  <w:vAlign w:val="bottom"/>
                </w:tcPr>
                <w:p w:rsidR="006E124F" w:rsidRPr="00597357" w:rsidRDefault="006E124F" w:rsidP="007A7A51">
                  <w:pPr>
                    <w:spacing w:after="0" w:line="240" w:lineRule="auto"/>
                    <w:rPr>
                      <w:rFonts w:ascii="Times New Roman" w:eastAsia="Times New Roman" w:hAnsi="Times New Roman" w:cs="Times New Roman"/>
                      <w:color w:val="000000"/>
                      <w:sz w:val="24"/>
                      <w:szCs w:val="24"/>
                      <w:lang w:eastAsia="fr-CA"/>
                    </w:rPr>
                  </w:pPr>
                </w:p>
              </w:tc>
              <w:tc>
                <w:tcPr>
                  <w:tcW w:w="1347" w:type="dxa"/>
                  <w:tcBorders>
                    <w:top w:val="nil"/>
                    <w:left w:val="single" w:sz="4" w:space="0" w:color="auto"/>
                    <w:bottom w:val="nil"/>
                    <w:right w:val="nil"/>
                  </w:tcBorders>
                  <w:vAlign w:val="center"/>
                </w:tcPr>
                <w:p w:rsidR="006E124F" w:rsidRPr="00597357" w:rsidRDefault="006E124F" w:rsidP="007A7A51">
                  <w:pPr>
                    <w:spacing w:after="0" w:line="240" w:lineRule="auto"/>
                    <w:ind w:right="-217"/>
                    <w:rPr>
                      <w:rFonts w:ascii="Times New Roman" w:eastAsia="Times New Roman" w:hAnsi="Times New Roman" w:cs="Times New Roman"/>
                      <w:color w:val="000000"/>
                      <w:sz w:val="24"/>
                      <w:szCs w:val="24"/>
                      <w:lang w:eastAsia="fr-CA"/>
                    </w:rPr>
                  </w:pPr>
                  <w:proofErr w:type="spellStart"/>
                  <w:r w:rsidRPr="00597357">
                    <w:rPr>
                      <w:rFonts w:ascii="Times New Roman" w:eastAsia="Times New Roman" w:hAnsi="Times New Roman" w:cs="Times New Roman"/>
                      <w:color w:val="000000"/>
                      <w:sz w:val="24"/>
                      <w:szCs w:val="24"/>
                      <w:lang w:val="en-CA" w:eastAsia="fr-CA"/>
                    </w:rPr>
                    <w:t>USherbrooke</w:t>
                  </w:r>
                  <w:proofErr w:type="spellEnd"/>
                </w:p>
              </w:tc>
              <w:tc>
                <w:tcPr>
                  <w:tcW w:w="943" w:type="dxa"/>
                  <w:tcBorders>
                    <w:top w:val="nil"/>
                    <w:left w:val="nil"/>
                    <w:bottom w:val="nil"/>
                    <w:right w:val="nil"/>
                  </w:tcBorders>
                  <w:vAlign w:val="bottom"/>
                </w:tcPr>
                <w:p w:rsidR="006E124F" w:rsidRPr="00597357" w:rsidRDefault="006E124F" w:rsidP="007A7A51">
                  <w:pPr>
                    <w:spacing w:after="0" w:line="240" w:lineRule="auto"/>
                    <w:ind w:right="-217"/>
                    <w:rPr>
                      <w:rFonts w:ascii="Times New Roman" w:eastAsia="Times New Roman" w:hAnsi="Times New Roman" w:cs="Times New Roman"/>
                      <w:color w:val="000000"/>
                      <w:sz w:val="24"/>
                      <w:szCs w:val="24"/>
                      <w:lang w:eastAsia="fr-CA"/>
                    </w:rPr>
                  </w:pPr>
                  <w:r w:rsidRPr="00597357">
                    <w:rPr>
                      <w:rFonts w:ascii="Times New Roman" w:eastAsia="Times New Roman" w:hAnsi="Times New Roman" w:cs="Times New Roman"/>
                      <w:color w:val="000000"/>
                      <w:sz w:val="24"/>
                      <w:szCs w:val="24"/>
                      <w:lang w:eastAsia="fr-CA"/>
                    </w:rPr>
                    <w:t>1 430 $</w:t>
                  </w:r>
                </w:p>
              </w:tc>
            </w:tr>
          </w:tbl>
          <w:p w:rsidR="006E124F" w:rsidRPr="00597357" w:rsidRDefault="006E124F" w:rsidP="007A7A51">
            <w:pPr>
              <w:rPr>
                <w:rFonts w:ascii="Times New Roman" w:hAnsi="Times New Roman" w:cs="Times New Roman"/>
                <w:sz w:val="24"/>
                <w:szCs w:val="24"/>
              </w:rPr>
            </w:pPr>
          </w:p>
        </w:tc>
        <w:tc>
          <w:tcPr>
            <w:tcW w:w="2127" w:type="dxa"/>
          </w:tcPr>
          <w:p w:rsidR="006E124F" w:rsidRPr="00597357" w:rsidRDefault="006E124F" w:rsidP="007A7A51">
            <w:pPr>
              <w:rPr>
                <w:rFonts w:ascii="Times New Roman" w:hAnsi="Times New Roman" w:cs="Times New Roman"/>
                <w:sz w:val="24"/>
                <w:szCs w:val="24"/>
              </w:rPr>
            </w:pPr>
            <w:r w:rsidRPr="00597357">
              <w:rPr>
                <w:rFonts w:ascii="Times New Roman" w:hAnsi="Times New Roman" w:cs="Times New Roman"/>
                <w:sz w:val="24"/>
                <w:szCs w:val="24"/>
              </w:rPr>
              <w:t>Domination par les coûts.</w:t>
            </w:r>
          </w:p>
        </w:tc>
      </w:tr>
      <w:tr w:rsidR="006E124F" w:rsidRPr="00597357" w:rsidTr="007A7A51">
        <w:tc>
          <w:tcPr>
            <w:tcW w:w="10349" w:type="dxa"/>
            <w:gridSpan w:val="5"/>
            <w:shd w:val="clear" w:color="auto" w:fill="00703C"/>
          </w:tcPr>
          <w:p w:rsidR="006E124F" w:rsidRPr="00597357" w:rsidRDefault="006E124F" w:rsidP="007A7A51">
            <w:pPr>
              <w:jc w:val="both"/>
              <w:rPr>
                <w:rFonts w:ascii="Times New Roman" w:hAnsi="Times New Roman" w:cs="Times New Roman"/>
                <w:color w:val="FFFFFF" w:themeColor="background1"/>
                <w:sz w:val="24"/>
                <w:szCs w:val="24"/>
              </w:rPr>
            </w:pPr>
            <w:r w:rsidRPr="00597357">
              <w:rPr>
                <w:rFonts w:ascii="Times New Roman" w:hAnsi="Times New Roman" w:cs="Times New Roman"/>
                <w:b/>
                <w:color w:val="FFFFFF" w:themeColor="background1"/>
                <w:sz w:val="24"/>
                <w:szCs w:val="24"/>
              </w:rPr>
              <w:t>DAS 2 – services à la communauté par domaines</w:t>
            </w:r>
          </w:p>
        </w:tc>
      </w:tr>
      <w:tr w:rsidR="006E124F" w:rsidRPr="00597357" w:rsidTr="007A7A51">
        <w:tc>
          <w:tcPr>
            <w:tcW w:w="1702" w:type="dxa"/>
            <w:shd w:val="clear" w:color="auto" w:fill="C4960C"/>
          </w:tcPr>
          <w:p w:rsidR="006E124F" w:rsidRPr="00597357" w:rsidRDefault="006E124F" w:rsidP="007A7A51">
            <w:pPr>
              <w:jc w:val="both"/>
              <w:rPr>
                <w:rFonts w:ascii="Times New Roman" w:hAnsi="Times New Roman" w:cs="Times New Roman"/>
                <w:sz w:val="24"/>
                <w:szCs w:val="24"/>
              </w:rPr>
            </w:pPr>
            <w:r w:rsidRPr="00597357">
              <w:rPr>
                <w:rFonts w:ascii="Times New Roman" w:hAnsi="Times New Roman" w:cs="Times New Roman"/>
                <w:sz w:val="24"/>
                <w:szCs w:val="24"/>
              </w:rPr>
              <w:t>CAPS</w:t>
            </w:r>
          </w:p>
        </w:tc>
        <w:tc>
          <w:tcPr>
            <w:tcW w:w="1701" w:type="dxa"/>
          </w:tcPr>
          <w:p w:rsidR="006E124F" w:rsidRPr="00597357" w:rsidRDefault="006E124F" w:rsidP="007A7A51">
            <w:pPr>
              <w:spacing w:after="200" w:line="360" w:lineRule="auto"/>
              <w:jc w:val="both"/>
              <w:rPr>
                <w:rFonts w:ascii="Times New Roman" w:hAnsi="Times New Roman" w:cs="Times New Roman"/>
                <w:sz w:val="24"/>
                <w:szCs w:val="24"/>
              </w:rPr>
            </w:pPr>
            <w:r w:rsidRPr="00597357">
              <w:rPr>
                <w:rFonts w:ascii="Times New Roman" w:hAnsi="Times New Roman" w:cs="Times New Roman"/>
                <w:sz w:val="24"/>
                <w:szCs w:val="24"/>
              </w:rPr>
              <w:t>521$/1 an</w:t>
            </w:r>
          </w:p>
        </w:tc>
        <w:tc>
          <w:tcPr>
            <w:tcW w:w="4819" w:type="dxa"/>
            <w:gridSpan w:val="2"/>
          </w:tcPr>
          <w:tbl>
            <w:tblPr>
              <w:tblW w:w="4144" w:type="dxa"/>
              <w:tblLayout w:type="fixed"/>
              <w:tblCellMar>
                <w:left w:w="70" w:type="dxa"/>
                <w:right w:w="70" w:type="dxa"/>
              </w:tblCellMar>
              <w:tblLook w:val="04A0"/>
            </w:tblPr>
            <w:tblGrid>
              <w:gridCol w:w="1309"/>
              <w:gridCol w:w="993"/>
              <w:gridCol w:w="850"/>
              <w:gridCol w:w="979"/>
              <w:gridCol w:w="13"/>
            </w:tblGrid>
            <w:tr w:rsidR="006E124F" w:rsidRPr="00597357" w:rsidTr="0062135B">
              <w:trPr>
                <w:gridAfter w:val="1"/>
                <w:wAfter w:w="13" w:type="dxa"/>
                <w:trHeight w:val="269"/>
              </w:trPr>
              <w:tc>
                <w:tcPr>
                  <w:tcW w:w="1309" w:type="dxa"/>
                  <w:tcBorders>
                    <w:top w:val="nil"/>
                    <w:left w:val="nil"/>
                    <w:bottom w:val="nil"/>
                    <w:right w:val="nil"/>
                  </w:tcBorders>
                  <w:shd w:val="clear" w:color="auto" w:fill="FFF2CD" w:themeFill="accent3" w:themeFillTint="66"/>
                  <w:noWrap/>
                  <w:vAlign w:val="center"/>
                  <w:hideMark/>
                </w:tcPr>
                <w:p w:rsidR="006E124F" w:rsidRPr="00597357" w:rsidRDefault="006E124F" w:rsidP="007A7A51">
                  <w:pPr>
                    <w:spacing w:after="0" w:line="240" w:lineRule="auto"/>
                    <w:ind w:right="-211"/>
                    <w:jc w:val="both"/>
                    <w:rPr>
                      <w:rFonts w:ascii="Times New Roman" w:eastAsia="Times New Roman" w:hAnsi="Times New Roman" w:cs="Times New Roman"/>
                      <w:iCs/>
                      <w:color w:val="000000"/>
                      <w:sz w:val="24"/>
                      <w:szCs w:val="24"/>
                      <w:lang w:eastAsia="fr-CA"/>
                    </w:rPr>
                  </w:pPr>
                  <w:r w:rsidRPr="00597357">
                    <w:rPr>
                      <w:rFonts w:ascii="Times New Roman" w:eastAsia="Times New Roman" w:hAnsi="Times New Roman" w:cs="Times New Roman"/>
                      <w:iCs/>
                      <w:color w:val="000000"/>
                      <w:sz w:val="24"/>
                      <w:szCs w:val="24"/>
                      <w:lang w:eastAsia="fr-CA"/>
                    </w:rPr>
                    <w:t>Centre</w:t>
                  </w:r>
                </w:p>
              </w:tc>
              <w:tc>
                <w:tcPr>
                  <w:tcW w:w="993" w:type="dxa"/>
                  <w:tcBorders>
                    <w:top w:val="nil"/>
                    <w:left w:val="nil"/>
                    <w:bottom w:val="nil"/>
                    <w:right w:val="single" w:sz="4" w:space="0" w:color="auto"/>
                  </w:tcBorders>
                  <w:shd w:val="clear" w:color="auto" w:fill="FFF2CD" w:themeFill="accent3" w:themeFillTint="66"/>
                  <w:noWrap/>
                  <w:vAlign w:val="bottom"/>
                  <w:hideMark/>
                </w:tcPr>
                <w:p w:rsidR="006E124F" w:rsidRPr="00597357" w:rsidRDefault="006E124F" w:rsidP="007A7A51">
                  <w:pPr>
                    <w:spacing w:after="0" w:line="240" w:lineRule="auto"/>
                    <w:ind w:right="-211"/>
                    <w:jc w:val="both"/>
                    <w:rPr>
                      <w:rFonts w:ascii="Times New Roman" w:eastAsia="Times New Roman" w:hAnsi="Times New Roman" w:cs="Times New Roman"/>
                      <w:bCs/>
                      <w:color w:val="000000"/>
                      <w:sz w:val="24"/>
                      <w:szCs w:val="24"/>
                      <w:lang w:eastAsia="fr-CA"/>
                    </w:rPr>
                  </w:pPr>
                  <w:r w:rsidRPr="00597357">
                    <w:rPr>
                      <w:rFonts w:ascii="Times New Roman" w:eastAsia="Times New Roman" w:hAnsi="Times New Roman" w:cs="Times New Roman"/>
                      <w:bCs/>
                      <w:color w:val="000000"/>
                      <w:sz w:val="24"/>
                      <w:szCs w:val="24"/>
                      <w:lang w:eastAsia="fr-CA"/>
                    </w:rPr>
                    <w:t xml:space="preserve">Prix </w:t>
                  </w:r>
                  <w:proofErr w:type="spellStart"/>
                  <w:r w:rsidRPr="00597357">
                    <w:rPr>
                      <w:rFonts w:ascii="Times New Roman" w:eastAsia="Times New Roman" w:hAnsi="Times New Roman" w:cs="Times New Roman"/>
                      <w:bCs/>
                      <w:color w:val="000000"/>
                      <w:sz w:val="24"/>
                      <w:szCs w:val="24"/>
                      <w:lang w:eastAsia="fr-CA"/>
                    </w:rPr>
                    <w:t>rég</w:t>
                  </w:r>
                  <w:proofErr w:type="spellEnd"/>
                  <w:r w:rsidRPr="00597357">
                    <w:rPr>
                      <w:rFonts w:ascii="Times New Roman" w:eastAsia="Times New Roman" w:hAnsi="Times New Roman" w:cs="Times New Roman"/>
                      <w:bCs/>
                      <w:color w:val="000000"/>
                      <w:sz w:val="24"/>
                      <w:szCs w:val="24"/>
                      <w:lang w:eastAsia="fr-CA"/>
                    </w:rPr>
                    <w:t>.</w:t>
                  </w:r>
                </w:p>
              </w:tc>
              <w:tc>
                <w:tcPr>
                  <w:tcW w:w="850" w:type="dxa"/>
                  <w:tcBorders>
                    <w:top w:val="nil"/>
                    <w:left w:val="single" w:sz="4" w:space="0" w:color="auto"/>
                    <w:bottom w:val="nil"/>
                    <w:right w:val="nil"/>
                  </w:tcBorders>
                  <w:shd w:val="clear" w:color="auto" w:fill="FFF2CD" w:themeFill="accent3" w:themeFillTint="66"/>
                  <w:vAlign w:val="center"/>
                </w:tcPr>
                <w:p w:rsidR="006E124F" w:rsidRPr="00597357" w:rsidRDefault="006E124F" w:rsidP="007A7A51">
                  <w:pPr>
                    <w:spacing w:after="0" w:line="240" w:lineRule="auto"/>
                    <w:ind w:right="-86"/>
                    <w:rPr>
                      <w:rFonts w:ascii="Times New Roman" w:eastAsia="Times New Roman" w:hAnsi="Times New Roman" w:cs="Times New Roman"/>
                      <w:iCs/>
                      <w:color w:val="000000"/>
                      <w:sz w:val="24"/>
                      <w:szCs w:val="24"/>
                      <w:lang w:eastAsia="fr-CA"/>
                    </w:rPr>
                  </w:pPr>
                  <w:r w:rsidRPr="00597357">
                    <w:rPr>
                      <w:rFonts w:ascii="Times New Roman" w:eastAsia="Times New Roman" w:hAnsi="Times New Roman" w:cs="Times New Roman"/>
                      <w:iCs/>
                      <w:color w:val="000000"/>
                      <w:sz w:val="24"/>
                      <w:szCs w:val="24"/>
                      <w:lang w:eastAsia="fr-CA"/>
                    </w:rPr>
                    <w:t>Centre</w:t>
                  </w:r>
                </w:p>
              </w:tc>
              <w:tc>
                <w:tcPr>
                  <w:tcW w:w="979" w:type="dxa"/>
                  <w:tcBorders>
                    <w:top w:val="nil"/>
                    <w:left w:val="nil"/>
                    <w:bottom w:val="nil"/>
                    <w:right w:val="nil"/>
                  </w:tcBorders>
                  <w:shd w:val="clear" w:color="auto" w:fill="FFF2CD" w:themeFill="accent3" w:themeFillTint="66"/>
                  <w:vAlign w:val="bottom"/>
                </w:tcPr>
                <w:p w:rsidR="006E124F" w:rsidRPr="00597357" w:rsidRDefault="006E124F" w:rsidP="007A7A51">
                  <w:pPr>
                    <w:spacing w:after="0" w:line="240" w:lineRule="auto"/>
                    <w:ind w:right="-86"/>
                    <w:rPr>
                      <w:rFonts w:ascii="Times New Roman" w:eastAsia="Times New Roman" w:hAnsi="Times New Roman" w:cs="Times New Roman"/>
                      <w:bCs/>
                      <w:color w:val="000000"/>
                      <w:sz w:val="24"/>
                      <w:szCs w:val="24"/>
                      <w:lang w:eastAsia="fr-CA"/>
                    </w:rPr>
                  </w:pPr>
                  <w:r w:rsidRPr="00597357">
                    <w:rPr>
                      <w:rFonts w:ascii="Times New Roman" w:eastAsia="Times New Roman" w:hAnsi="Times New Roman" w:cs="Times New Roman"/>
                      <w:bCs/>
                      <w:color w:val="000000"/>
                      <w:sz w:val="24"/>
                      <w:szCs w:val="24"/>
                      <w:lang w:eastAsia="fr-CA"/>
                    </w:rPr>
                    <w:t xml:space="preserve">Prix </w:t>
                  </w:r>
                  <w:proofErr w:type="spellStart"/>
                  <w:r w:rsidRPr="00597357">
                    <w:rPr>
                      <w:rFonts w:ascii="Times New Roman" w:eastAsia="Times New Roman" w:hAnsi="Times New Roman" w:cs="Times New Roman"/>
                      <w:bCs/>
                      <w:color w:val="000000"/>
                      <w:sz w:val="24"/>
                      <w:szCs w:val="24"/>
                      <w:lang w:eastAsia="fr-CA"/>
                    </w:rPr>
                    <w:t>rég</w:t>
                  </w:r>
                  <w:proofErr w:type="spellEnd"/>
                  <w:r w:rsidRPr="00597357">
                    <w:rPr>
                      <w:rFonts w:ascii="Times New Roman" w:eastAsia="Times New Roman" w:hAnsi="Times New Roman" w:cs="Times New Roman"/>
                      <w:bCs/>
                      <w:color w:val="000000"/>
                      <w:sz w:val="24"/>
                      <w:szCs w:val="24"/>
                      <w:lang w:eastAsia="fr-CA"/>
                    </w:rPr>
                    <w:t>.</w:t>
                  </w:r>
                </w:p>
              </w:tc>
            </w:tr>
            <w:tr w:rsidR="006E124F" w:rsidRPr="00597357" w:rsidTr="0062135B">
              <w:trPr>
                <w:trHeight w:val="269"/>
              </w:trPr>
              <w:tc>
                <w:tcPr>
                  <w:tcW w:w="1309" w:type="dxa"/>
                  <w:tcBorders>
                    <w:top w:val="nil"/>
                    <w:left w:val="nil"/>
                    <w:bottom w:val="nil"/>
                    <w:right w:val="nil"/>
                  </w:tcBorders>
                  <w:shd w:val="clear" w:color="auto" w:fill="auto"/>
                  <w:noWrap/>
                  <w:vAlign w:val="bottom"/>
                  <w:hideMark/>
                </w:tcPr>
                <w:p w:rsidR="006E124F" w:rsidRPr="0062135B" w:rsidRDefault="006E124F" w:rsidP="007A7A51">
                  <w:pPr>
                    <w:spacing w:after="0" w:line="240" w:lineRule="auto"/>
                    <w:ind w:right="-211"/>
                    <w:jc w:val="both"/>
                    <w:rPr>
                      <w:rFonts w:ascii="Times New Roman" w:eastAsia="Times New Roman" w:hAnsi="Times New Roman" w:cs="Times New Roman"/>
                      <w:sz w:val="24"/>
                      <w:szCs w:val="24"/>
                      <w:lang w:eastAsia="fr-CA"/>
                    </w:rPr>
                  </w:pPr>
                  <w:r w:rsidRPr="0062135B">
                    <w:rPr>
                      <w:rFonts w:ascii="Times New Roman" w:eastAsia="Times New Roman" w:hAnsi="Times New Roman" w:cs="Times New Roman"/>
                      <w:sz w:val="24"/>
                      <w:szCs w:val="24"/>
                      <w:lang w:eastAsia="fr-CA"/>
                    </w:rPr>
                    <w:t>Gym du sud</w:t>
                  </w:r>
                </w:p>
              </w:tc>
              <w:tc>
                <w:tcPr>
                  <w:tcW w:w="993" w:type="dxa"/>
                  <w:tcBorders>
                    <w:top w:val="nil"/>
                    <w:left w:val="nil"/>
                    <w:bottom w:val="nil"/>
                    <w:right w:val="single" w:sz="4" w:space="0" w:color="auto"/>
                  </w:tcBorders>
                  <w:shd w:val="clear" w:color="auto" w:fill="auto"/>
                  <w:noWrap/>
                  <w:vAlign w:val="bottom"/>
                  <w:hideMark/>
                </w:tcPr>
                <w:p w:rsidR="006E124F" w:rsidRPr="00597357" w:rsidRDefault="006E124F" w:rsidP="007A7A51">
                  <w:pPr>
                    <w:spacing w:after="0" w:line="240" w:lineRule="auto"/>
                    <w:ind w:right="-211"/>
                    <w:jc w:val="both"/>
                    <w:rPr>
                      <w:rFonts w:ascii="Times New Roman" w:eastAsia="Times New Roman" w:hAnsi="Times New Roman" w:cs="Times New Roman"/>
                      <w:color w:val="000000"/>
                      <w:sz w:val="24"/>
                      <w:szCs w:val="24"/>
                      <w:lang w:eastAsia="fr-CA"/>
                    </w:rPr>
                  </w:pPr>
                  <w:r w:rsidRPr="00597357">
                    <w:rPr>
                      <w:rFonts w:ascii="Times New Roman" w:eastAsia="Times New Roman" w:hAnsi="Times New Roman" w:cs="Times New Roman"/>
                      <w:color w:val="000000"/>
                      <w:sz w:val="24"/>
                      <w:szCs w:val="24"/>
                      <w:lang w:eastAsia="fr-CA"/>
                    </w:rPr>
                    <w:t>425</w:t>
                  </w:r>
                  <w:r>
                    <w:rPr>
                      <w:rFonts w:ascii="Times New Roman" w:eastAsia="Times New Roman" w:hAnsi="Times New Roman" w:cs="Times New Roman"/>
                      <w:color w:val="000000"/>
                      <w:sz w:val="24"/>
                      <w:szCs w:val="24"/>
                      <w:lang w:eastAsia="fr-CA"/>
                    </w:rPr>
                    <w:t>$</w:t>
                  </w:r>
                </w:p>
              </w:tc>
              <w:tc>
                <w:tcPr>
                  <w:tcW w:w="850" w:type="dxa"/>
                  <w:tcBorders>
                    <w:top w:val="nil"/>
                    <w:left w:val="single" w:sz="4" w:space="0" w:color="auto"/>
                    <w:bottom w:val="nil"/>
                    <w:right w:val="nil"/>
                  </w:tcBorders>
                  <w:vAlign w:val="center"/>
                </w:tcPr>
                <w:p w:rsidR="006E124F" w:rsidRPr="00597357" w:rsidRDefault="006E124F" w:rsidP="007A7A51">
                  <w:pPr>
                    <w:spacing w:after="0" w:line="240" w:lineRule="auto"/>
                    <w:ind w:right="-86"/>
                    <w:rPr>
                      <w:rFonts w:ascii="Times New Roman" w:eastAsia="Times New Roman" w:hAnsi="Times New Roman" w:cs="Times New Roman"/>
                      <w:color w:val="000000"/>
                      <w:sz w:val="24"/>
                      <w:szCs w:val="24"/>
                      <w:lang w:eastAsia="fr-CA"/>
                    </w:rPr>
                  </w:pPr>
                  <w:r w:rsidRPr="00597357">
                    <w:rPr>
                      <w:rFonts w:ascii="Times New Roman" w:eastAsia="Times New Roman" w:hAnsi="Times New Roman" w:cs="Times New Roman"/>
                      <w:color w:val="000000"/>
                      <w:sz w:val="24"/>
                      <w:szCs w:val="24"/>
                      <w:lang w:eastAsia="fr-CA"/>
                    </w:rPr>
                    <w:t xml:space="preserve">Énergie </w:t>
                  </w:r>
                  <w:proofErr w:type="spellStart"/>
                  <w:r w:rsidRPr="00597357">
                    <w:rPr>
                      <w:rFonts w:ascii="Times New Roman" w:eastAsia="Times New Roman" w:hAnsi="Times New Roman" w:cs="Times New Roman"/>
                      <w:color w:val="000000"/>
                      <w:sz w:val="24"/>
                      <w:szCs w:val="24"/>
                      <w:lang w:eastAsia="fr-CA"/>
                    </w:rPr>
                    <w:t>Cardio</w:t>
                  </w:r>
                  <w:proofErr w:type="spellEnd"/>
                </w:p>
              </w:tc>
              <w:tc>
                <w:tcPr>
                  <w:tcW w:w="992" w:type="dxa"/>
                  <w:gridSpan w:val="2"/>
                  <w:tcBorders>
                    <w:top w:val="nil"/>
                    <w:left w:val="nil"/>
                    <w:bottom w:val="nil"/>
                    <w:right w:val="nil"/>
                  </w:tcBorders>
                  <w:vAlign w:val="bottom"/>
                </w:tcPr>
                <w:p w:rsidR="006E124F" w:rsidRPr="00597357" w:rsidRDefault="006E124F" w:rsidP="007A7A51">
                  <w:pPr>
                    <w:spacing w:after="0" w:line="240" w:lineRule="auto"/>
                    <w:ind w:left="-70" w:right="-86" w:firstLine="70"/>
                    <w:rPr>
                      <w:rFonts w:ascii="Times New Roman" w:eastAsia="Times New Roman" w:hAnsi="Times New Roman" w:cs="Times New Roman"/>
                      <w:color w:val="000000"/>
                      <w:sz w:val="24"/>
                      <w:szCs w:val="24"/>
                      <w:lang w:eastAsia="fr-CA"/>
                    </w:rPr>
                  </w:pPr>
                  <w:r w:rsidRPr="00597357">
                    <w:rPr>
                      <w:rFonts w:ascii="Times New Roman" w:eastAsia="Times New Roman" w:hAnsi="Times New Roman" w:cs="Times New Roman"/>
                      <w:color w:val="000000"/>
                      <w:sz w:val="24"/>
                      <w:szCs w:val="24"/>
                      <w:lang w:eastAsia="fr-CA"/>
                    </w:rPr>
                    <w:t>480</w:t>
                  </w:r>
                  <w:r>
                    <w:rPr>
                      <w:rFonts w:ascii="Times New Roman" w:eastAsia="Times New Roman" w:hAnsi="Times New Roman" w:cs="Times New Roman"/>
                      <w:color w:val="000000"/>
                      <w:sz w:val="24"/>
                      <w:szCs w:val="24"/>
                      <w:lang w:eastAsia="fr-CA"/>
                    </w:rPr>
                    <w:t>$</w:t>
                  </w:r>
                </w:p>
              </w:tc>
            </w:tr>
            <w:tr w:rsidR="006E124F" w:rsidRPr="00597357" w:rsidTr="0062135B">
              <w:trPr>
                <w:gridAfter w:val="1"/>
                <w:wAfter w:w="13" w:type="dxa"/>
                <w:trHeight w:val="269"/>
              </w:trPr>
              <w:tc>
                <w:tcPr>
                  <w:tcW w:w="1309" w:type="dxa"/>
                  <w:tcBorders>
                    <w:top w:val="nil"/>
                    <w:left w:val="nil"/>
                    <w:bottom w:val="nil"/>
                    <w:right w:val="nil"/>
                  </w:tcBorders>
                  <w:shd w:val="clear" w:color="auto" w:fill="auto"/>
                  <w:noWrap/>
                  <w:vAlign w:val="center"/>
                  <w:hideMark/>
                </w:tcPr>
                <w:p w:rsidR="006E124F" w:rsidRPr="0062135B" w:rsidRDefault="00B05C0A" w:rsidP="007A7A51">
                  <w:pPr>
                    <w:spacing w:after="0" w:line="240" w:lineRule="auto"/>
                    <w:ind w:right="-211"/>
                    <w:jc w:val="both"/>
                    <w:rPr>
                      <w:rFonts w:ascii="Times New Roman" w:eastAsia="Times New Roman" w:hAnsi="Times New Roman" w:cs="Times New Roman"/>
                      <w:sz w:val="24"/>
                      <w:szCs w:val="24"/>
                      <w:lang w:eastAsia="fr-CA"/>
                    </w:rPr>
                  </w:pPr>
                  <w:hyperlink r:id="rId48" w:history="1">
                    <w:proofErr w:type="spellStart"/>
                    <w:r w:rsidR="006E124F" w:rsidRPr="0062135B">
                      <w:rPr>
                        <w:rFonts w:ascii="Times New Roman" w:eastAsia="Times New Roman" w:hAnsi="Times New Roman" w:cs="Times New Roman"/>
                        <w:sz w:val="24"/>
                        <w:szCs w:val="24"/>
                        <w:lang w:eastAsia="fr-CA"/>
                      </w:rPr>
                      <w:t>Formomax</w:t>
                    </w:r>
                    <w:proofErr w:type="spellEnd"/>
                  </w:hyperlink>
                </w:p>
              </w:tc>
              <w:tc>
                <w:tcPr>
                  <w:tcW w:w="993" w:type="dxa"/>
                  <w:tcBorders>
                    <w:top w:val="nil"/>
                    <w:left w:val="nil"/>
                    <w:bottom w:val="nil"/>
                    <w:right w:val="single" w:sz="4" w:space="0" w:color="auto"/>
                  </w:tcBorders>
                  <w:shd w:val="clear" w:color="auto" w:fill="auto"/>
                  <w:noWrap/>
                  <w:vAlign w:val="bottom"/>
                  <w:hideMark/>
                </w:tcPr>
                <w:p w:rsidR="006E124F" w:rsidRPr="00597357" w:rsidRDefault="006E124F" w:rsidP="007A7A51">
                  <w:pPr>
                    <w:spacing w:after="0" w:line="240" w:lineRule="auto"/>
                    <w:ind w:right="-211"/>
                    <w:jc w:val="both"/>
                    <w:rPr>
                      <w:rFonts w:ascii="Times New Roman" w:eastAsia="Times New Roman" w:hAnsi="Times New Roman" w:cs="Times New Roman"/>
                      <w:color w:val="000000"/>
                      <w:sz w:val="24"/>
                      <w:szCs w:val="24"/>
                      <w:lang w:eastAsia="fr-CA"/>
                    </w:rPr>
                  </w:pPr>
                  <w:r w:rsidRPr="00597357">
                    <w:rPr>
                      <w:rFonts w:ascii="Times New Roman" w:eastAsia="Times New Roman" w:hAnsi="Times New Roman" w:cs="Times New Roman"/>
                      <w:color w:val="000000"/>
                      <w:sz w:val="24"/>
                      <w:szCs w:val="24"/>
                      <w:lang w:eastAsia="fr-CA"/>
                    </w:rPr>
                    <w:t>449</w:t>
                  </w:r>
                  <w:r>
                    <w:rPr>
                      <w:rFonts w:ascii="Times New Roman" w:eastAsia="Times New Roman" w:hAnsi="Times New Roman" w:cs="Times New Roman"/>
                      <w:color w:val="000000"/>
                      <w:sz w:val="24"/>
                      <w:szCs w:val="24"/>
                      <w:lang w:eastAsia="fr-CA"/>
                    </w:rPr>
                    <w:t>$</w:t>
                  </w:r>
                </w:p>
              </w:tc>
              <w:tc>
                <w:tcPr>
                  <w:tcW w:w="850" w:type="dxa"/>
                  <w:tcBorders>
                    <w:top w:val="nil"/>
                    <w:left w:val="single" w:sz="4" w:space="0" w:color="auto"/>
                    <w:bottom w:val="nil"/>
                    <w:right w:val="nil"/>
                  </w:tcBorders>
                  <w:shd w:val="clear" w:color="auto" w:fill="FFFF00"/>
                  <w:vAlign w:val="center"/>
                </w:tcPr>
                <w:p w:rsidR="006E124F" w:rsidRPr="00597357" w:rsidRDefault="00B05C0A" w:rsidP="007A7A51">
                  <w:pPr>
                    <w:spacing w:after="0" w:line="240" w:lineRule="auto"/>
                    <w:ind w:right="-86"/>
                    <w:rPr>
                      <w:rFonts w:ascii="Times New Roman" w:eastAsia="Times New Roman" w:hAnsi="Times New Roman" w:cs="Times New Roman"/>
                      <w:color w:val="0000FF"/>
                      <w:sz w:val="24"/>
                      <w:szCs w:val="24"/>
                      <w:u w:val="single"/>
                      <w:lang w:eastAsia="fr-CA"/>
                    </w:rPr>
                  </w:pPr>
                  <w:hyperlink r:id="rId49" w:history="1">
                    <w:r w:rsidR="006E124F" w:rsidRPr="00597357">
                      <w:rPr>
                        <w:rFonts w:ascii="Times New Roman" w:eastAsia="Times New Roman" w:hAnsi="Times New Roman" w:cs="Times New Roman"/>
                        <w:color w:val="0000FF"/>
                        <w:sz w:val="24"/>
                        <w:szCs w:val="24"/>
                        <w:u w:val="single"/>
                        <w:lang w:eastAsia="fr-CA"/>
                      </w:rPr>
                      <w:t>CAPS</w:t>
                    </w:r>
                  </w:hyperlink>
                </w:p>
              </w:tc>
              <w:tc>
                <w:tcPr>
                  <w:tcW w:w="979" w:type="dxa"/>
                  <w:tcBorders>
                    <w:top w:val="nil"/>
                    <w:left w:val="nil"/>
                    <w:bottom w:val="nil"/>
                    <w:right w:val="nil"/>
                  </w:tcBorders>
                  <w:shd w:val="clear" w:color="auto" w:fill="FFFF00"/>
                  <w:vAlign w:val="bottom"/>
                </w:tcPr>
                <w:p w:rsidR="006E124F" w:rsidRPr="00597357" w:rsidRDefault="006E124F" w:rsidP="007A7A51">
                  <w:pPr>
                    <w:spacing w:after="0" w:line="240" w:lineRule="auto"/>
                    <w:ind w:right="-86"/>
                    <w:rPr>
                      <w:rFonts w:ascii="Times New Roman" w:eastAsia="Times New Roman" w:hAnsi="Times New Roman" w:cs="Times New Roman"/>
                      <w:color w:val="000000"/>
                      <w:sz w:val="24"/>
                      <w:szCs w:val="24"/>
                      <w:lang w:eastAsia="fr-CA"/>
                    </w:rPr>
                  </w:pPr>
                  <w:r>
                    <w:rPr>
                      <w:rFonts w:ascii="Times New Roman" w:eastAsia="Times New Roman" w:hAnsi="Times New Roman" w:cs="Times New Roman"/>
                      <w:color w:val="000000"/>
                      <w:sz w:val="24"/>
                      <w:szCs w:val="24"/>
                      <w:lang w:eastAsia="fr-CA"/>
                    </w:rPr>
                    <w:t xml:space="preserve">   </w:t>
                  </w:r>
                  <w:r w:rsidRPr="00597357">
                    <w:rPr>
                      <w:rFonts w:ascii="Times New Roman" w:eastAsia="Times New Roman" w:hAnsi="Times New Roman" w:cs="Times New Roman"/>
                      <w:color w:val="000000"/>
                      <w:sz w:val="24"/>
                      <w:szCs w:val="24"/>
                      <w:lang w:eastAsia="fr-CA"/>
                    </w:rPr>
                    <w:t>521</w:t>
                  </w:r>
                  <w:r>
                    <w:rPr>
                      <w:rFonts w:ascii="Times New Roman" w:eastAsia="Times New Roman" w:hAnsi="Times New Roman" w:cs="Times New Roman"/>
                      <w:color w:val="000000"/>
                      <w:sz w:val="24"/>
                      <w:szCs w:val="24"/>
                      <w:lang w:eastAsia="fr-CA"/>
                    </w:rPr>
                    <w:t>$</w:t>
                  </w:r>
                </w:p>
              </w:tc>
            </w:tr>
            <w:tr w:rsidR="006E124F" w:rsidRPr="00597357" w:rsidTr="0062135B">
              <w:trPr>
                <w:gridAfter w:val="1"/>
                <w:wAfter w:w="13" w:type="dxa"/>
                <w:trHeight w:val="269"/>
              </w:trPr>
              <w:tc>
                <w:tcPr>
                  <w:tcW w:w="1309" w:type="dxa"/>
                  <w:tcBorders>
                    <w:top w:val="nil"/>
                    <w:left w:val="nil"/>
                    <w:bottom w:val="nil"/>
                    <w:right w:val="nil"/>
                  </w:tcBorders>
                  <w:shd w:val="clear" w:color="auto" w:fill="auto"/>
                  <w:noWrap/>
                  <w:vAlign w:val="center"/>
                  <w:hideMark/>
                </w:tcPr>
                <w:p w:rsidR="006E124F" w:rsidRPr="00597357" w:rsidRDefault="006E124F" w:rsidP="007A7A51">
                  <w:pPr>
                    <w:spacing w:after="0" w:line="240" w:lineRule="auto"/>
                    <w:ind w:right="-211"/>
                    <w:jc w:val="both"/>
                    <w:rPr>
                      <w:rFonts w:ascii="Times New Roman" w:eastAsia="Times New Roman" w:hAnsi="Times New Roman" w:cs="Times New Roman"/>
                      <w:color w:val="000000"/>
                      <w:sz w:val="24"/>
                      <w:szCs w:val="24"/>
                      <w:lang w:eastAsia="fr-CA"/>
                    </w:rPr>
                  </w:pPr>
                  <w:proofErr w:type="spellStart"/>
                  <w:r w:rsidRPr="00597357">
                    <w:rPr>
                      <w:rFonts w:ascii="Times New Roman" w:eastAsia="Times New Roman" w:hAnsi="Times New Roman" w:cs="Times New Roman"/>
                      <w:color w:val="000000"/>
                      <w:sz w:val="24"/>
                      <w:szCs w:val="24"/>
                      <w:lang w:eastAsia="fr-CA"/>
                    </w:rPr>
                    <w:t>Tonix</w:t>
                  </w:r>
                  <w:proofErr w:type="spellEnd"/>
                </w:p>
              </w:tc>
              <w:tc>
                <w:tcPr>
                  <w:tcW w:w="993" w:type="dxa"/>
                  <w:tcBorders>
                    <w:top w:val="nil"/>
                    <w:left w:val="nil"/>
                    <w:bottom w:val="nil"/>
                    <w:right w:val="single" w:sz="4" w:space="0" w:color="auto"/>
                  </w:tcBorders>
                  <w:shd w:val="clear" w:color="auto" w:fill="auto"/>
                  <w:noWrap/>
                  <w:vAlign w:val="bottom"/>
                  <w:hideMark/>
                </w:tcPr>
                <w:p w:rsidR="006E124F" w:rsidRPr="00597357" w:rsidRDefault="006E124F" w:rsidP="007A7A51">
                  <w:pPr>
                    <w:spacing w:after="0" w:line="240" w:lineRule="auto"/>
                    <w:ind w:right="-211"/>
                    <w:jc w:val="both"/>
                    <w:rPr>
                      <w:rFonts w:ascii="Times New Roman" w:eastAsia="Times New Roman" w:hAnsi="Times New Roman" w:cs="Times New Roman"/>
                      <w:color w:val="000000"/>
                      <w:sz w:val="24"/>
                      <w:szCs w:val="24"/>
                      <w:lang w:eastAsia="fr-CA"/>
                    </w:rPr>
                  </w:pPr>
                  <w:r w:rsidRPr="00597357">
                    <w:rPr>
                      <w:rFonts w:ascii="Times New Roman" w:eastAsia="Times New Roman" w:hAnsi="Times New Roman" w:cs="Times New Roman"/>
                      <w:color w:val="000000"/>
                      <w:sz w:val="24"/>
                      <w:szCs w:val="24"/>
                      <w:lang w:eastAsia="fr-CA"/>
                    </w:rPr>
                    <w:t>464</w:t>
                  </w:r>
                  <w:r>
                    <w:rPr>
                      <w:rFonts w:ascii="Times New Roman" w:eastAsia="Times New Roman" w:hAnsi="Times New Roman" w:cs="Times New Roman"/>
                      <w:color w:val="000000"/>
                      <w:sz w:val="24"/>
                      <w:szCs w:val="24"/>
                      <w:lang w:eastAsia="fr-CA"/>
                    </w:rPr>
                    <w:t>$</w:t>
                  </w:r>
                </w:p>
              </w:tc>
              <w:tc>
                <w:tcPr>
                  <w:tcW w:w="850" w:type="dxa"/>
                  <w:tcBorders>
                    <w:top w:val="nil"/>
                    <w:left w:val="single" w:sz="4" w:space="0" w:color="auto"/>
                    <w:bottom w:val="nil"/>
                    <w:right w:val="nil"/>
                  </w:tcBorders>
                </w:tcPr>
                <w:p w:rsidR="006E124F" w:rsidRPr="00597357" w:rsidRDefault="006E124F" w:rsidP="007A7A51">
                  <w:pPr>
                    <w:spacing w:after="0" w:line="240" w:lineRule="auto"/>
                    <w:jc w:val="both"/>
                    <w:rPr>
                      <w:rFonts w:ascii="Times New Roman" w:eastAsia="Times New Roman" w:hAnsi="Times New Roman" w:cs="Times New Roman"/>
                      <w:color w:val="000000"/>
                      <w:sz w:val="24"/>
                      <w:szCs w:val="24"/>
                      <w:lang w:eastAsia="fr-CA"/>
                    </w:rPr>
                  </w:pPr>
                </w:p>
              </w:tc>
              <w:tc>
                <w:tcPr>
                  <w:tcW w:w="979" w:type="dxa"/>
                  <w:tcBorders>
                    <w:top w:val="nil"/>
                    <w:left w:val="nil"/>
                    <w:bottom w:val="nil"/>
                    <w:right w:val="nil"/>
                  </w:tcBorders>
                </w:tcPr>
                <w:p w:rsidR="006E124F" w:rsidRPr="00597357" w:rsidRDefault="006E124F" w:rsidP="007A7A51">
                  <w:pPr>
                    <w:spacing w:after="0" w:line="240" w:lineRule="auto"/>
                    <w:jc w:val="both"/>
                    <w:rPr>
                      <w:rFonts w:ascii="Times New Roman" w:eastAsia="Times New Roman" w:hAnsi="Times New Roman" w:cs="Times New Roman"/>
                      <w:color w:val="000000"/>
                      <w:sz w:val="24"/>
                      <w:szCs w:val="24"/>
                      <w:lang w:eastAsia="fr-CA"/>
                    </w:rPr>
                  </w:pPr>
                </w:p>
              </w:tc>
            </w:tr>
          </w:tbl>
          <w:p w:rsidR="006E124F" w:rsidRPr="00597357" w:rsidRDefault="006E124F" w:rsidP="007A7A51">
            <w:pPr>
              <w:spacing w:line="360" w:lineRule="auto"/>
              <w:jc w:val="both"/>
              <w:rPr>
                <w:rFonts w:ascii="Times New Roman" w:hAnsi="Times New Roman" w:cs="Times New Roman"/>
                <w:sz w:val="24"/>
                <w:szCs w:val="24"/>
              </w:rPr>
            </w:pPr>
          </w:p>
        </w:tc>
        <w:tc>
          <w:tcPr>
            <w:tcW w:w="2127" w:type="dxa"/>
          </w:tcPr>
          <w:p w:rsidR="006E124F" w:rsidRPr="00597357" w:rsidRDefault="006E124F" w:rsidP="007A7A51">
            <w:pPr>
              <w:spacing w:line="360" w:lineRule="auto"/>
              <w:jc w:val="both"/>
              <w:rPr>
                <w:rFonts w:ascii="Times New Roman" w:hAnsi="Times New Roman" w:cs="Times New Roman"/>
                <w:sz w:val="24"/>
                <w:szCs w:val="24"/>
              </w:rPr>
            </w:pPr>
            <w:r w:rsidRPr="00597357">
              <w:rPr>
                <w:rFonts w:ascii="Times New Roman" w:hAnsi="Times New Roman" w:cs="Times New Roman"/>
                <w:sz w:val="24"/>
                <w:szCs w:val="24"/>
              </w:rPr>
              <w:t>Différenciation</w:t>
            </w:r>
          </w:p>
        </w:tc>
      </w:tr>
      <w:tr w:rsidR="006E124F" w:rsidRPr="00597357" w:rsidTr="007A7A51">
        <w:trPr>
          <w:trHeight w:val="1159"/>
        </w:trPr>
        <w:tc>
          <w:tcPr>
            <w:tcW w:w="1702" w:type="dxa"/>
            <w:shd w:val="clear" w:color="auto" w:fill="C4960C"/>
          </w:tcPr>
          <w:p w:rsidR="006E124F" w:rsidRPr="00597357" w:rsidRDefault="006E124F" w:rsidP="007A7A51">
            <w:pPr>
              <w:spacing w:after="200"/>
              <w:jc w:val="both"/>
              <w:rPr>
                <w:rFonts w:ascii="Times New Roman" w:hAnsi="Times New Roman" w:cs="Times New Roman"/>
                <w:sz w:val="24"/>
                <w:szCs w:val="24"/>
              </w:rPr>
            </w:pPr>
            <w:r w:rsidRPr="00597357">
              <w:rPr>
                <w:rFonts w:ascii="Times New Roman" w:hAnsi="Times New Roman" w:cs="Times New Roman"/>
                <w:sz w:val="24"/>
                <w:szCs w:val="24"/>
              </w:rPr>
              <w:t>Cliniques de santé universitaires</w:t>
            </w:r>
          </w:p>
        </w:tc>
        <w:tc>
          <w:tcPr>
            <w:tcW w:w="1701" w:type="dxa"/>
            <w:shd w:val="clear" w:color="auto" w:fill="auto"/>
          </w:tcPr>
          <w:p w:rsidR="006E124F" w:rsidRPr="00597357" w:rsidRDefault="006E124F" w:rsidP="007A7A51">
            <w:pPr>
              <w:spacing w:after="200" w:line="360" w:lineRule="auto"/>
              <w:jc w:val="both"/>
              <w:rPr>
                <w:rFonts w:ascii="Times New Roman" w:hAnsi="Times New Roman" w:cs="Times New Roman"/>
                <w:sz w:val="24"/>
                <w:szCs w:val="24"/>
              </w:rPr>
            </w:pPr>
            <w:r w:rsidRPr="00597357">
              <w:rPr>
                <w:rFonts w:ascii="Times New Roman" w:hAnsi="Times New Roman" w:cs="Times New Roman"/>
                <w:sz w:val="24"/>
                <w:szCs w:val="24"/>
              </w:rPr>
              <w:t>Variables</w:t>
            </w:r>
            <w:r w:rsidRPr="00597357">
              <w:rPr>
                <w:rStyle w:val="Appelnotedebasdep"/>
                <w:rFonts w:ascii="Times New Roman" w:hAnsi="Times New Roman" w:cs="Times New Roman"/>
                <w:sz w:val="24"/>
                <w:szCs w:val="24"/>
              </w:rPr>
              <w:footnoteReference w:id="83"/>
            </w:r>
          </w:p>
          <w:p w:rsidR="006E124F" w:rsidRPr="00597357" w:rsidRDefault="006E124F" w:rsidP="007A7A51">
            <w:pPr>
              <w:spacing w:after="200" w:line="360" w:lineRule="auto"/>
              <w:jc w:val="both"/>
              <w:rPr>
                <w:rFonts w:ascii="Times New Roman" w:hAnsi="Times New Roman" w:cs="Times New Roman"/>
                <w:sz w:val="24"/>
                <w:szCs w:val="24"/>
              </w:rPr>
            </w:pPr>
          </w:p>
        </w:tc>
        <w:tc>
          <w:tcPr>
            <w:tcW w:w="4819" w:type="dxa"/>
            <w:gridSpan w:val="2"/>
          </w:tcPr>
          <w:p w:rsidR="006E124F" w:rsidRPr="00597357" w:rsidRDefault="006E124F" w:rsidP="007A7A51">
            <w:pPr>
              <w:jc w:val="both"/>
              <w:rPr>
                <w:rFonts w:ascii="Times New Roman" w:hAnsi="Times New Roman" w:cs="Times New Roman"/>
                <w:sz w:val="24"/>
                <w:szCs w:val="24"/>
              </w:rPr>
            </w:pPr>
            <w:r w:rsidRPr="00597357">
              <w:rPr>
                <w:rFonts w:ascii="Times New Roman" w:hAnsi="Times New Roman" w:cs="Times New Roman"/>
                <w:sz w:val="24"/>
                <w:szCs w:val="24"/>
              </w:rPr>
              <w:t>CSSS : Gratuité</w:t>
            </w:r>
          </w:p>
          <w:p w:rsidR="006E124F" w:rsidRPr="00597357" w:rsidRDefault="006E124F" w:rsidP="007A7A51">
            <w:pPr>
              <w:jc w:val="both"/>
              <w:rPr>
                <w:rFonts w:ascii="Times New Roman" w:hAnsi="Times New Roman" w:cs="Times New Roman"/>
                <w:sz w:val="24"/>
                <w:szCs w:val="24"/>
              </w:rPr>
            </w:pPr>
            <w:r w:rsidRPr="00597357">
              <w:rPr>
                <w:rFonts w:ascii="Times New Roman" w:hAnsi="Times New Roman" w:cs="Times New Roman"/>
                <w:sz w:val="24"/>
                <w:szCs w:val="24"/>
              </w:rPr>
              <w:t>GMA : Gratuité, accessible aux membres inscrits seulement</w:t>
            </w:r>
          </w:p>
          <w:p w:rsidR="006E124F" w:rsidRPr="00597357" w:rsidRDefault="006E124F" w:rsidP="007A7A51">
            <w:pPr>
              <w:jc w:val="both"/>
              <w:rPr>
                <w:rFonts w:ascii="Times New Roman" w:hAnsi="Times New Roman" w:cs="Times New Roman"/>
                <w:sz w:val="24"/>
                <w:szCs w:val="24"/>
              </w:rPr>
            </w:pPr>
            <w:r w:rsidRPr="00597357">
              <w:rPr>
                <w:rFonts w:ascii="Times New Roman" w:hAnsi="Times New Roman" w:cs="Times New Roman"/>
                <w:sz w:val="24"/>
                <w:szCs w:val="24"/>
              </w:rPr>
              <w:t>Autres types de cliniques : prix variables.</w:t>
            </w:r>
          </w:p>
        </w:tc>
        <w:tc>
          <w:tcPr>
            <w:tcW w:w="2127" w:type="dxa"/>
          </w:tcPr>
          <w:p w:rsidR="006E124F" w:rsidRPr="00597357" w:rsidRDefault="006E124F" w:rsidP="007A7A51">
            <w:pPr>
              <w:spacing w:line="360" w:lineRule="auto"/>
              <w:jc w:val="both"/>
              <w:rPr>
                <w:rFonts w:ascii="Times New Roman" w:hAnsi="Times New Roman" w:cs="Times New Roman"/>
                <w:sz w:val="24"/>
                <w:szCs w:val="24"/>
              </w:rPr>
            </w:pPr>
            <w:r w:rsidRPr="00597357">
              <w:rPr>
                <w:rFonts w:ascii="Times New Roman" w:hAnsi="Times New Roman" w:cs="Times New Roman"/>
                <w:sz w:val="24"/>
                <w:szCs w:val="24"/>
              </w:rPr>
              <w:t>Différenciation</w:t>
            </w:r>
            <w:r w:rsidRPr="00597357">
              <w:rPr>
                <w:rStyle w:val="Appelnotedebasdep"/>
                <w:rFonts w:ascii="Times New Roman" w:hAnsi="Times New Roman" w:cs="Times New Roman"/>
                <w:sz w:val="24"/>
                <w:szCs w:val="24"/>
              </w:rPr>
              <w:footnoteReference w:id="84"/>
            </w:r>
          </w:p>
        </w:tc>
      </w:tr>
      <w:tr w:rsidR="006E124F" w:rsidRPr="00597357" w:rsidTr="007A7A51">
        <w:tc>
          <w:tcPr>
            <w:tcW w:w="1702" w:type="dxa"/>
            <w:vMerge w:val="restart"/>
            <w:shd w:val="clear" w:color="auto" w:fill="C4960C"/>
          </w:tcPr>
          <w:p w:rsidR="006E124F" w:rsidRPr="00597357" w:rsidRDefault="006E124F" w:rsidP="007A7A51">
            <w:pPr>
              <w:jc w:val="both"/>
              <w:rPr>
                <w:rFonts w:ascii="Times New Roman" w:hAnsi="Times New Roman" w:cs="Times New Roman"/>
                <w:sz w:val="24"/>
                <w:szCs w:val="24"/>
              </w:rPr>
            </w:pPr>
          </w:p>
          <w:p w:rsidR="006E124F" w:rsidRPr="00597357" w:rsidRDefault="006E124F" w:rsidP="007A7A51">
            <w:pPr>
              <w:jc w:val="both"/>
              <w:rPr>
                <w:rFonts w:ascii="Times New Roman" w:hAnsi="Times New Roman" w:cs="Times New Roman"/>
                <w:sz w:val="24"/>
                <w:szCs w:val="24"/>
              </w:rPr>
            </w:pPr>
          </w:p>
          <w:p w:rsidR="006E124F" w:rsidRPr="00597357" w:rsidRDefault="006E124F" w:rsidP="007A7A51">
            <w:pPr>
              <w:jc w:val="both"/>
              <w:rPr>
                <w:rFonts w:ascii="Times New Roman" w:hAnsi="Times New Roman" w:cs="Times New Roman"/>
                <w:sz w:val="24"/>
                <w:szCs w:val="24"/>
              </w:rPr>
            </w:pPr>
          </w:p>
          <w:p w:rsidR="006E124F" w:rsidRPr="00597357" w:rsidRDefault="006E124F" w:rsidP="007A7A51">
            <w:pPr>
              <w:jc w:val="both"/>
              <w:rPr>
                <w:rFonts w:ascii="Times New Roman" w:hAnsi="Times New Roman" w:cs="Times New Roman"/>
                <w:sz w:val="24"/>
                <w:szCs w:val="24"/>
              </w:rPr>
            </w:pPr>
            <w:r w:rsidRPr="00597357">
              <w:rPr>
                <w:rFonts w:ascii="Times New Roman" w:hAnsi="Times New Roman" w:cs="Times New Roman"/>
                <w:sz w:val="24"/>
                <w:szCs w:val="24"/>
              </w:rPr>
              <w:t>Services et unités en lien avec l'UQTR</w:t>
            </w:r>
          </w:p>
        </w:tc>
        <w:tc>
          <w:tcPr>
            <w:tcW w:w="1701" w:type="dxa"/>
          </w:tcPr>
          <w:p w:rsidR="006E124F" w:rsidRPr="00597357" w:rsidRDefault="006E124F" w:rsidP="007A7A51">
            <w:pPr>
              <w:spacing w:after="200"/>
              <w:rPr>
                <w:rFonts w:ascii="Times New Roman" w:hAnsi="Times New Roman" w:cs="Times New Roman"/>
                <w:sz w:val="24"/>
                <w:szCs w:val="24"/>
              </w:rPr>
            </w:pPr>
            <w:r w:rsidRPr="00597357">
              <w:rPr>
                <w:rFonts w:ascii="Times New Roman" w:hAnsi="Times New Roman" w:cs="Times New Roman"/>
                <w:sz w:val="24"/>
                <w:szCs w:val="24"/>
              </w:rPr>
              <w:t>Orientation scolaire et professionnelle</w:t>
            </w:r>
          </w:p>
        </w:tc>
        <w:tc>
          <w:tcPr>
            <w:tcW w:w="4819" w:type="dxa"/>
            <w:gridSpan w:val="2"/>
          </w:tcPr>
          <w:tbl>
            <w:tblPr>
              <w:tblW w:w="4570" w:type="dxa"/>
              <w:tblLayout w:type="fixed"/>
              <w:tblCellMar>
                <w:left w:w="70" w:type="dxa"/>
                <w:right w:w="70" w:type="dxa"/>
              </w:tblCellMar>
              <w:tblLook w:val="04A0"/>
            </w:tblPr>
            <w:tblGrid>
              <w:gridCol w:w="2160"/>
              <w:gridCol w:w="2410"/>
            </w:tblGrid>
            <w:tr w:rsidR="006E124F" w:rsidRPr="00597357" w:rsidTr="00AF40DE">
              <w:trPr>
                <w:trHeight w:val="397"/>
              </w:trPr>
              <w:tc>
                <w:tcPr>
                  <w:tcW w:w="2160" w:type="dxa"/>
                  <w:tcBorders>
                    <w:top w:val="nil"/>
                    <w:left w:val="nil"/>
                    <w:bottom w:val="nil"/>
                    <w:right w:val="nil"/>
                  </w:tcBorders>
                  <w:shd w:val="clear" w:color="000000" w:fill="D9D9D9"/>
                  <w:noWrap/>
                  <w:vAlign w:val="bottom"/>
                  <w:hideMark/>
                </w:tcPr>
                <w:p w:rsidR="006E124F" w:rsidRPr="00597357" w:rsidRDefault="006E124F" w:rsidP="00AF40DE">
                  <w:pPr>
                    <w:spacing w:after="0" w:line="240" w:lineRule="auto"/>
                    <w:ind w:right="-70"/>
                    <w:jc w:val="both"/>
                    <w:rPr>
                      <w:rFonts w:ascii="Times New Roman" w:eastAsia="Times New Roman" w:hAnsi="Times New Roman" w:cs="Times New Roman"/>
                      <w:i/>
                      <w:iCs/>
                      <w:color w:val="000000"/>
                      <w:sz w:val="24"/>
                      <w:szCs w:val="24"/>
                      <w:lang w:eastAsia="fr-CA"/>
                    </w:rPr>
                  </w:pPr>
                  <w:r w:rsidRPr="00597357">
                    <w:rPr>
                      <w:rFonts w:ascii="Times New Roman" w:eastAsia="Times New Roman" w:hAnsi="Times New Roman" w:cs="Times New Roman"/>
                      <w:i/>
                      <w:iCs/>
                      <w:color w:val="000000"/>
                      <w:sz w:val="24"/>
                      <w:szCs w:val="24"/>
                      <w:lang w:eastAsia="fr-CA"/>
                    </w:rPr>
                    <w:t>Service d'orientation</w:t>
                  </w:r>
                </w:p>
              </w:tc>
              <w:tc>
                <w:tcPr>
                  <w:tcW w:w="2410" w:type="dxa"/>
                  <w:tcBorders>
                    <w:top w:val="nil"/>
                    <w:left w:val="nil"/>
                    <w:bottom w:val="nil"/>
                    <w:right w:val="nil"/>
                  </w:tcBorders>
                  <w:shd w:val="clear" w:color="000000" w:fill="D9D9D9"/>
                  <w:vAlign w:val="bottom"/>
                  <w:hideMark/>
                </w:tcPr>
                <w:p w:rsidR="006E124F" w:rsidRPr="00597357" w:rsidRDefault="006E124F" w:rsidP="00AF40DE">
                  <w:pPr>
                    <w:spacing w:after="0" w:line="240" w:lineRule="auto"/>
                    <w:ind w:right="-70"/>
                    <w:jc w:val="both"/>
                    <w:rPr>
                      <w:rFonts w:ascii="Times New Roman" w:eastAsia="Times New Roman" w:hAnsi="Times New Roman" w:cs="Times New Roman"/>
                      <w:i/>
                      <w:iCs/>
                      <w:color w:val="000000"/>
                      <w:sz w:val="24"/>
                      <w:szCs w:val="24"/>
                      <w:lang w:eastAsia="fr-CA"/>
                    </w:rPr>
                  </w:pPr>
                  <w:r w:rsidRPr="00597357">
                    <w:rPr>
                      <w:rFonts w:ascii="Times New Roman" w:eastAsia="Times New Roman" w:hAnsi="Times New Roman" w:cs="Times New Roman"/>
                      <w:i/>
                      <w:iCs/>
                      <w:color w:val="000000"/>
                      <w:sz w:val="24"/>
                      <w:szCs w:val="24"/>
                      <w:lang w:eastAsia="fr-CA"/>
                    </w:rPr>
                    <w:t xml:space="preserve">Prix «population» pour 5 </w:t>
                  </w:r>
                  <w:r w:rsidR="003520A0">
                    <w:rPr>
                      <w:rFonts w:ascii="Times New Roman" w:eastAsia="Times New Roman" w:hAnsi="Times New Roman" w:cs="Times New Roman"/>
                      <w:i/>
                      <w:iCs/>
                      <w:color w:val="000000"/>
                      <w:sz w:val="24"/>
                      <w:szCs w:val="24"/>
                      <w:lang w:eastAsia="fr-CA"/>
                    </w:rPr>
                    <w:t>rencontres</w:t>
                  </w:r>
                </w:p>
              </w:tc>
            </w:tr>
            <w:tr w:rsidR="006E124F" w:rsidRPr="00597357" w:rsidTr="00AF40DE">
              <w:trPr>
                <w:trHeight w:val="300"/>
              </w:trPr>
              <w:tc>
                <w:tcPr>
                  <w:tcW w:w="2160" w:type="dxa"/>
                  <w:tcBorders>
                    <w:top w:val="nil"/>
                    <w:left w:val="nil"/>
                    <w:bottom w:val="nil"/>
                    <w:right w:val="nil"/>
                  </w:tcBorders>
                  <w:shd w:val="clear" w:color="auto" w:fill="auto"/>
                  <w:noWrap/>
                  <w:vAlign w:val="bottom"/>
                </w:tcPr>
                <w:p w:rsidR="006E124F" w:rsidRPr="00597357" w:rsidRDefault="00AF40DE" w:rsidP="00AF40DE">
                  <w:pPr>
                    <w:spacing w:after="0" w:line="240" w:lineRule="auto"/>
                    <w:ind w:right="-70"/>
                    <w:jc w:val="both"/>
                    <w:rPr>
                      <w:rFonts w:ascii="Times New Roman" w:eastAsia="Times New Roman" w:hAnsi="Times New Roman" w:cs="Times New Roman"/>
                      <w:color w:val="000000"/>
                      <w:sz w:val="24"/>
                      <w:szCs w:val="24"/>
                      <w:lang w:eastAsia="fr-CA"/>
                    </w:rPr>
                  </w:pPr>
                  <w:r>
                    <w:rPr>
                      <w:rFonts w:ascii="Times New Roman" w:eastAsia="Times New Roman" w:hAnsi="Times New Roman" w:cs="Times New Roman"/>
                      <w:color w:val="000000"/>
                      <w:sz w:val="24"/>
                      <w:szCs w:val="24"/>
                      <w:lang w:eastAsia="fr-CA"/>
                    </w:rPr>
                    <w:t>C</w:t>
                  </w:r>
                  <w:r w:rsidR="006E124F" w:rsidRPr="00597357">
                    <w:rPr>
                      <w:rFonts w:ascii="Times New Roman" w:eastAsia="Times New Roman" w:hAnsi="Times New Roman" w:cs="Times New Roman"/>
                      <w:color w:val="000000"/>
                      <w:sz w:val="24"/>
                      <w:szCs w:val="24"/>
                      <w:lang w:eastAsia="fr-CA"/>
                    </w:rPr>
                    <w:t>arrefour</w:t>
                  </w:r>
                  <w:r>
                    <w:rPr>
                      <w:rFonts w:ascii="Times New Roman" w:eastAsia="Times New Roman" w:hAnsi="Times New Roman" w:cs="Times New Roman"/>
                      <w:color w:val="000000"/>
                      <w:sz w:val="24"/>
                      <w:szCs w:val="24"/>
                      <w:lang w:eastAsia="fr-CA"/>
                    </w:rPr>
                    <w:t xml:space="preserve"> </w:t>
                  </w:r>
                  <w:r w:rsidR="006E124F" w:rsidRPr="00597357">
                    <w:rPr>
                      <w:rFonts w:ascii="Times New Roman" w:eastAsia="Times New Roman" w:hAnsi="Times New Roman" w:cs="Times New Roman"/>
                      <w:color w:val="000000"/>
                      <w:sz w:val="24"/>
                      <w:szCs w:val="24"/>
                      <w:lang w:eastAsia="fr-CA"/>
                    </w:rPr>
                    <w:t>jeunesse emploi</w:t>
                  </w:r>
                </w:p>
              </w:tc>
              <w:tc>
                <w:tcPr>
                  <w:tcW w:w="2410" w:type="dxa"/>
                  <w:tcBorders>
                    <w:top w:val="nil"/>
                    <w:left w:val="nil"/>
                    <w:bottom w:val="nil"/>
                    <w:right w:val="nil"/>
                  </w:tcBorders>
                  <w:shd w:val="clear" w:color="auto" w:fill="auto"/>
                  <w:noWrap/>
                  <w:vAlign w:val="bottom"/>
                </w:tcPr>
                <w:p w:rsidR="006E124F" w:rsidRPr="00597357" w:rsidRDefault="006E124F" w:rsidP="00AF40DE">
                  <w:pPr>
                    <w:spacing w:after="0" w:line="240" w:lineRule="auto"/>
                    <w:ind w:right="-70"/>
                    <w:jc w:val="both"/>
                    <w:rPr>
                      <w:rFonts w:ascii="Times New Roman" w:eastAsia="Times New Roman" w:hAnsi="Times New Roman" w:cs="Times New Roman"/>
                      <w:color w:val="000000"/>
                      <w:sz w:val="24"/>
                      <w:szCs w:val="24"/>
                      <w:lang w:eastAsia="fr-CA"/>
                    </w:rPr>
                  </w:pPr>
                  <w:r w:rsidRPr="00597357">
                    <w:rPr>
                      <w:rFonts w:ascii="Times New Roman" w:eastAsia="Times New Roman" w:hAnsi="Times New Roman" w:cs="Times New Roman"/>
                      <w:color w:val="000000"/>
                      <w:sz w:val="24"/>
                      <w:szCs w:val="24"/>
                      <w:lang w:eastAsia="fr-CA"/>
                    </w:rPr>
                    <w:t xml:space="preserve">0 $ </w:t>
                  </w:r>
                </w:p>
              </w:tc>
            </w:tr>
            <w:tr w:rsidR="006E124F" w:rsidRPr="00597357" w:rsidTr="00AF40DE">
              <w:trPr>
                <w:trHeight w:val="300"/>
              </w:trPr>
              <w:tc>
                <w:tcPr>
                  <w:tcW w:w="2160" w:type="dxa"/>
                  <w:tcBorders>
                    <w:top w:val="nil"/>
                    <w:left w:val="nil"/>
                    <w:bottom w:val="nil"/>
                    <w:right w:val="nil"/>
                  </w:tcBorders>
                  <w:shd w:val="clear" w:color="auto" w:fill="FFFF00"/>
                  <w:noWrap/>
                  <w:vAlign w:val="bottom"/>
                </w:tcPr>
                <w:p w:rsidR="006E124F" w:rsidRPr="00597357" w:rsidRDefault="006E124F" w:rsidP="00AF40DE">
                  <w:pPr>
                    <w:spacing w:after="0" w:line="240" w:lineRule="auto"/>
                    <w:ind w:right="-70"/>
                    <w:jc w:val="both"/>
                    <w:rPr>
                      <w:rFonts w:ascii="Times New Roman" w:eastAsia="Times New Roman" w:hAnsi="Times New Roman" w:cs="Times New Roman"/>
                      <w:color w:val="000000"/>
                      <w:sz w:val="24"/>
                      <w:szCs w:val="24"/>
                      <w:lang w:eastAsia="fr-CA"/>
                    </w:rPr>
                  </w:pPr>
                  <w:r w:rsidRPr="00597357">
                    <w:rPr>
                      <w:rFonts w:ascii="Times New Roman" w:eastAsia="Times New Roman" w:hAnsi="Times New Roman" w:cs="Times New Roman"/>
                      <w:color w:val="000000"/>
                      <w:sz w:val="24"/>
                      <w:szCs w:val="24"/>
                      <w:lang w:eastAsia="fr-CA"/>
                    </w:rPr>
                    <w:t>UQTR</w:t>
                  </w:r>
                </w:p>
              </w:tc>
              <w:tc>
                <w:tcPr>
                  <w:tcW w:w="2410" w:type="dxa"/>
                  <w:tcBorders>
                    <w:top w:val="nil"/>
                    <w:left w:val="nil"/>
                    <w:bottom w:val="nil"/>
                    <w:right w:val="nil"/>
                  </w:tcBorders>
                  <w:shd w:val="clear" w:color="auto" w:fill="FFFF00"/>
                  <w:noWrap/>
                  <w:vAlign w:val="bottom"/>
                </w:tcPr>
                <w:p w:rsidR="006E124F" w:rsidRPr="00597357" w:rsidRDefault="006E124F" w:rsidP="00AF40DE">
                  <w:pPr>
                    <w:spacing w:after="0" w:line="240" w:lineRule="auto"/>
                    <w:ind w:right="-70"/>
                    <w:jc w:val="both"/>
                    <w:rPr>
                      <w:rFonts w:ascii="Times New Roman" w:eastAsia="Times New Roman" w:hAnsi="Times New Roman" w:cs="Times New Roman"/>
                      <w:color w:val="000000"/>
                      <w:sz w:val="24"/>
                      <w:szCs w:val="24"/>
                      <w:lang w:eastAsia="fr-CA"/>
                    </w:rPr>
                  </w:pPr>
                  <w:r w:rsidRPr="00597357">
                    <w:rPr>
                      <w:rFonts w:ascii="Times New Roman" w:eastAsia="Times New Roman" w:hAnsi="Times New Roman" w:cs="Times New Roman"/>
                      <w:color w:val="000000"/>
                      <w:sz w:val="24"/>
                      <w:szCs w:val="24"/>
                      <w:lang w:eastAsia="fr-CA"/>
                    </w:rPr>
                    <w:t xml:space="preserve">200 $ </w:t>
                  </w:r>
                </w:p>
              </w:tc>
            </w:tr>
            <w:tr w:rsidR="006E124F" w:rsidRPr="00597357" w:rsidTr="00AF40DE">
              <w:trPr>
                <w:trHeight w:val="300"/>
              </w:trPr>
              <w:tc>
                <w:tcPr>
                  <w:tcW w:w="2160" w:type="dxa"/>
                  <w:tcBorders>
                    <w:top w:val="nil"/>
                    <w:left w:val="nil"/>
                    <w:bottom w:val="nil"/>
                    <w:right w:val="nil"/>
                  </w:tcBorders>
                  <w:shd w:val="clear" w:color="auto" w:fill="auto"/>
                  <w:noWrap/>
                  <w:vAlign w:val="bottom"/>
                  <w:hideMark/>
                </w:tcPr>
                <w:p w:rsidR="006E124F" w:rsidRPr="00597357" w:rsidRDefault="006E124F" w:rsidP="00AF40DE">
                  <w:pPr>
                    <w:spacing w:after="0" w:line="240" w:lineRule="auto"/>
                    <w:ind w:right="-70"/>
                    <w:jc w:val="both"/>
                    <w:rPr>
                      <w:rFonts w:ascii="Times New Roman" w:eastAsia="Times New Roman" w:hAnsi="Times New Roman" w:cs="Times New Roman"/>
                      <w:color w:val="000000"/>
                      <w:sz w:val="24"/>
                      <w:szCs w:val="24"/>
                      <w:lang w:eastAsia="fr-CA"/>
                    </w:rPr>
                  </w:pPr>
                  <w:r w:rsidRPr="00597357">
                    <w:rPr>
                      <w:rFonts w:ascii="Times New Roman" w:eastAsia="Times New Roman" w:hAnsi="Times New Roman" w:cs="Times New Roman"/>
                      <w:color w:val="000000"/>
                      <w:sz w:val="24"/>
                      <w:szCs w:val="24"/>
                      <w:lang w:eastAsia="fr-CA"/>
                    </w:rPr>
                    <w:t>Sprint</w:t>
                  </w:r>
                </w:p>
              </w:tc>
              <w:tc>
                <w:tcPr>
                  <w:tcW w:w="2410" w:type="dxa"/>
                  <w:tcBorders>
                    <w:top w:val="nil"/>
                    <w:left w:val="nil"/>
                    <w:bottom w:val="nil"/>
                    <w:right w:val="nil"/>
                  </w:tcBorders>
                  <w:shd w:val="clear" w:color="auto" w:fill="auto"/>
                  <w:noWrap/>
                  <w:vAlign w:val="bottom"/>
                  <w:hideMark/>
                </w:tcPr>
                <w:p w:rsidR="006E124F" w:rsidRPr="00597357" w:rsidRDefault="006E124F" w:rsidP="00AF40DE">
                  <w:pPr>
                    <w:spacing w:after="0" w:line="240" w:lineRule="auto"/>
                    <w:ind w:right="-70"/>
                    <w:jc w:val="both"/>
                    <w:rPr>
                      <w:rFonts w:ascii="Times New Roman" w:eastAsia="Times New Roman" w:hAnsi="Times New Roman" w:cs="Times New Roman"/>
                      <w:color w:val="000000"/>
                      <w:sz w:val="24"/>
                      <w:szCs w:val="24"/>
                      <w:lang w:eastAsia="fr-CA"/>
                    </w:rPr>
                  </w:pPr>
                  <w:r w:rsidRPr="00597357">
                    <w:rPr>
                      <w:rFonts w:ascii="Times New Roman" w:eastAsia="Times New Roman" w:hAnsi="Times New Roman" w:cs="Times New Roman"/>
                      <w:color w:val="000000"/>
                      <w:sz w:val="24"/>
                      <w:szCs w:val="24"/>
                      <w:lang w:eastAsia="fr-CA"/>
                    </w:rPr>
                    <w:t xml:space="preserve">425 $ </w:t>
                  </w:r>
                </w:p>
              </w:tc>
            </w:tr>
          </w:tbl>
          <w:p w:rsidR="006E124F" w:rsidRPr="00597357" w:rsidRDefault="006E124F" w:rsidP="007A7A51">
            <w:pPr>
              <w:spacing w:line="360" w:lineRule="auto"/>
              <w:jc w:val="both"/>
              <w:rPr>
                <w:rFonts w:ascii="Times New Roman" w:hAnsi="Times New Roman" w:cs="Times New Roman"/>
                <w:sz w:val="24"/>
                <w:szCs w:val="24"/>
              </w:rPr>
            </w:pPr>
          </w:p>
        </w:tc>
        <w:tc>
          <w:tcPr>
            <w:tcW w:w="2127" w:type="dxa"/>
          </w:tcPr>
          <w:p w:rsidR="006E124F" w:rsidRPr="00597357" w:rsidRDefault="006E124F" w:rsidP="007A7A51">
            <w:pPr>
              <w:spacing w:line="360" w:lineRule="auto"/>
              <w:jc w:val="both"/>
              <w:rPr>
                <w:rFonts w:ascii="Times New Roman" w:hAnsi="Times New Roman" w:cs="Times New Roman"/>
                <w:sz w:val="24"/>
                <w:szCs w:val="24"/>
              </w:rPr>
            </w:pPr>
            <w:r w:rsidRPr="00597357">
              <w:rPr>
                <w:rFonts w:ascii="Times New Roman" w:hAnsi="Times New Roman" w:cs="Times New Roman"/>
                <w:sz w:val="24"/>
                <w:szCs w:val="24"/>
              </w:rPr>
              <w:t>Focalisation</w:t>
            </w:r>
          </w:p>
        </w:tc>
      </w:tr>
      <w:tr w:rsidR="006E124F" w:rsidRPr="00597357" w:rsidTr="007A7A51">
        <w:trPr>
          <w:trHeight w:val="1067"/>
        </w:trPr>
        <w:tc>
          <w:tcPr>
            <w:tcW w:w="1702" w:type="dxa"/>
            <w:vMerge/>
            <w:shd w:val="clear" w:color="auto" w:fill="C4960C"/>
          </w:tcPr>
          <w:p w:rsidR="006E124F" w:rsidRPr="00597357" w:rsidRDefault="006E124F" w:rsidP="007A7A51">
            <w:pPr>
              <w:spacing w:line="360" w:lineRule="auto"/>
              <w:ind w:left="708"/>
              <w:jc w:val="both"/>
              <w:rPr>
                <w:rFonts w:ascii="Times New Roman" w:hAnsi="Times New Roman" w:cs="Times New Roman"/>
                <w:sz w:val="24"/>
                <w:szCs w:val="24"/>
              </w:rPr>
            </w:pPr>
          </w:p>
        </w:tc>
        <w:tc>
          <w:tcPr>
            <w:tcW w:w="1701" w:type="dxa"/>
          </w:tcPr>
          <w:p w:rsidR="006E124F" w:rsidRPr="00597357" w:rsidRDefault="006E124F" w:rsidP="007A7A51">
            <w:pPr>
              <w:spacing w:after="200"/>
              <w:rPr>
                <w:rFonts w:ascii="Times New Roman" w:hAnsi="Times New Roman" w:cs="Times New Roman"/>
                <w:sz w:val="24"/>
                <w:szCs w:val="24"/>
              </w:rPr>
            </w:pPr>
            <w:r w:rsidRPr="00597357">
              <w:rPr>
                <w:rFonts w:ascii="Times New Roman" w:hAnsi="Times New Roman" w:cs="Times New Roman"/>
                <w:sz w:val="24"/>
                <w:szCs w:val="24"/>
              </w:rPr>
              <w:t>Service d'aide aux devoirs : élèves du primaire et secondaire</w:t>
            </w:r>
          </w:p>
        </w:tc>
        <w:tc>
          <w:tcPr>
            <w:tcW w:w="4819" w:type="dxa"/>
            <w:gridSpan w:val="2"/>
          </w:tcPr>
          <w:p w:rsidR="006E124F" w:rsidRPr="00597357" w:rsidRDefault="006E124F" w:rsidP="007A7A51">
            <w:pPr>
              <w:spacing w:line="360" w:lineRule="auto"/>
              <w:jc w:val="both"/>
              <w:rPr>
                <w:rFonts w:ascii="Times New Roman" w:hAnsi="Times New Roman" w:cs="Times New Roman"/>
                <w:sz w:val="24"/>
                <w:szCs w:val="24"/>
              </w:rPr>
            </w:pPr>
            <w:r w:rsidRPr="00597357">
              <w:rPr>
                <w:rFonts w:ascii="Times New Roman" w:hAnsi="Times New Roman" w:cs="Times New Roman"/>
                <w:sz w:val="24"/>
                <w:szCs w:val="24"/>
              </w:rPr>
              <w:t>Indéterminé</w:t>
            </w:r>
          </w:p>
        </w:tc>
        <w:tc>
          <w:tcPr>
            <w:tcW w:w="2127" w:type="dxa"/>
          </w:tcPr>
          <w:p w:rsidR="006E124F" w:rsidRPr="00597357" w:rsidRDefault="006E124F" w:rsidP="007A7A51">
            <w:pPr>
              <w:spacing w:line="360" w:lineRule="auto"/>
              <w:jc w:val="both"/>
              <w:rPr>
                <w:rFonts w:ascii="Times New Roman" w:hAnsi="Times New Roman" w:cs="Times New Roman"/>
                <w:sz w:val="24"/>
                <w:szCs w:val="24"/>
              </w:rPr>
            </w:pPr>
            <w:r w:rsidRPr="00597357">
              <w:rPr>
                <w:rFonts w:ascii="Times New Roman" w:hAnsi="Times New Roman" w:cs="Times New Roman"/>
                <w:sz w:val="24"/>
                <w:szCs w:val="24"/>
              </w:rPr>
              <w:t>n/a</w:t>
            </w:r>
          </w:p>
        </w:tc>
      </w:tr>
    </w:tbl>
    <w:p w:rsidR="006E124F" w:rsidRDefault="006E124F" w:rsidP="006E124F">
      <w:pPr>
        <w:spacing w:line="360" w:lineRule="auto"/>
        <w:jc w:val="both"/>
        <w:rPr>
          <w:rFonts w:ascii="Times New Roman" w:hAnsi="Times New Roman" w:cs="Times New Roman"/>
          <w:sz w:val="24"/>
          <w:szCs w:val="24"/>
        </w:rPr>
      </w:pPr>
    </w:p>
    <w:p w:rsidR="006E124F" w:rsidRPr="00597357" w:rsidRDefault="006E124F" w:rsidP="006E124F">
      <w:pPr>
        <w:spacing w:line="360" w:lineRule="auto"/>
        <w:jc w:val="both"/>
        <w:rPr>
          <w:rFonts w:ascii="Times New Roman" w:hAnsi="Times New Roman" w:cs="Times New Roman"/>
          <w:sz w:val="24"/>
          <w:szCs w:val="24"/>
        </w:rPr>
      </w:pPr>
      <w:r w:rsidRPr="00597357">
        <w:rPr>
          <w:rFonts w:ascii="Times New Roman" w:hAnsi="Times New Roman" w:cs="Times New Roman"/>
          <w:sz w:val="24"/>
          <w:szCs w:val="24"/>
        </w:rPr>
        <w:t>Le tableau de la page précédente met en évidence les différentes stratégies génériques utilisées pour opérer les DAS de l’UQTR</w:t>
      </w:r>
      <w:r w:rsidRPr="00597357">
        <w:rPr>
          <w:rStyle w:val="Appelnotedebasdep"/>
          <w:rFonts w:ascii="Times New Roman" w:hAnsi="Times New Roman" w:cs="Times New Roman"/>
          <w:sz w:val="24"/>
          <w:szCs w:val="24"/>
        </w:rPr>
        <w:footnoteReference w:id="85"/>
      </w:r>
      <w:r w:rsidRPr="00597357">
        <w:rPr>
          <w:rFonts w:ascii="Times New Roman" w:hAnsi="Times New Roman" w:cs="Times New Roman"/>
          <w:sz w:val="24"/>
          <w:szCs w:val="24"/>
        </w:rPr>
        <w:t>. On en dénombre trois, tel que l’illustre l’organigramme suivant.</w:t>
      </w:r>
    </w:p>
    <w:p w:rsidR="006E124F" w:rsidRPr="00597357" w:rsidRDefault="006E124F" w:rsidP="006E124F">
      <w:pPr>
        <w:spacing w:line="360" w:lineRule="auto"/>
        <w:jc w:val="both"/>
        <w:rPr>
          <w:rFonts w:ascii="Times New Roman" w:hAnsi="Times New Roman" w:cs="Times New Roman"/>
          <w:sz w:val="24"/>
          <w:szCs w:val="24"/>
        </w:rPr>
      </w:pPr>
      <w:r w:rsidRPr="00597357">
        <w:rPr>
          <w:rFonts w:ascii="Times New Roman" w:hAnsi="Times New Roman" w:cs="Times New Roman"/>
          <w:noProof/>
          <w:sz w:val="24"/>
          <w:szCs w:val="24"/>
          <w:lang w:eastAsia="fr-CA"/>
        </w:rPr>
        <w:drawing>
          <wp:anchor distT="0" distB="0" distL="114300" distR="114300" simplePos="0" relativeHeight="251657728" behindDoc="0" locked="0" layoutInCell="1" allowOverlap="1">
            <wp:simplePos x="0" y="0"/>
            <wp:positionH relativeFrom="column">
              <wp:posOffset>-296545</wp:posOffset>
            </wp:positionH>
            <wp:positionV relativeFrom="paragraph">
              <wp:posOffset>203200</wp:posOffset>
            </wp:positionV>
            <wp:extent cx="6150610" cy="2259965"/>
            <wp:effectExtent l="19050" t="0" r="2540" b="6985"/>
            <wp:wrapNone/>
            <wp:docPr id="6" name="Diagramme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anchor>
        </w:drawing>
      </w:r>
    </w:p>
    <w:p w:rsidR="006E124F" w:rsidRPr="00597357" w:rsidRDefault="006E124F" w:rsidP="006E124F">
      <w:pPr>
        <w:spacing w:line="360" w:lineRule="auto"/>
        <w:jc w:val="both"/>
        <w:rPr>
          <w:rFonts w:ascii="Times New Roman" w:hAnsi="Times New Roman" w:cs="Times New Roman"/>
          <w:sz w:val="24"/>
          <w:szCs w:val="24"/>
        </w:rPr>
      </w:pPr>
    </w:p>
    <w:p w:rsidR="006E124F" w:rsidRPr="00597357" w:rsidRDefault="006E124F" w:rsidP="006E124F">
      <w:pPr>
        <w:spacing w:line="360" w:lineRule="auto"/>
        <w:jc w:val="both"/>
        <w:rPr>
          <w:rFonts w:ascii="Times New Roman" w:hAnsi="Times New Roman" w:cs="Times New Roman"/>
          <w:sz w:val="24"/>
          <w:szCs w:val="24"/>
        </w:rPr>
      </w:pPr>
    </w:p>
    <w:p w:rsidR="006E124F" w:rsidRPr="00597357" w:rsidRDefault="006E124F" w:rsidP="006E124F">
      <w:pPr>
        <w:spacing w:line="360" w:lineRule="auto"/>
        <w:jc w:val="both"/>
        <w:rPr>
          <w:rFonts w:ascii="Times New Roman" w:hAnsi="Times New Roman" w:cs="Times New Roman"/>
          <w:sz w:val="24"/>
          <w:szCs w:val="24"/>
        </w:rPr>
      </w:pPr>
    </w:p>
    <w:p w:rsidR="006E124F" w:rsidRPr="00597357" w:rsidRDefault="006E124F" w:rsidP="006E124F">
      <w:pPr>
        <w:spacing w:line="360" w:lineRule="auto"/>
        <w:jc w:val="both"/>
        <w:rPr>
          <w:rFonts w:ascii="Times New Roman" w:hAnsi="Times New Roman" w:cs="Times New Roman"/>
          <w:sz w:val="24"/>
          <w:szCs w:val="24"/>
        </w:rPr>
      </w:pPr>
    </w:p>
    <w:p w:rsidR="006E124F" w:rsidRPr="00597357" w:rsidRDefault="006E124F" w:rsidP="006E124F">
      <w:pPr>
        <w:spacing w:line="360" w:lineRule="auto"/>
        <w:jc w:val="both"/>
        <w:rPr>
          <w:rFonts w:ascii="Times New Roman" w:hAnsi="Times New Roman" w:cs="Times New Roman"/>
          <w:sz w:val="24"/>
          <w:szCs w:val="24"/>
        </w:rPr>
      </w:pPr>
    </w:p>
    <w:p w:rsidR="006E124F" w:rsidRPr="00597357" w:rsidRDefault="006E124F" w:rsidP="006E124F">
      <w:pPr>
        <w:spacing w:line="360" w:lineRule="auto"/>
        <w:jc w:val="both"/>
        <w:rPr>
          <w:rFonts w:ascii="Times New Roman" w:hAnsi="Times New Roman" w:cs="Times New Roman"/>
          <w:sz w:val="24"/>
          <w:szCs w:val="24"/>
        </w:rPr>
      </w:pPr>
    </w:p>
    <w:p w:rsidR="006E124F" w:rsidRPr="00597357" w:rsidRDefault="006E124F" w:rsidP="006E124F">
      <w:pPr>
        <w:spacing w:line="360" w:lineRule="auto"/>
        <w:jc w:val="both"/>
        <w:rPr>
          <w:rFonts w:ascii="Times New Roman" w:hAnsi="Times New Roman" w:cs="Times New Roman"/>
          <w:sz w:val="24"/>
          <w:szCs w:val="24"/>
        </w:rPr>
      </w:pPr>
    </w:p>
    <w:p w:rsidR="006E124F" w:rsidRPr="00597357" w:rsidRDefault="006E124F" w:rsidP="006E124F">
      <w:pPr>
        <w:spacing w:line="360" w:lineRule="auto"/>
        <w:jc w:val="both"/>
        <w:rPr>
          <w:rFonts w:ascii="Times New Roman" w:hAnsi="Times New Roman" w:cs="Times New Roman"/>
          <w:sz w:val="24"/>
          <w:szCs w:val="24"/>
        </w:rPr>
      </w:pPr>
      <w:r>
        <w:rPr>
          <w:rFonts w:ascii="Times New Roman" w:hAnsi="Times New Roman" w:cs="Times New Roman"/>
          <w:sz w:val="24"/>
          <w:szCs w:val="24"/>
        </w:rPr>
        <w:t>Il sera question</w:t>
      </w:r>
      <w:r w:rsidRPr="00597357">
        <w:rPr>
          <w:rFonts w:ascii="Times New Roman" w:hAnsi="Times New Roman" w:cs="Times New Roman"/>
          <w:sz w:val="24"/>
          <w:szCs w:val="24"/>
        </w:rPr>
        <w:t xml:space="preserve"> de domination par les coûts du côté de l’éducation universitaire, et de différentiation et de focalisation du côté des services à la communauté. Il est à noter que la stratégie de </w:t>
      </w:r>
      <w:r w:rsidR="003520A0">
        <w:rPr>
          <w:rFonts w:ascii="Times New Roman" w:hAnsi="Times New Roman" w:cs="Times New Roman"/>
          <w:sz w:val="24"/>
          <w:szCs w:val="24"/>
        </w:rPr>
        <w:t>différenciation</w:t>
      </w:r>
      <w:r w:rsidRPr="00597357">
        <w:rPr>
          <w:rFonts w:ascii="Times New Roman" w:hAnsi="Times New Roman" w:cs="Times New Roman"/>
          <w:sz w:val="24"/>
          <w:szCs w:val="24"/>
        </w:rPr>
        <w:t xml:space="preserve"> varie selon le service communautaire étudié. En effet, dans le cas du CAPS, l’offre proposée est supérieure aux autres centres de conditionnement physique, en offrant un accès aux gymnases, à une piscine intérieure, à une piste de course intérieure ainsi qu’à deux centres de musculation. Dans le cas des cliniques de santé, il s’agira d’une différentiation proposant une offre </w:t>
      </w:r>
      <w:r w:rsidR="003520A0">
        <w:rPr>
          <w:rFonts w:ascii="Times New Roman" w:hAnsi="Times New Roman" w:cs="Times New Roman"/>
          <w:sz w:val="24"/>
          <w:szCs w:val="24"/>
        </w:rPr>
        <w:t>inférieure,</w:t>
      </w:r>
      <w:r w:rsidRPr="00597357">
        <w:rPr>
          <w:rFonts w:ascii="Times New Roman" w:hAnsi="Times New Roman" w:cs="Times New Roman"/>
          <w:sz w:val="24"/>
          <w:szCs w:val="24"/>
        </w:rPr>
        <w:t xml:space="preserve"> mais moins chère dans certains cas de cliniques, comme la podiatrie. Dans d’autres cas, comme à physiothérapie, on appliquera une stratégie de focalisation, alors qu’on adressera les sportifs de haut niveau et les accidents de travail</w:t>
      </w:r>
      <w:r w:rsidRPr="00597357">
        <w:rPr>
          <w:rStyle w:val="Appelnotedebasdep"/>
          <w:rFonts w:ascii="Times New Roman" w:hAnsi="Times New Roman" w:cs="Times New Roman"/>
          <w:sz w:val="24"/>
          <w:szCs w:val="24"/>
        </w:rPr>
        <w:footnoteReference w:id="86"/>
      </w:r>
      <w:r w:rsidRPr="00597357">
        <w:rPr>
          <w:rFonts w:ascii="Times New Roman" w:hAnsi="Times New Roman" w:cs="Times New Roman"/>
          <w:sz w:val="24"/>
          <w:szCs w:val="24"/>
        </w:rPr>
        <w:t xml:space="preserve">, déférés par la CSST par exemple. Les services et unités en lien avec l’UQTR, soit l’orientation scolaire et pédagogique, </w:t>
      </w:r>
      <w:r w:rsidR="003520A0">
        <w:rPr>
          <w:rFonts w:ascii="Times New Roman" w:hAnsi="Times New Roman" w:cs="Times New Roman"/>
          <w:sz w:val="24"/>
          <w:szCs w:val="24"/>
        </w:rPr>
        <w:lastRenderedPageBreak/>
        <w:t>avantagent</w:t>
      </w:r>
      <w:r w:rsidRPr="00597357">
        <w:rPr>
          <w:rFonts w:ascii="Times New Roman" w:hAnsi="Times New Roman" w:cs="Times New Roman"/>
          <w:sz w:val="24"/>
          <w:szCs w:val="24"/>
        </w:rPr>
        <w:t xml:space="preserve"> manifestement les étudiants de l’UQTR, en offrant des tarifs de 20$ par consultation de 60 minutes plutôt que de 40$ pour le grand public</w:t>
      </w:r>
      <w:r w:rsidRPr="00597357">
        <w:rPr>
          <w:rStyle w:val="Appelnotedebasdep"/>
          <w:rFonts w:ascii="Times New Roman" w:hAnsi="Times New Roman" w:cs="Times New Roman"/>
          <w:sz w:val="24"/>
          <w:szCs w:val="24"/>
        </w:rPr>
        <w:footnoteReference w:id="87"/>
      </w:r>
      <w:r w:rsidRPr="00597357">
        <w:rPr>
          <w:rFonts w:ascii="Times New Roman" w:hAnsi="Times New Roman" w:cs="Times New Roman"/>
          <w:sz w:val="24"/>
          <w:szCs w:val="24"/>
        </w:rPr>
        <w:t>. Ainsi, ce service centre ses efforts sur la population étudiante, qu’elle souhaite desservir en priorité.</w:t>
      </w:r>
    </w:p>
    <w:p w:rsidR="00A55D21" w:rsidRDefault="00A55D21">
      <w:pPr>
        <w:rPr>
          <w:rFonts w:asciiTheme="majorHAnsi" w:eastAsiaTheme="majorEastAsia" w:hAnsiTheme="majorHAnsi" w:cstheme="majorBidi"/>
          <w:b/>
          <w:bCs/>
          <w:i/>
          <w:iCs/>
          <w:color w:val="00703C" w:themeColor="accent1"/>
        </w:rPr>
      </w:pPr>
    </w:p>
    <w:p w:rsidR="00802537" w:rsidRPr="00802537" w:rsidRDefault="00A55D21" w:rsidP="006E124F">
      <w:pPr>
        <w:pStyle w:val="Titre4"/>
        <w:ind w:left="708"/>
      </w:pPr>
      <w:r w:rsidRPr="00C90F0C">
        <w:rPr>
          <w:rFonts w:ascii="Times New Roman" w:hAnsi="Times New Roman" w:cs="Times New Roman"/>
          <w:noProof/>
          <w:sz w:val="24"/>
          <w:szCs w:val="24"/>
          <w:lang w:eastAsia="fr-CA"/>
        </w:rPr>
        <w:drawing>
          <wp:anchor distT="0" distB="0" distL="114300" distR="114300" simplePos="0" relativeHeight="251663872" behindDoc="0" locked="0" layoutInCell="1" allowOverlap="1">
            <wp:simplePos x="0" y="0"/>
            <wp:positionH relativeFrom="column">
              <wp:posOffset>923925</wp:posOffset>
            </wp:positionH>
            <wp:positionV relativeFrom="paragraph">
              <wp:posOffset>9525</wp:posOffset>
            </wp:positionV>
            <wp:extent cx="3629025" cy="4019550"/>
            <wp:effectExtent l="0" t="0" r="0" b="0"/>
            <wp:wrapNone/>
            <wp:docPr id="10"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bookmarkStart w:id="40" w:name="_Toc417486252"/>
      <w:r w:rsidR="006E124F">
        <w:t xml:space="preserve">6.2.2 </w:t>
      </w:r>
      <w:r w:rsidR="00802537" w:rsidRPr="00802537">
        <w:t>Horloge stratégique :</w:t>
      </w:r>
      <w:bookmarkEnd w:id="40"/>
    </w:p>
    <w:p w:rsidR="00802537" w:rsidRPr="00C90F0C" w:rsidRDefault="00802537" w:rsidP="00760174">
      <w:pPr>
        <w:spacing w:after="0" w:line="240" w:lineRule="auto"/>
        <w:jc w:val="right"/>
        <w:rPr>
          <w:rFonts w:ascii="Times New Roman" w:hAnsi="Times New Roman" w:cs="Times New Roman"/>
          <w:sz w:val="24"/>
          <w:szCs w:val="24"/>
        </w:rPr>
      </w:pPr>
    </w:p>
    <w:p w:rsidR="00802537" w:rsidRPr="00C90F0C" w:rsidRDefault="00802537" w:rsidP="00802537">
      <w:pPr>
        <w:spacing w:line="360" w:lineRule="auto"/>
        <w:jc w:val="both"/>
        <w:rPr>
          <w:rFonts w:ascii="Times New Roman" w:hAnsi="Times New Roman" w:cs="Times New Roman"/>
          <w:sz w:val="24"/>
          <w:szCs w:val="24"/>
        </w:rPr>
      </w:pPr>
    </w:p>
    <w:p w:rsidR="00A55D21" w:rsidRDefault="00A55D21" w:rsidP="00802537">
      <w:pPr>
        <w:spacing w:line="360" w:lineRule="auto"/>
        <w:jc w:val="both"/>
        <w:rPr>
          <w:rFonts w:ascii="Times New Roman" w:hAnsi="Times New Roman" w:cs="Times New Roman"/>
          <w:sz w:val="24"/>
          <w:szCs w:val="24"/>
        </w:rPr>
      </w:pPr>
    </w:p>
    <w:p w:rsidR="00A55D21" w:rsidRDefault="00A55D21" w:rsidP="00802537">
      <w:pPr>
        <w:spacing w:line="360" w:lineRule="auto"/>
        <w:jc w:val="both"/>
        <w:rPr>
          <w:rFonts w:ascii="Times New Roman" w:hAnsi="Times New Roman" w:cs="Times New Roman"/>
          <w:sz w:val="24"/>
          <w:szCs w:val="24"/>
        </w:rPr>
      </w:pPr>
    </w:p>
    <w:p w:rsidR="00A55D21" w:rsidRDefault="00A55D21" w:rsidP="00802537">
      <w:pPr>
        <w:spacing w:line="360" w:lineRule="auto"/>
        <w:jc w:val="both"/>
        <w:rPr>
          <w:rFonts w:ascii="Times New Roman" w:hAnsi="Times New Roman" w:cs="Times New Roman"/>
          <w:sz w:val="24"/>
          <w:szCs w:val="24"/>
        </w:rPr>
      </w:pPr>
    </w:p>
    <w:p w:rsidR="00A55D21" w:rsidRDefault="00A55D21" w:rsidP="00802537">
      <w:pPr>
        <w:spacing w:line="360" w:lineRule="auto"/>
        <w:jc w:val="both"/>
        <w:rPr>
          <w:rFonts w:ascii="Times New Roman" w:hAnsi="Times New Roman" w:cs="Times New Roman"/>
          <w:sz w:val="24"/>
          <w:szCs w:val="24"/>
        </w:rPr>
      </w:pPr>
    </w:p>
    <w:p w:rsidR="00A55D21" w:rsidRDefault="00A55D21" w:rsidP="00802537">
      <w:pPr>
        <w:spacing w:line="360" w:lineRule="auto"/>
        <w:jc w:val="both"/>
        <w:rPr>
          <w:rFonts w:ascii="Times New Roman" w:hAnsi="Times New Roman" w:cs="Times New Roman"/>
          <w:sz w:val="24"/>
          <w:szCs w:val="24"/>
        </w:rPr>
      </w:pPr>
    </w:p>
    <w:p w:rsidR="00A55D21" w:rsidRDefault="00A55D21" w:rsidP="00802537">
      <w:pPr>
        <w:spacing w:line="360" w:lineRule="auto"/>
        <w:jc w:val="both"/>
        <w:rPr>
          <w:rFonts w:ascii="Times New Roman" w:hAnsi="Times New Roman" w:cs="Times New Roman"/>
          <w:sz w:val="24"/>
          <w:szCs w:val="24"/>
        </w:rPr>
      </w:pPr>
    </w:p>
    <w:p w:rsidR="00A55D21" w:rsidRDefault="00A55D21" w:rsidP="00802537">
      <w:pPr>
        <w:spacing w:line="360" w:lineRule="auto"/>
        <w:jc w:val="both"/>
        <w:rPr>
          <w:rFonts w:ascii="Times New Roman" w:hAnsi="Times New Roman" w:cs="Times New Roman"/>
          <w:sz w:val="24"/>
          <w:szCs w:val="24"/>
        </w:rPr>
      </w:pPr>
    </w:p>
    <w:p w:rsidR="00A55D21" w:rsidRDefault="00A55D21" w:rsidP="00802537">
      <w:pPr>
        <w:spacing w:line="360" w:lineRule="auto"/>
        <w:jc w:val="both"/>
        <w:rPr>
          <w:rFonts w:ascii="Times New Roman" w:hAnsi="Times New Roman" w:cs="Times New Roman"/>
          <w:sz w:val="24"/>
          <w:szCs w:val="24"/>
        </w:rPr>
      </w:pPr>
    </w:p>
    <w:p w:rsidR="00A55D21" w:rsidRDefault="00A55D21" w:rsidP="00802537">
      <w:pPr>
        <w:spacing w:line="360" w:lineRule="auto"/>
        <w:jc w:val="both"/>
        <w:rPr>
          <w:rFonts w:ascii="Times New Roman" w:hAnsi="Times New Roman" w:cs="Times New Roman"/>
          <w:sz w:val="24"/>
          <w:szCs w:val="24"/>
        </w:rPr>
      </w:pPr>
    </w:p>
    <w:p w:rsidR="00802537" w:rsidRPr="00C90F0C" w:rsidRDefault="00802537" w:rsidP="00802537">
      <w:pPr>
        <w:spacing w:line="360" w:lineRule="auto"/>
        <w:jc w:val="both"/>
        <w:rPr>
          <w:rFonts w:ascii="Times New Roman" w:hAnsi="Times New Roman" w:cs="Times New Roman"/>
          <w:sz w:val="24"/>
          <w:szCs w:val="24"/>
        </w:rPr>
      </w:pPr>
      <w:r w:rsidRPr="00C90F0C">
        <w:rPr>
          <w:rFonts w:ascii="Times New Roman" w:hAnsi="Times New Roman" w:cs="Times New Roman"/>
          <w:sz w:val="24"/>
          <w:szCs w:val="24"/>
        </w:rPr>
        <w:t xml:space="preserve">Cette recherche est basée sur les coûts d’une session à 15 crédits, incluant tous les frais afférents, parmi plusieurs universités situées aux Québec. </w:t>
      </w:r>
    </w:p>
    <w:tbl>
      <w:tblPr>
        <w:tblStyle w:val="Grilledutableau"/>
        <w:tblW w:w="0" w:type="auto"/>
        <w:tblLook w:val="04A0"/>
      </w:tblPr>
      <w:tblGrid>
        <w:gridCol w:w="2518"/>
        <w:gridCol w:w="2410"/>
      </w:tblGrid>
      <w:tr w:rsidR="0056746D" w:rsidRPr="0056746D" w:rsidTr="0056746D">
        <w:tc>
          <w:tcPr>
            <w:tcW w:w="2518" w:type="dxa"/>
          </w:tcPr>
          <w:p w:rsidR="0056746D" w:rsidRPr="0056746D" w:rsidRDefault="0056746D" w:rsidP="00A83EA8">
            <w:pPr>
              <w:jc w:val="both"/>
              <w:rPr>
                <w:rFonts w:ascii="Times New Roman" w:hAnsi="Times New Roman" w:cs="Times New Roman"/>
                <w:sz w:val="24"/>
                <w:szCs w:val="24"/>
                <w:lang w:val="en-CA"/>
              </w:rPr>
            </w:pPr>
            <w:r w:rsidRPr="0056746D">
              <w:rPr>
                <w:rFonts w:ascii="Times New Roman" w:hAnsi="Times New Roman" w:cs="Times New Roman"/>
                <w:sz w:val="24"/>
                <w:szCs w:val="24"/>
                <w:lang w:val="en-CA"/>
              </w:rPr>
              <w:t xml:space="preserve">McGill : </w:t>
            </w:r>
            <w:r>
              <w:rPr>
                <w:rFonts w:ascii="Times New Roman" w:hAnsi="Times New Roman" w:cs="Times New Roman"/>
                <w:sz w:val="24"/>
                <w:szCs w:val="24"/>
                <w:lang w:val="en-CA"/>
              </w:rPr>
              <w:tab/>
            </w:r>
            <w:r w:rsidRPr="0056746D">
              <w:rPr>
                <w:rFonts w:ascii="Times New Roman" w:hAnsi="Times New Roman" w:cs="Times New Roman"/>
                <w:sz w:val="24"/>
                <w:szCs w:val="24"/>
                <w:lang w:val="en-CA"/>
              </w:rPr>
              <w:t>2062$</w:t>
            </w:r>
          </w:p>
        </w:tc>
        <w:tc>
          <w:tcPr>
            <w:tcW w:w="2410" w:type="dxa"/>
          </w:tcPr>
          <w:p w:rsidR="0056746D" w:rsidRPr="0056746D" w:rsidRDefault="0056746D" w:rsidP="00A83EA8">
            <w:pPr>
              <w:jc w:val="both"/>
              <w:rPr>
                <w:rFonts w:ascii="Times New Roman" w:hAnsi="Times New Roman" w:cs="Times New Roman"/>
                <w:sz w:val="24"/>
                <w:szCs w:val="24"/>
              </w:rPr>
            </w:pPr>
            <w:r w:rsidRPr="0056746D">
              <w:rPr>
                <w:rFonts w:ascii="Times New Roman" w:hAnsi="Times New Roman" w:cs="Times New Roman"/>
                <w:sz w:val="24"/>
                <w:szCs w:val="24"/>
              </w:rPr>
              <w:t xml:space="preserve">UQAM : </w:t>
            </w:r>
            <w:r>
              <w:rPr>
                <w:rFonts w:ascii="Times New Roman" w:hAnsi="Times New Roman" w:cs="Times New Roman"/>
                <w:sz w:val="24"/>
                <w:szCs w:val="24"/>
              </w:rPr>
              <w:tab/>
            </w:r>
            <w:r w:rsidRPr="0056746D">
              <w:rPr>
                <w:rFonts w:ascii="Times New Roman" w:hAnsi="Times New Roman" w:cs="Times New Roman"/>
                <w:sz w:val="24"/>
                <w:szCs w:val="24"/>
              </w:rPr>
              <w:t>1514$</w:t>
            </w:r>
          </w:p>
        </w:tc>
      </w:tr>
      <w:tr w:rsidR="0056746D" w:rsidRPr="0056746D" w:rsidTr="0056746D">
        <w:tc>
          <w:tcPr>
            <w:tcW w:w="2518" w:type="dxa"/>
          </w:tcPr>
          <w:p w:rsidR="0056746D" w:rsidRPr="0056746D" w:rsidRDefault="0056746D" w:rsidP="00A83EA8">
            <w:pPr>
              <w:jc w:val="both"/>
              <w:rPr>
                <w:rFonts w:ascii="Times New Roman" w:hAnsi="Times New Roman" w:cs="Times New Roman"/>
                <w:sz w:val="24"/>
                <w:szCs w:val="24"/>
                <w:lang w:val="en-CA"/>
              </w:rPr>
            </w:pPr>
            <w:r w:rsidRPr="0056746D">
              <w:rPr>
                <w:rFonts w:ascii="Times New Roman" w:hAnsi="Times New Roman" w:cs="Times New Roman"/>
                <w:sz w:val="24"/>
                <w:szCs w:val="24"/>
                <w:lang w:val="en-CA"/>
              </w:rPr>
              <w:t xml:space="preserve">Concordia : </w:t>
            </w:r>
            <w:r>
              <w:rPr>
                <w:rFonts w:ascii="Times New Roman" w:hAnsi="Times New Roman" w:cs="Times New Roman"/>
                <w:sz w:val="24"/>
                <w:szCs w:val="24"/>
                <w:lang w:val="en-CA"/>
              </w:rPr>
              <w:tab/>
            </w:r>
            <w:r w:rsidRPr="0056746D">
              <w:rPr>
                <w:rFonts w:ascii="Times New Roman" w:hAnsi="Times New Roman" w:cs="Times New Roman"/>
                <w:sz w:val="24"/>
                <w:szCs w:val="24"/>
                <w:lang w:val="en-CA"/>
              </w:rPr>
              <w:t>1883$</w:t>
            </w:r>
          </w:p>
        </w:tc>
        <w:tc>
          <w:tcPr>
            <w:tcW w:w="2410" w:type="dxa"/>
          </w:tcPr>
          <w:p w:rsidR="0056746D" w:rsidRPr="0056746D" w:rsidRDefault="0056746D" w:rsidP="00A83EA8">
            <w:pPr>
              <w:jc w:val="both"/>
              <w:rPr>
                <w:rFonts w:ascii="Times New Roman" w:hAnsi="Times New Roman" w:cs="Times New Roman"/>
                <w:sz w:val="24"/>
                <w:szCs w:val="24"/>
                <w:lang w:val="en-CA"/>
              </w:rPr>
            </w:pPr>
            <w:proofErr w:type="spellStart"/>
            <w:r w:rsidRPr="0056746D">
              <w:rPr>
                <w:rFonts w:ascii="Times New Roman" w:hAnsi="Times New Roman" w:cs="Times New Roman"/>
                <w:sz w:val="24"/>
                <w:szCs w:val="24"/>
                <w:lang w:val="en-CA"/>
              </w:rPr>
              <w:t>ULaval</w:t>
            </w:r>
            <w:proofErr w:type="spellEnd"/>
            <w:r w:rsidRPr="0056746D">
              <w:rPr>
                <w:rFonts w:ascii="Times New Roman" w:hAnsi="Times New Roman" w:cs="Times New Roman"/>
                <w:sz w:val="24"/>
                <w:szCs w:val="24"/>
                <w:lang w:val="en-CA"/>
              </w:rPr>
              <w:t xml:space="preserve"> : </w:t>
            </w:r>
            <w:r>
              <w:rPr>
                <w:rFonts w:ascii="Times New Roman" w:hAnsi="Times New Roman" w:cs="Times New Roman"/>
                <w:sz w:val="24"/>
                <w:szCs w:val="24"/>
                <w:lang w:val="en-CA"/>
              </w:rPr>
              <w:tab/>
            </w:r>
            <w:r w:rsidRPr="0056746D">
              <w:rPr>
                <w:rFonts w:ascii="Times New Roman" w:hAnsi="Times New Roman" w:cs="Times New Roman"/>
                <w:sz w:val="24"/>
                <w:szCs w:val="24"/>
                <w:lang w:val="en-CA"/>
              </w:rPr>
              <w:t>1457$</w:t>
            </w:r>
          </w:p>
        </w:tc>
      </w:tr>
      <w:tr w:rsidR="0056746D" w:rsidRPr="0056746D" w:rsidTr="0056746D">
        <w:tc>
          <w:tcPr>
            <w:tcW w:w="2518" w:type="dxa"/>
          </w:tcPr>
          <w:p w:rsidR="0056746D" w:rsidRPr="0056746D" w:rsidRDefault="0056746D" w:rsidP="00A83EA8">
            <w:pPr>
              <w:jc w:val="both"/>
              <w:rPr>
                <w:rFonts w:ascii="Times New Roman" w:hAnsi="Times New Roman" w:cs="Times New Roman"/>
                <w:sz w:val="24"/>
                <w:szCs w:val="24"/>
              </w:rPr>
            </w:pPr>
            <w:r w:rsidRPr="0056746D">
              <w:rPr>
                <w:rFonts w:ascii="Times New Roman" w:hAnsi="Times New Roman" w:cs="Times New Roman"/>
                <w:sz w:val="24"/>
                <w:szCs w:val="24"/>
              </w:rPr>
              <w:t xml:space="preserve">HEC : </w:t>
            </w:r>
            <w:r>
              <w:rPr>
                <w:rFonts w:ascii="Times New Roman" w:hAnsi="Times New Roman" w:cs="Times New Roman"/>
                <w:sz w:val="24"/>
                <w:szCs w:val="24"/>
              </w:rPr>
              <w:tab/>
            </w:r>
            <w:r>
              <w:rPr>
                <w:rFonts w:ascii="Times New Roman" w:hAnsi="Times New Roman" w:cs="Times New Roman"/>
                <w:sz w:val="24"/>
                <w:szCs w:val="24"/>
              </w:rPr>
              <w:tab/>
            </w:r>
            <w:r w:rsidRPr="0056746D">
              <w:rPr>
                <w:rFonts w:ascii="Times New Roman" w:hAnsi="Times New Roman" w:cs="Times New Roman"/>
                <w:sz w:val="24"/>
                <w:szCs w:val="24"/>
              </w:rPr>
              <w:t>1746$</w:t>
            </w:r>
          </w:p>
        </w:tc>
        <w:tc>
          <w:tcPr>
            <w:tcW w:w="2410" w:type="dxa"/>
          </w:tcPr>
          <w:p w:rsidR="0056746D" w:rsidRPr="0056746D" w:rsidRDefault="0056746D" w:rsidP="00A83EA8">
            <w:pPr>
              <w:jc w:val="both"/>
              <w:rPr>
                <w:rFonts w:ascii="Times New Roman" w:hAnsi="Times New Roman" w:cs="Times New Roman"/>
                <w:sz w:val="24"/>
                <w:szCs w:val="24"/>
                <w:lang w:val="en-CA"/>
              </w:rPr>
            </w:pPr>
            <w:r w:rsidRPr="0056746D">
              <w:rPr>
                <w:rFonts w:ascii="Times New Roman" w:hAnsi="Times New Roman" w:cs="Times New Roman"/>
                <w:sz w:val="24"/>
                <w:szCs w:val="24"/>
                <w:lang w:val="en-CA"/>
              </w:rPr>
              <w:t xml:space="preserve">UQTR : </w:t>
            </w:r>
            <w:r>
              <w:rPr>
                <w:rFonts w:ascii="Times New Roman" w:hAnsi="Times New Roman" w:cs="Times New Roman"/>
                <w:sz w:val="24"/>
                <w:szCs w:val="24"/>
                <w:lang w:val="en-CA"/>
              </w:rPr>
              <w:tab/>
            </w:r>
            <w:r w:rsidRPr="0056746D">
              <w:rPr>
                <w:rFonts w:ascii="Times New Roman" w:hAnsi="Times New Roman" w:cs="Times New Roman"/>
                <w:sz w:val="24"/>
                <w:szCs w:val="24"/>
                <w:lang w:val="en-CA"/>
              </w:rPr>
              <w:t>1457$</w:t>
            </w:r>
          </w:p>
        </w:tc>
      </w:tr>
      <w:tr w:rsidR="0056746D" w:rsidRPr="0056746D" w:rsidTr="0056746D">
        <w:tc>
          <w:tcPr>
            <w:tcW w:w="2518" w:type="dxa"/>
          </w:tcPr>
          <w:p w:rsidR="0056746D" w:rsidRPr="0056746D" w:rsidRDefault="0056746D" w:rsidP="0056746D">
            <w:pPr>
              <w:jc w:val="both"/>
              <w:rPr>
                <w:rFonts w:ascii="Times New Roman" w:hAnsi="Times New Roman" w:cs="Times New Roman"/>
                <w:sz w:val="24"/>
                <w:szCs w:val="24"/>
                <w:lang w:val="en-CA"/>
              </w:rPr>
            </w:pPr>
            <w:r w:rsidRPr="0056746D">
              <w:rPr>
                <w:rFonts w:ascii="Times New Roman" w:hAnsi="Times New Roman" w:cs="Times New Roman"/>
                <w:sz w:val="24"/>
                <w:szCs w:val="24"/>
                <w:lang w:val="en-CA"/>
              </w:rPr>
              <w:t>Bishop :</w:t>
            </w:r>
            <w:r>
              <w:rPr>
                <w:rFonts w:ascii="Times New Roman" w:hAnsi="Times New Roman" w:cs="Times New Roman"/>
                <w:sz w:val="24"/>
                <w:szCs w:val="24"/>
                <w:lang w:val="en-CA"/>
              </w:rPr>
              <w:tab/>
            </w:r>
            <w:r w:rsidRPr="0056746D">
              <w:rPr>
                <w:rFonts w:ascii="Times New Roman" w:hAnsi="Times New Roman" w:cs="Times New Roman"/>
                <w:sz w:val="24"/>
                <w:szCs w:val="24"/>
                <w:lang w:val="en-CA"/>
              </w:rPr>
              <w:t>1668$</w:t>
            </w:r>
          </w:p>
        </w:tc>
        <w:tc>
          <w:tcPr>
            <w:tcW w:w="2410" w:type="dxa"/>
          </w:tcPr>
          <w:p w:rsidR="0056746D" w:rsidRPr="0056746D" w:rsidRDefault="0056746D" w:rsidP="00A83EA8">
            <w:pPr>
              <w:jc w:val="both"/>
              <w:rPr>
                <w:rFonts w:ascii="Times New Roman" w:hAnsi="Times New Roman" w:cs="Times New Roman"/>
                <w:sz w:val="24"/>
                <w:szCs w:val="24"/>
                <w:lang w:val="en-CA"/>
              </w:rPr>
            </w:pPr>
            <w:proofErr w:type="spellStart"/>
            <w:r w:rsidRPr="0056746D">
              <w:rPr>
                <w:rFonts w:ascii="Times New Roman" w:hAnsi="Times New Roman" w:cs="Times New Roman"/>
                <w:sz w:val="24"/>
                <w:szCs w:val="24"/>
                <w:lang w:val="en-CA"/>
              </w:rPr>
              <w:t>USherbrooke</w:t>
            </w:r>
            <w:proofErr w:type="spellEnd"/>
            <w:r w:rsidRPr="0056746D">
              <w:rPr>
                <w:rFonts w:ascii="Times New Roman" w:hAnsi="Times New Roman" w:cs="Times New Roman"/>
                <w:sz w:val="24"/>
                <w:szCs w:val="24"/>
                <w:lang w:val="en-CA"/>
              </w:rPr>
              <w:t> : 1430$</w:t>
            </w:r>
          </w:p>
        </w:tc>
      </w:tr>
      <w:tr w:rsidR="0056746D" w:rsidRPr="0056746D" w:rsidTr="0056746D">
        <w:tc>
          <w:tcPr>
            <w:tcW w:w="2518" w:type="dxa"/>
          </w:tcPr>
          <w:p w:rsidR="0056746D" w:rsidRPr="0056746D" w:rsidRDefault="0056746D" w:rsidP="00A83EA8">
            <w:pPr>
              <w:jc w:val="both"/>
              <w:rPr>
                <w:rFonts w:ascii="Times New Roman" w:hAnsi="Times New Roman" w:cs="Times New Roman"/>
                <w:sz w:val="24"/>
                <w:szCs w:val="24"/>
                <w:lang w:val="en-CA"/>
              </w:rPr>
            </w:pPr>
            <w:proofErr w:type="spellStart"/>
            <w:r>
              <w:rPr>
                <w:rFonts w:ascii="Times New Roman" w:hAnsi="Times New Roman" w:cs="Times New Roman"/>
                <w:sz w:val="24"/>
                <w:szCs w:val="24"/>
                <w:lang w:val="en-CA"/>
              </w:rPr>
              <w:t>Ud</w:t>
            </w:r>
            <w:r w:rsidRPr="0056746D">
              <w:rPr>
                <w:rFonts w:ascii="Times New Roman" w:hAnsi="Times New Roman" w:cs="Times New Roman"/>
                <w:sz w:val="24"/>
                <w:szCs w:val="24"/>
                <w:lang w:val="en-CA"/>
              </w:rPr>
              <w:t>eM</w:t>
            </w:r>
            <w:proofErr w:type="spellEnd"/>
            <w:r w:rsidRPr="0056746D">
              <w:rPr>
                <w:rFonts w:ascii="Times New Roman" w:hAnsi="Times New Roman" w:cs="Times New Roman"/>
                <w:sz w:val="24"/>
                <w:szCs w:val="24"/>
                <w:lang w:val="en-CA"/>
              </w:rPr>
              <w:t xml:space="preserve"> : </w:t>
            </w:r>
            <w:r>
              <w:rPr>
                <w:rFonts w:ascii="Times New Roman" w:hAnsi="Times New Roman" w:cs="Times New Roman"/>
                <w:sz w:val="24"/>
                <w:szCs w:val="24"/>
                <w:lang w:val="en-CA"/>
              </w:rPr>
              <w:tab/>
            </w:r>
            <w:r w:rsidRPr="0056746D">
              <w:rPr>
                <w:rFonts w:ascii="Times New Roman" w:hAnsi="Times New Roman" w:cs="Times New Roman"/>
                <w:sz w:val="24"/>
                <w:szCs w:val="24"/>
                <w:lang w:val="en-CA"/>
              </w:rPr>
              <w:t>1544$</w:t>
            </w:r>
          </w:p>
        </w:tc>
        <w:tc>
          <w:tcPr>
            <w:tcW w:w="2410" w:type="dxa"/>
          </w:tcPr>
          <w:p w:rsidR="0056746D" w:rsidRPr="0056746D" w:rsidRDefault="0056746D" w:rsidP="00A83EA8">
            <w:pPr>
              <w:jc w:val="both"/>
              <w:rPr>
                <w:rFonts w:ascii="Times New Roman" w:hAnsi="Times New Roman" w:cs="Times New Roman"/>
                <w:sz w:val="24"/>
                <w:szCs w:val="24"/>
                <w:lang w:val="en-CA"/>
              </w:rPr>
            </w:pPr>
          </w:p>
        </w:tc>
      </w:tr>
    </w:tbl>
    <w:p w:rsidR="00802537" w:rsidRPr="00C90F0C" w:rsidRDefault="00802537" w:rsidP="00802537">
      <w:pPr>
        <w:spacing w:line="360" w:lineRule="auto"/>
        <w:jc w:val="both"/>
        <w:rPr>
          <w:rFonts w:ascii="Times New Roman" w:hAnsi="Times New Roman" w:cs="Times New Roman"/>
          <w:sz w:val="24"/>
          <w:szCs w:val="24"/>
          <w:lang w:val="en-CA"/>
        </w:rPr>
      </w:pPr>
    </w:p>
    <w:p w:rsidR="00802537" w:rsidRPr="00C90F0C" w:rsidRDefault="00802537" w:rsidP="00A55D21">
      <w:pPr>
        <w:spacing w:line="360" w:lineRule="auto"/>
        <w:jc w:val="both"/>
        <w:rPr>
          <w:rFonts w:ascii="Times New Roman" w:hAnsi="Times New Roman" w:cs="Times New Roman"/>
          <w:sz w:val="24"/>
          <w:szCs w:val="24"/>
        </w:rPr>
      </w:pPr>
      <w:r w:rsidRPr="00C90F0C">
        <w:rPr>
          <w:rFonts w:ascii="Times New Roman" w:hAnsi="Times New Roman" w:cs="Times New Roman"/>
          <w:sz w:val="24"/>
          <w:szCs w:val="24"/>
        </w:rPr>
        <w:t>Nous avons déterminé que l’université ayant des frais de plus de 2000 $ par an serait dans la zone sophistication. Son service est excellent et son tarif très élevé.</w:t>
      </w:r>
      <w:r w:rsidR="0056746D">
        <w:rPr>
          <w:rFonts w:ascii="Times New Roman" w:hAnsi="Times New Roman" w:cs="Times New Roman"/>
          <w:sz w:val="24"/>
          <w:szCs w:val="24"/>
        </w:rPr>
        <w:t xml:space="preserve"> </w:t>
      </w:r>
      <w:r w:rsidRPr="00C90F0C">
        <w:rPr>
          <w:rFonts w:ascii="Times New Roman" w:hAnsi="Times New Roman" w:cs="Times New Roman"/>
          <w:sz w:val="24"/>
          <w:szCs w:val="24"/>
        </w:rPr>
        <w:t xml:space="preserve">Ensuite, les </w:t>
      </w:r>
      <w:r w:rsidRPr="00C90F0C">
        <w:rPr>
          <w:rFonts w:ascii="Times New Roman" w:hAnsi="Times New Roman" w:cs="Times New Roman"/>
          <w:sz w:val="24"/>
          <w:szCs w:val="24"/>
        </w:rPr>
        <w:lastRenderedPageBreak/>
        <w:t xml:space="preserve">universités ayant entre 1500 et 1999$ de frais de scolarité sont dans la zone hybride. Leurs services sont très </w:t>
      </w:r>
      <w:proofErr w:type="gramStart"/>
      <w:r w:rsidRPr="00C90F0C">
        <w:rPr>
          <w:rFonts w:ascii="Times New Roman" w:hAnsi="Times New Roman" w:cs="Times New Roman"/>
          <w:sz w:val="24"/>
          <w:szCs w:val="24"/>
        </w:rPr>
        <w:t>bon</w:t>
      </w:r>
      <w:proofErr w:type="gramEnd"/>
      <w:r w:rsidRPr="00C90F0C">
        <w:rPr>
          <w:rFonts w:ascii="Times New Roman" w:hAnsi="Times New Roman" w:cs="Times New Roman"/>
          <w:sz w:val="24"/>
          <w:szCs w:val="24"/>
        </w:rPr>
        <w:t xml:space="preserve">, et leurs tarifs </w:t>
      </w:r>
      <w:proofErr w:type="spellStart"/>
      <w:r w:rsidRPr="00C90F0C">
        <w:rPr>
          <w:rFonts w:ascii="Times New Roman" w:hAnsi="Times New Roman" w:cs="Times New Roman"/>
          <w:sz w:val="24"/>
          <w:szCs w:val="24"/>
        </w:rPr>
        <w:t>moyens.Puis</w:t>
      </w:r>
      <w:proofErr w:type="spellEnd"/>
      <w:r w:rsidRPr="00C90F0C">
        <w:rPr>
          <w:rFonts w:ascii="Times New Roman" w:hAnsi="Times New Roman" w:cs="Times New Roman"/>
          <w:sz w:val="24"/>
          <w:szCs w:val="24"/>
        </w:rPr>
        <w:t xml:space="preserve">, la zone d’épuration entre 0 et 1499$. Leurs services sont bon et leurs tarifs </w:t>
      </w:r>
      <w:proofErr w:type="spellStart"/>
      <w:r w:rsidRPr="00C90F0C">
        <w:rPr>
          <w:rFonts w:ascii="Times New Roman" w:hAnsi="Times New Roman" w:cs="Times New Roman"/>
          <w:sz w:val="24"/>
          <w:szCs w:val="24"/>
        </w:rPr>
        <w:t>bas.Finalement</w:t>
      </w:r>
      <w:proofErr w:type="spellEnd"/>
      <w:r w:rsidRPr="00C90F0C">
        <w:rPr>
          <w:rFonts w:ascii="Times New Roman" w:hAnsi="Times New Roman" w:cs="Times New Roman"/>
          <w:sz w:val="24"/>
          <w:szCs w:val="24"/>
        </w:rPr>
        <w:t xml:space="preserve">, la zone économiquement non viable. Le prix est plus élevé que 1500$, mais le service ne vaut pas celui de la zone hybride. </w:t>
      </w:r>
    </w:p>
    <w:p w:rsidR="00802537" w:rsidRPr="00802537" w:rsidRDefault="00802537" w:rsidP="00802537"/>
    <w:p w:rsidR="00B620EE" w:rsidRDefault="00B620EE" w:rsidP="00AC2A83">
      <w:pPr>
        <w:pStyle w:val="Titre4"/>
        <w:ind w:left="708"/>
      </w:pPr>
      <w:bookmarkStart w:id="41" w:name="_Toc417486253"/>
      <w:r>
        <w:t>6.2.3 Matrice d’</w:t>
      </w:r>
      <w:proofErr w:type="spellStart"/>
      <w:r>
        <w:t>Ansoff</w:t>
      </w:r>
      <w:bookmarkEnd w:id="41"/>
      <w:proofErr w:type="spellEnd"/>
    </w:p>
    <w:p w:rsidR="00AC2A83" w:rsidRDefault="00B05C0A" w:rsidP="00AC2A83">
      <w:pPr>
        <w:spacing w:line="360" w:lineRule="auto"/>
        <w:jc w:val="center"/>
        <w:rPr>
          <w:rFonts w:ascii="Times New Roman" w:hAnsi="Times New Roman" w:cs="Times New Roman"/>
          <w:sz w:val="24"/>
          <w:szCs w:val="24"/>
        </w:rPr>
      </w:pPr>
      <w:r w:rsidRPr="00B05C0A">
        <w:rPr>
          <w:noProof/>
          <w:lang w:eastAsia="fr-CA"/>
        </w:rPr>
        <w:pict>
          <v:oval id="_x0000_s1037" style="position:absolute;left:0;text-align:left;margin-left:192pt;margin-top:146.7pt;width:20.25pt;height:18.75pt;z-index:251670016" fillcolor="#ffe084 [3206]" strokecolor="yellow" strokeweight="0">
            <v:fill color2="#ffc51e [2374]" focusposition=".5,.5" focussize="" focus="100%" type="gradientRadial"/>
            <v:shadow on="t" type="perspective" color="#c08f00 [1606]" offset="1pt" offset2="-3pt"/>
          </v:oval>
        </w:pict>
      </w:r>
      <w:r w:rsidR="00B620EE">
        <w:rPr>
          <w:noProof/>
          <w:lang w:eastAsia="fr-CA"/>
        </w:rPr>
        <w:drawing>
          <wp:inline distT="0" distB="0" distL="0" distR="0">
            <wp:extent cx="4254664" cy="3672205"/>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54664" cy="3672205"/>
                    </a:xfrm>
                    <a:prstGeom prst="rect">
                      <a:avLst/>
                    </a:prstGeom>
                    <a:noFill/>
                  </pic:spPr>
                </pic:pic>
              </a:graphicData>
            </a:graphic>
          </wp:inline>
        </w:drawing>
      </w:r>
    </w:p>
    <w:p w:rsidR="00B620EE" w:rsidRPr="00B620EE" w:rsidRDefault="00B620EE" w:rsidP="00AC2A83">
      <w:pPr>
        <w:spacing w:line="360" w:lineRule="auto"/>
        <w:ind w:firstLine="708"/>
        <w:jc w:val="both"/>
        <w:rPr>
          <w:rFonts w:ascii="Times New Roman" w:hAnsi="Times New Roman" w:cs="Times New Roman"/>
          <w:sz w:val="24"/>
          <w:szCs w:val="24"/>
        </w:rPr>
      </w:pPr>
      <w:r w:rsidRPr="00B620EE">
        <w:rPr>
          <w:rFonts w:ascii="Times New Roman" w:hAnsi="Times New Roman" w:cs="Times New Roman"/>
          <w:sz w:val="24"/>
          <w:szCs w:val="24"/>
        </w:rPr>
        <w:t>Au niveau de la matrice d’</w:t>
      </w:r>
      <w:proofErr w:type="spellStart"/>
      <w:r w:rsidRPr="00B620EE">
        <w:rPr>
          <w:rFonts w:ascii="Times New Roman" w:hAnsi="Times New Roman" w:cs="Times New Roman"/>
          <w:sz w:val="24"/>
          <w:szCs w:val="24"/>
        </w:rPr>
        <w:t>Ansoff</w:t>
      </w:r>
      <w:proofErr w:type="spellEnd"/>
      <w:r w:rsidRPr="00B620EE">
        <w:rPr>
          <w:rFonts w:ascii="Times New Roman" w:hAnsi="Times New Roman" w:cs="Times New Roman"/>
          <w:sz w:val="24"/>
          <w:szCs w:val="24"/>
        </w:rPr>
        <w:t xml:space="preserve">, nous croyons que l’UQTR devrait se situer dans le cadran de la pénétration de marché. L’UQTR veut en effet s’attirer de plus grandes parts du marché. Pour ce faire, l’UQTR devrait adopter la stratégie suggérer dans l’Océan Bleu. En effet, puisque les étudiants recherchent la qualité du programme et du corps professorale et que d’après le sondage, les autres universités du Québec ne sont pas performantes sur ce point, s’attaquer à ce point permettrait certainement d’attirer une plus grande clientèle. </w:t>
      </w:r>
    </w:p>
    <w:p w:rsidR="00B620EE" w:rsidRDefault="00B620EE" w:rsidP="00B620EE">
      <w:pPr>
        <w:pStyle w:val="Titre3"/>
        <w:rPr>
          <w:sz w:val="26"/>
          <w:szCs w:val="26"/>
        </w:rPr>
      </w:pPr>
      <w:r>
        <w:br w:type="page"/>
      </w:r>
    </w:p>
    <w:p w:rsidR="000D0609" w:rsidRPr="006E124F" w:rsidRDefault="007A7A51" w:rsidP="007A7A51">
      <w:pPr>
        <w:pStyle w:val="Titre2"/>
      </w:pPr>
      <w:bookmarkStart w:id="42" w:name="_Toc417486254"/>
      <w:r>
        <w:lastRenderedPageBreak/>
        <w:t xml:space="preserve">7. </w:t>
      </w:r>
      <w:r w:rsidR="000D0609" w:rsidRPr="006E124F">
        <w:t>La diversification et la gestion de portefeuille</w:t>
      </w:r>
      <w:bookmarkEnd w:id="42"/>
    </w:p>
    <w:p w:rsidR="006E124F" w:rsidRDefault="0033401B" w:rsidP="0033401B">
      <w:pPr>
        <w:pStyle w:val="Titre3"/>
      </w:pPr>
      <w:bookmarkStart w:id="43" w:name="_Toc417486255"/>
      <w:r>
        <w:t>7.1 L’i</w:t>
      </w:r>
      <w:r w:rsidR="00E21339" w:rsidRPr="00E21339">
        <w:t>ntégration</w:t>
      </w:r>
      <w:r w:rsidR="00E21339">
        <w:t xml:space="preserve"> verticale</w:t>
      </w:r>
      <w:bookmarkEnd w:id="43"/>
    </w:p>
    <w:p w:rsidR="0033401B" w:rsidRPr="0033401B" w:rsidRDefault="0033401B" w:rsidP="0033401B">
      <w:pPr>
        <w:pStyle w:val="Titre4"/>
        <w:ind w:left="567"/>
      </w:pPr>
      <w:bookmarkStart w:id="44" w:name="_Toc417486256"/>
      <w:r>
        <w:t>7.1.1 L’intégration vers l’aval et l’intégration vers l’amont</w:t>
      </w:r>
      <w:bookmarkEnd w:id="44"/>
    </w:p>
    <w:p w:rsidR="00F05706" w:rsidRPr="001A328F" w:rsidRDefault="00B05C0A" w:rsidP="00F05706">
      <w:pPr>
        <w:spacing w:line="360" w:lineRule="auto"/>
        <w:jc w:val="both"/>
        <w:rPr>
          <w:rFonts w:ascii="Times New Roman" w:hAnsi="Times New Roman" w:cs="Times New Roman"/>
          <w:sz w:val="24"/>
          <w:szCs w:val="24"/>
        </w:rPr>
      </w:pPr>
      <w:r w:rsidRPr="00B05C0A">
        <w:rPr>
          <w:noProof/>
          <w:lang w:eastAsia="fr-CA"/>
        </w:rPr>
        <w:pict>
          <v:shape id="Zone de texte 3" o:spid="_x0000_s1028" type="#_x0000_t202" style="position:absolute;left:0;text-align:left;margin-left:68.25pt;margin-top:90.75pt;width:75.75pt;height:60pt;z-index:251667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" filled="f" stroked="f" strokeweight=".5pt">
            <v:path arrowok="t"/>
            <v:textbox>
              <w:txbxContent>
                <w:p w:rsidR="00CE1436" w:rsidRPr="00F05706" w:rsidRDefault="00CE1436" w:rsidP="00F05706"/>
              </w:txbxContent>
            </v:textbox>
          </v:shape>
        </w:pict>
      </w:r>
      <w:r w:rsidR="00F05706" w:rsidRPr="001A328F">
        <w:rPr>
          <w:rFonts w:ascii="Times New Roman" w:hAnsi="Times New Roman" w:cs="Times New Roman"/>
          <w:noProof/>
          <w:sz w:val="24"/>
          <w:szCs w:val="24"/>
          <w:lang w:eastAsia="fr-CA"/>
        </w:rPr>
        <w:drawing>
          <wp:inline distT="0" distB="0" distL="0" distR="0">
            <wp:extent cx="5391150" cy="3705225"/>
            <wp:effectExtent l="0" t="0" r="0" b="0"/>
            <wp:docPr id="21" name="Diagramme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F05706" w:rsidRDefault="00F05706" w:rsidP="00E21339">
      <w:pPr>
        <w:spacing w:line="360" w:lineRule="auto"/>
        <w:ind w:firstLine="708"/>
        <w:jc w:val="both"/>
        <w:rPr>
          <w:rFonts w:ascii="Times New Roman" w:hAnsi="Times New Roman" w:cs="Times New Roman"/>
          <w:sz w:val="24"/>
          <w:szCs w:val="24"/>
        </w:rPr>
      </w:pPr>
      <w:r w:rsidRPr="001A328F">
        <w:rPr>
          <w:rFonts w:ascii="Times New Roman" w:hAnsi="Times New Roman" w:cs="Times New Roman"/>
          <w:sz w:val="24"/>
          <w:szCs w:val="24"/>
        </w:rPr>
        <w:t>Le centre des activités de l’Université est, selon nous, la distribution du savoir, soit les cours données à l’université. En parallèle à cette activité, il y a les cours en ligne qui permettent aux étudiants d’étudier à distance, puis la presse-universitaire qui permet de diffuser les recherches des professeurs.</w:t>
      </w:r>
      <w:r>
        <w:rPr>
          <w:rFonts w:ascii="Times New Roman" w:hAnsi="Times New Roman" w:cs="Times New Roman"/>
          <w:sz w:val="24"/>
          <w:szCs w:val="24"/>
        </w:rPr>
        <w:t xml:space="preserve"> </w:t>
      </w:r>
      <w:r w:rsidRPr="001A328F">
        <w:rPr>
          <w:rFonts w:ascii="Times New Roman" w:hAnsi="Times New Roman" w:cs="Times New Roman"/>
          <w:sz w:val="24"/>
          <w:szCs w:val="24"/>
        </w:rPr>
        <w:t xml:space="preserve">Vers l’amont, il y a la production du savoir. En effet, cette activité regroupe les recherches des professeurs qui veillent à faire avancer les connaissances dans divers domaines, </w:t>
      </w:r>
      <w:r w:rsidR="003520A0">
        <w:rPr>
          <w:rFonts w:ascii="Times New Roman" w:hAnsi="Times New Roman" w:cs="Times New Roman"/>
          <w:sz w:val="24"/>
          <w:szCs w:val="24"/>
        </w:rPr>
        <w:t>tels</w:t>
      </w:r>
      <w:r w:rsidRPr="001A328F">
        <w:rPr>
          <w:rFonts w:ascii="Times New Roman" w:hAnsi="Times New Roman" w:cs="Times New Roman"/>
          <w:sz w:val="24"/>
          <w:szCs w:val="24"/>
        </w:rPr>
        <w:t xml:space="preserve"> que la gestion, l’économie, l’ingénierie, </w:t>
      </w:r>
      <w:r w:rsidRPr="00E21339">
        <w:rPr>
          <w:rFonts w:ascii="Times New Roman" w:hAnsi="Times New Roman" w:cs="Times New Roman"/>
          <w:sz w:val="24"/>
          <w:szCs w:val="24"/>
        </w:rPr>
        <w:t>l’hydrogène, etc.</w:t>
      </w:r>
    </w:p>
    <w:p w:rsidR="00A041BF" w:rsidRDefault="00A041BF" w:rsidP="00E21339">
      <w:pPr>
        <w:spacing w:line="360" w:lineRule="auto"/>
        <w:ind w:firstLine="708"/>
        <w:jc w:val="both"/>
        <w:rPr>
          <w:rFonts w:ascii="Times New Roman" w:hAnsi="Times New Roman" w:cs="Times New Roman"/>
          <w:sz w:val="24"/>
          <w:szCs w:val="24"/>
        </w:rPr>
      </w:pPr>
    </w:p>
    <w:p w:rsidR="0033401B" w:rsidRDefault="0033401B" w:rsidP="00E21339">
      <w:pPr>
        <w:spacing w:line="360" w:lineRule="auto"/>
        <w:ind w:firstLine="708"/>
        <w:jc w:val="both"/>
        <w:rPr>
          <w:rFonts w:ascii="Times New Roman" w:hAnsi="Times New Roman" w:cs="Times New Roman"/>
          <w:sz w:val="24"/>
          <w:szCs w:val="24"/>
        </w:rPr>
      </w:pPr>
    </w:p>
    <w:p w:rsidR="0033401B" w:rsidRPr="00E21339" w:rsidRDefault="0033401B" w:rsidP="00E21339">
      <w:pPr>
        <w:spacing w:line="360" w:lineRule="auto"/>
        <w:ind w:firstLine="708"/>
        <w:jc w:val="both"/>
        <w:rPr>
          <w:rFonts w:ascii="Times New Roman" w:hAnsi="Times New Roman" w:cs="Times New Roman"/>
          <w:sz w:val="24"/>
          <w:szCs w:val="24"/>
        </w:rPr>
      </w:pPr>
    </w:p>
    <w:p w:rsidR="00E21339" w:rsidRPr="00E21339" w:rsidRDefault="0033401B" w:rsidP="0033401B">
      <w:pPr>
        <w:pStyle w:val="Titre4"/>
        <w:spacing w:line="360" w:lineRule="auto"/>
        <w:ind w:left="708"/>
      </w:pPr>
      <w:bookmarkStart w:id="45" w:name="_Toc417486257"/>
      <w:r>
        <w:lastRenderedPageBreak/>
        <w:t xml:space="preserve">7.1.2 </w:t>
      </w:r>
      <w:r w:rsidR="00E21339" w:rsidRPr="00E21339">
        <w:t>Externalisation des opérations de l’UQTR</w:t>
      </w:r>
      <w:bookmarkEnd w:id="45"/>
    </w:p>
    <w:p w:rsidR="00E21339" w:rsidRPr="00E21339" w:rsidRDefault="00E21339" w:rsidP="0033401B">
      <w:pPr>
        <w:spacing w:line="360" w:lineRule="auto"/>
        <w:ind w:firstLine="708"/>
        <w:jc w:val="both"/>
        <w:rPr>
          <w:rFonts w:ascii="Times New Roman" w:hAnsi="Times New Roman" w:cs="Times New Roman"/>
          <w:sz w:val="24"/>
          <w:szCs w:val="24"/>
        </w:rPr>
      </w:pPr>
      <w:r w:rsidRPr="00E21339">
        <w:rPr>
          <w:rFonts w:ascii="Times New Roman" w:hAnsi="Times New Roman" w:cs="Times New Roman"/>
          <w:sz w:val="24"/>
          <w:szCs w:val="24"/>
        </w:rPr>
        <w:t>Le défi de cette section sera de bien distinguer ce qui, à l’UQTR, constitue réellement une externalisation, et ce qui distingue une externalisation d’une tierce forme d’activité, que nous nommerons «variable». Dans un premier temps, classons les différents intervenants de l’UQTR en trois groupes, soit «externalisation», «internalisation» et «variable».</w:t>
      </w:r>
    </w:p>
    <w:p w:rsidR="00E21339" w:rsidRPr="00E21339" w:rsidRDefault="000B3F0C" w:rsidP="00E21339">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fr-CA"/>
        </w:rPr>
        <w:drawing>
          <wp:anchor distT="0" distB="0" distL="114300" distR="114300" simplePos="0" relativeHeight="251655680" behindDoc="0" locked="0" layoutInCell="1" allowOverlap="1">
            <wp:simplePos x="0" y="0"/>
            <wp:positionH relativeFrom="column">
              <wp:posOffset>0</wp:posOffset>
            </wp:positionH>
            <wp:positionV relativeFrom="paragraph">
              <wp:posOffset>29210</wp:posOffset>
            </wp:positionV>
            <wp:extent cx="6705600" cy="3810000"/>
            <wp:effectExtent l="0" t="0" r="0" b="0"/>
            <wp:wrapNone/>
            <wp:docPr id="39"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anchor>
        </w:drawing>
      </w:r>
    </w:p>
    <w:p w:rsidR="00E21339" w:rsidRPr="00E21339" w:rsidRDefault="00E21339" w:rsidP="00E21339">
      <w:pPr>
        <w:spacing w:line="360" w:lineRule="auto"/>
        <w:jc w:val="both"/>
        <w:rPr>
          <w:rFonts w:ascii="Times New Roman" w:hAnsi="Times New Roman" w:cs="Times New Roman"/>
          <w:sz w:val="24"/>
          <w:szCs w:val="24"/>
        </w:rPr>
      </w:pPr>
    </w:p>
    <w:p w:rsidR="00E21339" w:rsidRPr="00E21339" w:rsidRDefault="00E21339" w:rsidP="00E21339">
      <w:pPr>
        <w:spacing w:line="360" w:lineRule="auto"/>
        <w:jc w:val="both"/>
        <w:rPr>
          <w:rFonts w:ascii="Times New Roman" w:hAnsi="Times New Roman" w:cs="Times New Roman"/>
          <w:sz w:val="24"/>
          <w:szCs w:val="24"/>
        </w:rPr>
      </w:pPr>
    </w:p>
    <w:p w:rsidR="00E21339" w:rsidRPr="00E21339" w:rsidRDefault="00E21339" w:rsidP="00E21339">
      <w:pPr>
        <w:spacing w:line="360" w:lineRule="auto"/>
        <w:jc w:val="both"/>
        <w:rPr>
          <w:rFonts w:ascii="Times New Roman" w:hAnsi="Times New Roman" w:cs="Times New Roman"/>
          <w:sz w:val="24"/>
          <w:szCs w:val="24"/>
        </w:rPr>
      </w:pPr>
    </w:p>
    <w:p w:rsidR="00E21339" w:rsidRPr="00E21339" w:rsidRDefault="00E21339" w:rsidP="00E21339">
      <w:pPr>
        <w:spacing w:line="360" w:lineRule="auto"/>
        <w:jc w:val="both"/>
        <w:rPr>
          <w:rFonts w:ascii="Times New Roman" w:hAnsi="Times New Roman" w:cs="Times New Roman"/>
          <w:sz w:val="24"/>
          <w:szCs w:val="24"/>
        </w:rPr>
      </w:pPr>
    </w:p>
    <w:p w:rsidR="00E21339" w:rsidRPr="00E21339" w:rsidRDefault="00B05C0A" w:rsidP="00E21339">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fr-CA"/>
        </w:rPr>
        <w:pict>
          <v:shape id="_x0000_s1029" type="#_x0000_t202" style="position:absolute;left:0;text-align:left;margin-left:29.95pt;margin-top:22.3pt;width:172.8pt;height:90.45pt;z-index:251668992;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" filled="f" stroked="f">
            <v:textbox style="mso-fit-shape-to-text:t">
              <w:txbxContent>
                <w:p w:rsidR="00CE1436" w:rsidRDefault="00CE1436" w:rsidP="00E21339"/>
                <w:tbl>
                  <w:tblPr>
                    <w:tblStyle w:val="Grilledutableau"/>
                    <w:tblW w:w="0" w:type="auto"/>
                    <w:tblLook w:val="04A0"/>
                  </w:tblPr>
                  <w:tblGrid>
                    <w:gridCol w:w="534"/>
                    <w:gridCol w:w="2630"/>
                  </w:tblGrid>
                  <w:tr w:rsidR="00CE1436" w:rsidTr="00E83021">
                    <w:tc>
                      <w:tcPr>
                        <w:tcW w:w="534" w:type="dxa"/>
                        <w:shd w:val="clear" w:color="auto" w:fill="C4960C"/>
                      </w:tcPr>
                      <w:p w:rsidR="00CE1436" w:rsidRDefault="00CE1436"/>
                    </w:tc>
                    <w:tc>
                      <w:tcPr>
                        <w:tcW w:w="2630" w:type="dxa"/>
                      </w:tcPr>
                      <w:p w:rsidR="00CE1436" w:rsidRDefault="00CE1436">
                        <w:r>
                          <w:t>Externalisation</w:t>
                        </w:r>
                      </w:p>
                    </w:tc>
                  </w:tr>
                  <w:tr w:rsidR="00CE1436" w:rsidTr="00E83021">
                    <w:tc>
                      <w:tcPr>
                        <w:tcW w:w="534" w:type="dxa"/>
                        <w:shd w:val="clear" w:color="auto" w:fill="00703C"/>
                      </w:tcPr>
                      <w:p w:rsidR="00CE1436" w:rsidRDefault="00CE1436" w:rsidP="00A802FC"/>
                    </w:tc>
                    <w:tc>
                      <w:tcPr>
                        <w:tcW w:w="2630" w:type="dxa"/>
                      </w:tcPr>
                      <w:p w:rsidR="00CE1436" w:rsidRDefault="00CE1436" w:rsidP="00A802FC">
                        <w:r>
                          <w:t>Variable</w:t>
                        </w:r>
                      </w:p>
                    </w:tc>
                  </w:tr>
                  <w:tr w:rsidR="00CE1436" w:rsidTr="00E83021">
                    <w:tc>
                      <w:tcPr>
                        <w:tcW w:w="534" w:type="dxa"/>
                        <w:shd w:val="clear" w:color="auto" w:fill="00703C"/>
                      </w:tcPr>
                      <w:p w:rsidR="00CE1436" w:rsidRDefault="00CE1436"/>
                    </w:tc>
                    <w:tc>
                      <w:tcPr>
                        <w:tcW w:w="2630" w:type="dxa"/>
                      </w:tcPr>
                      <w:p w:rsidR="00CE1436" w:rsidRDefault="00CE1436">
                        <w:r>
                          <w:t>Internalisation</w:t>
                        </w:r>
                      </w:p>
                    </w:tc>
                  </w:tr>
                </w:tbl>
                <w:p w:rsidR="00CE1436" w:rsidRDefault="00CE1436" w:rsidP="00E21339"/>
              </w:txbxContent>
            </v:textbox>
          </v:shape>
        </w:pict>
      </w:r>
    </w:p>
    <w:p w:rsidR="00E21339" w:rsidRPr="00E21339" w:rsidRDefault="00E21339" w:rsidP="00E21339">
      <w:pPr>
        <w:spacing w:line="360" w:lineRule="auto"/>
        <w:jc w:val="both"/>
        <w:rPr>
          <w:rFonts w:ascii="Times New Roman" w:hAnsi="Times New Roman" w:cs="Times New Roman"/>
          <w:sz w:val="24"/>
          <w:szCs w:val="24"/>
        </w:rPr>
      </w:pPr>
    </w:p>
    <w:p w:rsidR="00E21339" w:rsidRPr="00E21339" w:rsidRDefault="00E21339" w:rsidP="00E21339">
      <w:pPr>
        <w:spacing w:line="360" w:lineRule="auto"/>
        <w:jc w:val="both"/>
        <w:rPr>
          <w:rFonts w:ascii="Times New Roman" w:hAnsi="Times New Roman" w:cs="Times New Roman"/>
          <w:sz w:val="24"/>
          <w:szCs w:val="24"/>
        </w:rPr>
      </w:pPr>
    </w:p>
    <w:p w:rsidR="00E21339" w:rsidRPr="00E21339" w:rsidRDefault="00E21339" w:rsidP="00E21339">
      <w:pPr>
        <w:spacing w:line="360" w:lineRule="auto"/>
        <w:jc w:val="both"/>
        <w:rPr>
          <w:rFonts w:ascii="Times New Roman" w:hAnsi="Times New Roman" w:cs="Times New Roman"/>
          <w:sz w:val="24"/>
          <w:szCs w:val="24"/>
        </w:rPr>
      </w:pPr>
    </w:p>
    <w:p w:rsidR="00E21339" w:rsidRPr="00E21339" w:rsidRDefault="00E21339" w:rsidP="00E21339">
      <w:pPr>
        <w:spacing w:line="360" w:lineRule="auto"/>
        <w:jc w:val="both"/>
        <w:rPr>
          <w:rFonts w:ascii="Times New Roman" w:hAnsi="Times New Roman" w:cs="Times New Roman"/>
          <w:sz w:val="24"/>
          <w:szCs w:val="24"/>
        </w:rPr>
      </w:pPr>
    </w:p>
    <w:p w:rsidR="00E21339" w:rsidRPr="00E21339" w:rsidRDefault="00E21339" w:rsidP="00E21339">
      <w:pPr>
        <w:spacing w:line="360" w:lineRule="auto"/>
        <w:jc w:val="both"/>
        <w:rPr>
          <w:rFonts w:ascii="Times New Roman" w:hAnsi="Times New Roman" w:cs="Times New Roman"/>
          <w:sz w:val="24"/>
          <w:szCs w:val="24"/>
        </w:rPr>
      </w:pPr>
    </w:p>
    <w:p w:rsidR="00E21339" w:rsidRPr="00E21339" w:rsidRDefault="00E21339" w:rsidP="00E21339">
      <w:pPr>
        <w:spacing w:line="360" w:lineRule="auto"/>
        <w:jc w:val="both"/>
        <w:rPr>
          <w:rFonts w:ascii="Times New Roman" w:hAnsi="Times New Roman" w:cs="Times New Roman"/>
          <w:sz w:val="24"/>
          <w:szCs w:val="24"/>
        </w:rPr>
      </w:pPr>
    </w:p>
    <w:p w:rsidR="00E21339" w:rsidRPr="00E21339" w:rsidRDefault="00E21339" w:rsidP="00E21339">
      <w:pPr>
        <w:spacing w:line="360" w:lineRule="auto"/>
        <w:jc w:val="both"/>
        <w:rPr>
          <w:rFonts w:ascii="Times New Roman" w:hAnsi="Times New Roman" w:cs="Times New Roman"/>
          <w:b/>
          <w:sz w:val="24"/>
          <w:szCs w:val="24"/>
        </w:rPr>
      </w:pPr>
      <w:r w:rsidRPr="00E21339">
        <w:rPr>
          <w:rFonts w:ascii="Times New Roman" w:hAnsi="Times New Roman" w:cs="Times New Roman"/>
          <w:b/>
          <w:sz w:val="24"/>
          <w:szCs w:val="24"/>
        </w:rPr>
        <w:t>Définition des termes</w:t>
      </w:r>
    </w:p>
    <w:p w:rsidR="00E21339" w:rsidRPr="00E21339" w:rsidRDefault="00E21339" w:rsidP="00E21339">
      <w:pPr>
        <w:spacing w:line="360" w:lineRule="auto"/>
        <w:jc w:val="both"/>
        <w:rPr>
          <w:rFonts w:ascii="Times New Roman" w:hAnsi="Times New Roman" w:cs="Times New Roman"/>
          <w:sz w:val="24"/>
          <w:szCs w:val="24"/>
        </w:rPr>
      </w:pPr>
      <w:r w:rsidRPr="00E21339">
        <w:rPr>
          <w:rFonts w:ascii="Times New Roman" w:hAnsi="Times New Roman" w:cs="Times New Roman"/>
          <w:sz w:val="24"/>
          <w:szCs w:val="24"/>
        </w:rPr>
        <w:t>Nous définissions l’externalisation comme des services complètement délégués à des organisations externes afin de répondre à des besoins de l’UQTR.</w:t>
      </w:r>
    </w:p>
    <w:p w:rsidR="00E21339" w:rsidRPr="00E21339" w:rsidRDefault="00E21339" w:rsidP="00E21339">
      <w:pPr>
        <w:spacing w:line="360" w:lineRule="auto"/>
        <w:jc w:val="both"/>
        <w:rPr>
          <w:rFonts w:ascii="Times New Roman" w:hAnsi="Times New Roman" w:cs="Times New Roman"/>
          <w:sz w:val="24"/>
          <w:szCs w:val="24"/>
        </w:rPr>
      </w:pPr>
      <w:r w:rsidRPr="00E21339">
        <w:rPr>
          <w:rFonts w:ascii="Times New Roman" w:hAnsi="Times New Roman" w:cs="Times New Roman"/>
          <w:sz w:val="24"/>
          <w:szCs w:val="24"/>
        </w:rPr>
        <w:t>Nous définissions la catégorie «variable» comme des opérations ou processus faisant appel à des ressources internes à l’UQTR, auxquelles s’ajoutent des ressources externes ou étudiantes pour offrir le service visé.</w:t>
      </w:r>
    </w:p>
    <w:p w:rsidR="00E21339" w:rsidRPr="00E21339" w:rsidRDefault="00E21339" w:rsidP="00E21339">
      <w:pPr>
        <w:spacing w:line="360" w:lineRule="auto"/>
        <w:jc w:val="both"/>
        <w:rPr>
          <w:rFonts w:ascii="Times New Roman" w:hAnsi="Times New Roman" w:cs="Times New Roman"/>
          <w:sz w:val="24"/>
          <w:szCs w:val="24"/>
        </w:rPr>
      </w:pPr>
      <w:r w:rsidRPr="00E21339">
        <w:rPr>
          <w:rFonts w:ascii="Times New Roman" w:hAnsi="Times New Roman" w:cs="Times New Roman"/>
          <w:sz w:val="24"/>
          <w:szCs w:val="24"/>
        </w:rPr>
        <w:t>Nous définissons l’internalisation comme des services assumés entièrement par l’UQTR.</w:t>
      </w:r>
    </w:p>
    <w:p w:rsidR="00E21339" w:rsidRDefault="00E21339" w:rsidP="00E21339">
      <w:pPr>
        <w:spacing w:line="360" w:lineRule="auto"/>
        <w:jc w:val="both"/>
        <w:rPr>
          <w:rFonts w:ascii="Times New Roman" w:hAnsi="Times New Roman" w:cs="Times New Roman"/>
          <w:b/>
          <w:sz w:val="24"/>
          <w:szCs w:val="24"/>
        </w:rPr>
      </w:pPr>
    </w:p>
    <w:p w:rsidR="00E21339" w:rsidRPr="00E21339" w:rsidRDefault="00E21339" w:rsidP="00E21339">
      <w:pPr>
        <w:spacing w:line="360" w:lineRule="auto"/>
        <w:jc w:val="both"/>
        <w:rPr>
          <w:rFonts w:ascii="Times New Roman" w:hAnsi="Times New Roman" w:cs="Times New Roman"/>
          <w:b/>
          <w:sz w:val="24"/>
          <w:szCs w:val="24"/>
        </w:rPr>
      </w:pPr>
      <w:r w:rsidRPr="00E21339">
        <w:rPr>
          <w:rFonts w:ascii="Times New Roman" w:hAnsi="Times New Roman" w:cs="Times New Roman"/>
          <w:b/>
          <w:sz w:val="24"/>
          <w:szCs w:val="24"/>
        </w:rPr>
        <w:t>Externalisation</w:t>
      </w:r>
    </w:p>
    <w:p w:rsidR="00E21339" w:rsidRPr="00E21339" w:rsidRDefault="00E21339" w:rsidP="00E21339">
      <w:pPr>
        <w:spacing w:line="360" w:lineRule="auto"/>
        <w:ind w:firstLine="708"/>
        <w:jc w:val="both"/>
        <w:rPr>
          <w:rFonts w:ascii="Times New Roman" w:hAnsi="Times New Roman" w:cs="Times New Roman"/>
          <w:sz w:val="24"/>
          <w:szCs w:val="24"/>
        </w:rPr>
      </w:pPr>
      <w:r w:rsidRPr="00E21339">
        <w:rPr>
          <w:rFonts w:ascii="Times New Roman" w:hAnsi="Times New Roman" w:cs="Times New Roman"/>
          <w:sz w:val="24"/>
          <w:szCs w:val="24"/>
        </w:rPr>
        <w:t xml:space="preserve">Nous constatons que, selon cette classification, peu de services à l’UQTR sont complètement externalisés. Il s’agit d’une partie de la maintenance des bâtiments, conciergerie et travaux périodiques) ainsi qu’une partie du service de cafétéria, c’est-à-dire </w:t>
      </w:r>
      <w:proofErr w:type="spellStart"/>
      <w:r w:rsidRPr="00E21339">
        <w:rPr>
          <w:rFonts w:ascii="Times New Roman" w:hAnsi="Times New Roman" w:cs="Times New Roman"/>
          <w:sz w:val="24"/>
          <w:szCs w:val="24"/>
        </w:rPr>
        <w:t>Sodexo</w:t>
      </w:r>
      <w:proofErr w:type="spellEnd"/>
      <w:r w:rsidRPr="00E21339">
        <w:rPr>
          <w:rFonts w:ascii="Times New Roman" w:hAnsi="Times New Roman" w:cs="Times New Roman"/>
          <w:sz w:val="24"/>
          <w:szCs w:val="24"/>
        </w:rPr>
        <w:t>. S’ajoute à cela les services de sécurité, assumés par Garda.</w:t>
      </w:r>
    </w:p>
    <w:p w:rsidR="00E21339" w:rsidRPr="00E21339" w:rsidRDefault="00E21339" w:rsidP="00E21339">
      <w:pPr>
        <w:spacing w:line="360" w:lineRule="auto"/>
        <w:jc w:val="both"/>
        <w:rPr>
          <w:rFonts w:ascii="Times New Roman" w:hAnsi="Times New Roman" w:cs="Times New Roman"/>
          <w:b/>
          <w:sz w:val="24"/>
          <w:szCs w:val="24"/>
        </w:rPr>
      </w:pPr>
      <w:r w:rsidRPr="00E21339">
        <w:rPr>
          <w:rFonts w:ascii="Times New Roman" w:hAnsi="Times New Roman" w:cs="Times New Roman"/>
          <w:b/>
          <w:sz w:val="24"/>
          <w:szCs w:val="24"/>
        </w:rPr>
        <w:t>Variable</w:t>
      </w:r>
    </w:p>
    <w:p w:rsidR="00E21339" w:rsidRPr="00E21339" w:rsidRDefault="00E21339" w:rsidP="00E21339">
      <w:pPr>
        <w:spacing w:line="360" w:lineRule="auto"/>
        <w:ind w:firstLine="708"/>
        <w:jc w:val="both"/>
        <w:rPr>
          <w:rFonts w:ascii="Times New Roman" w:hAnsi="Times New Roman" w:cs="Times New Roman"/>
          <w:sz w:val="24"/>
          <w:szCs w:val="24"/>
        </w:rPr>
      </w:pPr>
      <w:r w:rsidRPr="00E21339">
        <w:rPr>
          <w:rFonts w:ascii="Times New Roman" w:hAnsi="Times New Roman" w:cs="Times New Roman"/>
          <w:sz w:val="24"/>
          <w:szCs w:val="24"/>
        </w:rPr>
        <w:t xml:space="preserve">Les services alimentaires sont certes assumés par </w:t>
      </w:r>
      <w:proofErr w:type="spellStart"/>
      <w:r w:rsidRPr="00E21339">
        <w:rPr>
          <w:rFonts w:ascii="Times New Roman" w:hAnsi="Times New Roman" w:cs="Times New Roman"/>
          <w:sz w:val="24"/>
          <w:szCs w:val="24"/>
        </w:rPr>
        <w:t>Sodexo</w:t>
      </w:r>
      <w:proofErr w:type="spellEnd"/>
      <w:r w:rsidRPr="00E21339">
        <w:rPr>
          <w:rFonts w:ascii="Times New Roman" w:hAnsi="Times New Roman" w:cs="Times New Roman"/>
          <w:sz w:val="24"/>
          <w:szCs w:val="24"/>
        </w:rPr>
        <w:t xml:space="preserve">, mais en partie seulement. En effet, notons que la Chasse Galerie dessert une partie de la demande alimentaire du campus étudiant, ainsi que les distributrices, à plus petite échelle. Notons aussi que, dans le cas de la Chasse galerie, des médias d’information, des cliniques de santé et des services et unités en lien avec l’UQTR, c’est une combinaison de professionnels diplômés (ou d’employés permanents) et d’étudiants en formation qui </w:t>
      </w:r>
      <w:r w:rsidR="003520A0">
        <w:rPr>
          <w:rFonts w:ascii="Times New Roman" w:hAnsi="Times New Roman" w:cs="Times New Roman"/>
          <w:sz w:val="24"/>
          <w:szCs w:val="24"/>
        </w:rPr>
        <w:t>constitue</w:t>
      </w:r>
      <w:r w:rsidRPr="00E21339">
        <w:rPr>
          <w:rFonts w:ascii="Times New Roman" w:hAnsi="Times New Roman" w:cs="Times New Roman"/>
          <w:sz w:val="24"/>
          <w:szCs w:val="24"/>
        </w:rPr>
        <w:t xml:space="preserve"> le lot d’employés rendant l’offre de ces services possible. D’une façon similaire, la maintenance des immobilisations est assumée en partie par des sous-traitants externes, et en partie par des employés permanents œuvrant à titre, par exemple, de plombiers ou de menuisiers</w:t>
      </w:r>
      <w:r w:rsidRPr="00E21339">
        <w:rPr>
          <w:rStyle w:val="Appelnotedebasdep"/>
          <w:rFonts w:ascii="Times New Roman" w:hAnsi="Times New Roman" w:cs="Times New Roman"/>
          <w:sz w:val="24"/>
          <w:szCs w:val="24"/>
        </w:rPr>
        <w:footnoteReference w:id="88"/>
      </w:r>
      <w:r w:rsidRPr="00E21339">
        <w:rPr>
          <w:rFonts w:ascii="Times New Roman" w:hAnsi="Times New Roman" w:cs="Times New Roman"/>
          <w:sz w:val="24"/>
          <w:szCs w:val="24"/>
        </w:rPr>
        <w:t>. Comme l’illustre l’organigramme de la page précédente, beaucoup de services offerts par l’UQTR fonctionnent sous ce principe. L’un peut finalement constater que les chargés de cours sont inclus dans la catégorie «variable», puisque l’UQTR peut faire appel à des professionnels-enseignants rattachés à l’UQTR, mais aussi à d’autres universités, soit du réseau de l’UQ, soit des universités privées.</w:t>
      </w:r>
    </w:p>
    <w:p w:rsidR="00E21339" w:rsidRDefault="00E21339" w:rsidP="00E21339">
      <w:pPr>
        <w:tabs>
          <w:tab w:val="left" w:pos="1480"/>
        </w:tabs>
        <w:spacing w:line="360" w:lineRule="auto"/>
        <w:jc w:val="both"/>
        <w:rPr>
          <w:rFonts w:ascii="Times New Roman" w:hAnsi="Times New Roman" w:cs="Times New Roman"/>
          <w:b/>
          <w:sz w:val="24"/>
          <w:szCs w:val="24"/>
        </w:rPr>
      </w:pPr>
    </w:p>
    <w:p w:rsidR="00E21339" w:rsidRPr="00E21339" w:rsidRDefault="00E21339" w:rsidP="00E21339">
      <w:pPr>
        <w:tabs>
          <w:tab w:val="left" w:pos="1480"/>
        </w:tabs>
        <w:spacing w:line="360" w:lineRule="auto"/>
        <w:jc w:val="both"/>
        <w:rPr>
          <w:rFonts w:ascii="Times New Roman" w:hAnsi="Times New Roman" w:cs="Times New Roman"/>
          <w:b/>
          <w:sz w:val="24"/>
          <w:szCs w:val="24"/>
        </w:rPr>
      </w:pPr>
      <w:r w:rsidRPr="00E21339">
        <w:rPr>
          <w:rFonts w:ascii="Times New Roman" w:hAnsi="Times New Roman" w:cs="Times New Roman"/>
          <w:b/>
          <w:sz w:val="24"/>
          <w:szCs w:val="24"/>
        </w:rPr>
        <w:t>Internalisation</w:t>
      </w:r>
    </w:p>
    <w:p w:rsidR="00E21339" w:rsidRPr="00E21339" w:rsidRDefault="00E21339" w:rsidP="00E21339">
      <w:pPr>
        <w:tabs>
          <w:tab w:val="left" w:pos="148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E21339">
        <w:rPr>
          <w:rFonts w:ascii="Times New Roman" w:hAnsi="Times New Roman" w:cs="Times New Roman"/>
          <w:sz w:val="24"/>
          <w:szCs w:val="24"/>
        </w:rPr>
        <w:t xml:space="preserve">Finalement, l’internalisation comprend, à l’UQTR, le professorat et les services administratifs, qui se doivent d’être internalisés pour répondre aux attentes minimales de la population étudiante envers une université, soit la recherche académique et l’administration. Les cours en ligne sont aussi considérés comme internalisés, puisque </w:t>
      </w:r>
      <w:r w:rsidRPr="00E21339">
        <w:rPr>
          <w:rFonts w:ascii="Times New Roman" w:hAnsi="Times New Roman" w:cs="Times New Roman"/>
          <w:sz w:val="24"/>
          <w:szCs w:val="24"/>
        </w:rPr>
        <w:lastRenderedPageBreak/>
        <w:t>ce service découle directement se ressources professorales de l’UQTR pour être rendu possible.</w:t>
      </w:r>
    </w:p>
    <w:p w:rsidR="00E21339" w:rsidRPr="00E21339" w:rsidRDefault="00E21339" w:rsidP="00E21339">
      <w:pPr>
        <w:tabs>
          <w:tab w:val="left" w:pos="1480"/>
        </w:tabs>
        <w:spacing w:line="360" w:lineRule="auto"/>
        <w:jc w:val="both"/>
        <w:rPr>
          <w:rFonts w:ascii="Times New Roman" w:hAnsi="Times New Roman" w:cs="Times New Roman"/>
          <w:b/>
          <w:sz w:val="24"/>
          <w:szCs w:val="24"/>
        </w:rPr>
      </w:pPr>
      <w:r w:rsidRPr="00E21339">
        <w:rPr>
          <w:rFonts w:ascii="Times New Roman" w:hAnsi="Times New Roman" w:cs="Times New Roman"/>
          <w:b/>
          <w:sz w:val="24"/>
          <w:szCs w:val="24"/>
        </w:rPr>
        <w:t>Coût d’opportunisme et de transaction</w:t>
      </w:r>
    </w:p>
    <w:p w:rsidR="00E21339" w:rsidRPr="00E21339" w:rsidRDefault="00E21339" w:rsidP="00E21339">
      <w:pPr>
        <w:tabs>
          <w:tab w:val="left" w:pos="148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E21339">
        <w:rPr>
          <w:rFonts w:ascii="Times New Roman" w:hAnsi="Times New Roman" w:cs="Times New Roman"/>
          <w:sz w:val="24"/>
          <w:szCs w:val="24"/>
        </w:rPr>
        <w:t>Il est difficilement réaliste, dans le cadre de ce travail, d’analyser le coût de transaction, puisque le grand nombre de partenaires de l’UQTR rend la tâche vaste et complexe, et exigerait un grand nombre de données en partie inaccessible aux rédacteurs de ce travail. Toutefois, mentionnons que le coût d’opportunisme est faible, puisque les sous-traitants potentiels avec lesquels l’UQTR peut faire affaire sont nombreux et facilement substituables, et ce dans plusieurs domaines.</w:t>
      </w:r>
    </w:p>
    <w:p w:rsidR="00F05706" w:rsidRPr="00F05706" w:rsidRDefault="00F05706" w:rsidP="00F05706"/>
    <w:p w:rsidR="00792E94" w:rsidRPr="00792E94" w:rsidRDefault="00792E94" w:rsidP="00792E94"/>
    <w:p w:rsidR="0056746D" w:rsidRDefault="0033401B" w:rsidP="0033401B">
      <w:pPr>
        <w:pStyle w:val="Titre3"/>
      </w:pPr>
      <w:bookmarkStart w:id="46" w:name="_Toc417486258"/>
      <w:r>
        <w:t xml:space="preserve">7.2 </w:t>
      </w:r>
      <w:r w:rsidR="0056746D">
        <w:t>Logique parentale</w:t>
      </w:r>
      <w:bookmarkEnd w:id="46"/>
      <w:r w:rsidR="0056746D">
        <w:t xml:space="preserve"> </w:t>
      </w:r>
    </w:p>
    <w:p w:rsidR="0033401B" w:rsidRPr="0033401B" w:rsidRDefault="0033401B" w:rsidP="0033401B"/>
    <w:p w:rsidR="0056746D" w:rsidRDefault="0056746D" w:rsidP="0056746D">
      <w:pPr>
        <w:rPr>
          <w:rFonts w:ascii="Times New Roman" w:hAnsi="Times New Roman" w:cs="Times New Roman"/>
          <w:b/>
          <w:sz w:val="24"/>
        </w:rPr>
      </w:pPr>
      <w:r>
        <w:rPr>
          <w:rFonts w:ascii="Times New Roman" w:hAnsi="Times New Roman" w:cs="Times New Roman"/>
          <w:b/>
          <w:noProof/>
          <w:sz w:val="24"/>
          <w:lang w:eastAsia="fr-CA"/>
        </w:rPr>
        <w:drawing>
          <wp:inline distT="0" distB="0" distL="0" distR="0">
            <wp:extent cx="3886200" cy="1323975"/>
            <wp:effectExtent l="19050" t="0" r="0" b="0"/>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a:stretch>
                      <a:fillRect/>
                    </a:stretch>
                  </pic:blipFill>
                  <pic:spPr bwMode="auto">
                    <a:xfrm>
                      <a:off x="0" y="0"/>
                      <a:ext cx="3886200" cy="1323975"/>
                    </a:xfrm>
                    <a:prstGeom prst="rect">
                      <a:avLst/>
                    </a:prstGeom>
                    <a:noFill/>
                    <a:ln w="9525">
                      <a:noFill/>
                      <a:miter lim="800000"/>
                      <a:headEnd/>
                      <a:tailEnd/>
                    </a:ln>
                  </pic:spPr>
                </pic:pic>
              </a:graphicData>
            </a:graphic>
          </wp:inline>
        </w:drawing>
      </w:r>
    </w:p>
    <w:p w:rsidR="0056746D" w:rsidRPr="0045582C" w:rsidRDefault="0056746D" w:rsidP="0056746D">
      <w:pPr>
        <w:spacing w:line="360" w:lineRule="auto"/>
        <w:jc w:val="both"/>
        <w:rPr>
          <w:rFonts w:ascii="Times New Roman" w:hAnsi="Times New Roman" w:cs="Times New Roman"/>
          <w:sz w:val="24"/>
        </w:rPr>
      </w:pPr>
      <w:r>
        <w:rPr>
          <w:rFonts w:ascii="Times New Roman" w:hAnsi="Times New Roman" w:cs="Times New Roman"/>
          <w:b/>
          <w:sz w:val="24"/>
        </w:rPr>
        <w:t xml:space="preserve">           </w:t>
      </w:r>
      <w:r>
        <w:rPr>
          <w:rFonts w:ascii="Times New Roman" w:hAnsi="Times New Roman" w:cs="Times New Roman"/>
          <w:sz w:val="24"/>
        </w:rPr>
        <w:t xml:space="preserve">En fournissant des ressources et des services à ses différents domaines d’activités stratégiques, par exemple en leur accordant des ressources financières, l’UQTR qui est l’entité centrale applique une stratégie de gestion de synergie. En ce sens, elle facilite aussi la coopération entre l’éducation universitaire et les services à la communauté en facilitant la mise en place d’événements communs à ces deux DAS comme pour les cliniques chiropratiques, les cliniques d’impôt, etc. Dans le même ordre d’idée, elle s’assure aussi que ces différents domaines d’activités stratégiques aient une vision commune. </w:t>
      </w:r>
    </w:p>
    <w:p w:rsidR="0056746D" w:rsidRDefault="0056746D" w:rsidP="0056746D"/>
    <w:p w:rsidR="001D1D47" w:rsidRDefault="001D1D47" w:rsidP="0056746D"/>
    <w:p w:rsidR="001D1D47" w:rsidRDefault="001D1D47" w:rsidP="0056746D"/>
    <w:p w:rsidR="0033401B" w:rsidRDefault="0033401B" w:rsidP="0033401B">
      <w:pPr>
        <w:pStyle w:val="Titre3"/>
        <w:spacing w:line="360" w:lineRule="auto"/>
      </w:pPr>
      <w:bookmarkStart w:id="47" w:name="_Toc417486259"/>
      <w:r>
        <w:lastRenderedPageBreak/>
        <w:t>7.3 Les matrices de gestion de portefeuille</w:t>
      </w:r>
      <w:bookmarkEnd w:id="47"/>
    </w:p>
    <w:p w:rsidR="001D1D47" w:rsidRPr="00FC5C14" w:rsidRDefault="0033401B" w:rsidP="0033401B">
      <w:pPr>
        <w:pStyle w:val="Titre4"/>
        <w:spacing w:line="360" w:lineRule="auto"/>
        <w:ind w:left="708"/>
      </w:pPr>
      <w:bookmarkStart w:id="48" w:name="_Toc417486260"/>
      <w:r>
        <w:t xml:space="preserve">7.3.1 </w:t>
      </w:r>
      <w:r w:rsidR="009A3991">
        <w:t>Matrice BCG</w:t>
      </w:r>
      <w:bookmarkEnd w:id="48"/>
      <w:r w:rsidR="009A3991">
        <w:t> </w:t>
      </w:r>
    </w:p>
    <w:p w:rsidR="001D1D47" w:rsidRDefault="001D1D47" w:rsidP="0033401B">
      <w:pPr>
        <w:spacing w:line="360" w:lineRule="auto"/>
        <w:jc w:val="both"/>
        <w:rPr>
          <w:rFonts w:ascii="Times New Roman" w:hAnsi="Times New Roman" w:cs="Times New Roman"/>
          <w:sz w:val="24"/>
          <w:szCs w:val="24"/>
        </w:rPr>
      </w:pPr>
      <w:r w:rsidRPr="00FC5C14">
        <w:rPr>
          <w:rFonts w:ascii="Times New Roman" w:hAnsi="Times New Roman" w:cs="Times New Roman"/>
          <w:b/>
          <w:sz w:val="24"/>
          <w:szCs w:val="24"/>
        </w:rPr>
        <w:t xml:space="preserve">          </w:t>
      </w:r>
      <w:r w:rsidRPr="00FC5C14">
        <w:rPr>
          <w:rFonts w:ascii="Times New Roman" w:hAnsi="Times New Roman" w:cs="Times New Roman"/>
          <w:sz w:val="24"/>
          <w:szCs w:val="24"/>
        </w:rPr>
        <w:t>Afin de schématiser la matrice BCG, nous avons dû estimer la croissance des différents domaines d’activités stratégiques. Dans le cas de l’éducation universitaire, nous avons pu déterminer grâce aux prévisions effectué</w:t>
      </w:r>
      <w:r>
        <w:rPr>
          <w:rFonts w:ascii="Times New Roman" w:hAnsi="Times New Roman" w:cs="Times New Roman"/>
          <w:sz w:val="24"/>
          <w:szCs w:val="24"/>
        </w:rPr>
        <w:t>e</w:t>
      </w:r>
      <w:r w:rsidRPr="00FC5C14">
        <w:rPr>
          <w:rFonts w:ascii="Times New Roman" w:hAnsi="Times New Roman" w:cs="Times New Roman"/>
          <w:sz w:val="24"/>
          <w:szCs w:val="24"/>
        </w:rPr>
        <w:t>s par le gouvernement du Québec (graphique suivant + donné</w:t>
      </w:r>
      <w:r>
        <w:rPr>
          <w:rFonts w:ascii="Times New Roman" w:hAnsi="Times New Roman" w:cs="Times New Roman"/>
          <w:sz w:val="24"/>
          <w:szCs w:val="24"/>
        </w:rPr>
        <w:t>es</w:t>
      </w:r>
      <w:r w:rsidRPr="00FC5C14">
        <w:rPr>
          <w:rFonts w:ascii="Times New Roman" w:hAnsi="Times New Roman" w:cs="Times New Roman"/>
          <w:sz w:val="24"/>
          <w:szCs w:val="24"/>
        </w:rPr>
        <w:t xml:space="preserve"> précis</w:t>
      </w:r>
      <w:r>
        <w:rPr>
          <w:rFonts w:ascii="Times New Roman" w:hAnsi="Times New Roman" w:cs="Times New Roman"/>
          <w:sz w:val="24"/>
          <w:szCs w:val="24"/>
        </w:rPr>
        <w:t>es</w:t>
      </w:r>
      <w:r w:rsidRPr="00FC5C14">
        <w:rPr>
          <w:rStyle w:val="Appelnotedebasdep"/>
          <w:rFonts w:ascii="Times New Roman" w:hAnsi="Times New Roman" w:cs="Times New Roman"/>
          <w:sz w:val="24"/>
          <w:szCs w:val="24"/>
        </w:rPr>
        <w:footnoteReference w:id="89"/>
      </w:r>
      <w:r w:rsidRPr="00FC5C14">
        <w:rPr>
          <w:rFonts w:ascii="Times New Roman" w:hAnsi="Times New Roman" w:cs="Times New Roman"/>
          <w:sz w:val="24"/>
          <w:szCs w:val="24"/>
        </w:rPr>
        <w:t xml:space="preserve"> en annexe) que ce marché n’allait pas subir de croissance importance au Québec à court terme. En effet, des années  2013-2014 à 2016-2017 le marché universitaire ne subira qu’une croissance de 1% pour la moyenne des 3 cycles universitaires. </w:t>
      </w:r>
    </w:p>
    <w:p w:rsidR="00910D16" w:rsidRPr="00FC5C14" w:rsidRDefault="00910D16" w:rsidP="0033401B">
      <w:pPr>
        <w:spacing w:line="360" w:lineRule="auto"/>
        <w:jc w:val="both"/>
        <w:rPr>
          <w:rFonts w:ascii="Times New Roman" w:hAnsi="Times New Roman" w:cs="Times New Roman"/>
          <w:sz w:val="24"/>
          <w:szCs w:val="24"/>
        </w:rPr>
      </w:pPr>
    </w:p>
    <w:p w:rsidR="001D1D47" w:rsidRPr="00FC5C14" w:rsidRDefault="001D1D47" w:rsidP="001D1D47">
      <w:pPr>
        <w:spacing w:line="360" w:lineRule="auto"/>
        <w:rPr>
          <w:sz w:val="24"/>
          <w:szCs w:val="24"/>
        </w:rPr>
      </w:pPr>
      <w:r w:rsidRPr="00FC5C14">
        <w:rPr>
          <w:noProof/>
          <w:sz w:val="24"/>
          <w:szCs w:val="24"/>
          <w:lang w:eastAsia="fr-CA"/>
        </w:rPr>
        <w:drawing>
          <wp:inline distT="0" distB="0" distL="0" distR="0">
            <wp:extent cx="5486400" cy="2295525"/>
            <wp:effectExtent l="19050" t="0" r="0" b="0"/>
            <wp:docPr id="4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srcRect/>
                    <a:stretch>
                      <a:fillRect/>
                    </a:stretch>
                  </pic:blipFill>
                  <pic:spPr bwMode="auto">
                    <a:xfrm>
                      <a:off x="0" y="0"/>
                      <a:ext cx="5486400" cy="2295525"/>
                    </a:xfrm>
                    <a:prstGeom prst="rect">
                      <a:avLst/>
                    </a:prstGeom>
                    <a:noFill/>
                    <a:ln w="9525">
                      <a:noFill/>
                      <a:miter lim="800000"/>
                      <a:headEnd/>
                      <a:tailEnd/>
                    </a:ln>
                  </pic:spPr>
                </pic:pic>
              </a:graphicData>
            </a:graphic>
          </wp:inline>
        </w:drawing>
      </w:r>
    </w:p>
    <w:p w:rsidR="001D1D47" w:rsidRPr="00FC5C14" w:rsidRDefault="001D1D47" w:rsidP="001D1D47">
      <w:pPr>
        <w:spacing w:line="360" w:lineRule="auto"/>
        <w:jc w:val="both"/>
        <w:rPr>
          <w:rFonts w:ascii="Times New Roman" w:hAnsi="Times New Roman" w:cs="Times New Roman"/>
          <w:sz w:val="24"/>
          <w:szCs w:val="24"/>
        </w:rPr>
      </w:pPr>
      <w:r w:rsidRPr="00FC5C14">
        <w:rPr>
          <w:rFonts w:ascii="Times New Roman" w:hAnsi="Times New Roman" w:cs="Times New Roman"/>
          <w:sz w:val="24"/>
          <w:szCs w:val="24"/>
        </w:rPr>
        <w:t xml:space="preserve">          En ce qui a trait à la part de marché de l’UQTR pour ce domaine d’activité stratégique, nous avons déterminé que le nombre d’étudiants représentait 6% du marché universitaire </w:t>
      </w:r>
      <w:r>
        <w:rPr>
          <w:rFonts w:ascii="Times New Roman" w:hAnsi="Times New Roman" w:cs="Times New Roman"/>
          <w:sz w:val="24"/>
          <w:szCs w:val="24"/>
        </w:rPr>
        <w:t>q</w:t>
      </w:r>
      <w:r w:rsidRPr="00FC5C14">
        <w:rPr>
          <w:rFonts w:ascii="Times New Roman" w:hAnsi="Times New Roman" w:cs="Times New Roman"/>
          <w:sz w:val="24"/>
          <w:szCs w:val="24"/>
        </w:rPr>
        <w:t xml:space="preserve">uébécois. En effet, en moyenne l’UQTR avait accueilli 9 365 étudiants au cours des trois trimestres alors que pour l’ensemble québécois la moyenne était de 219 989 pour l’année 2013-2014. Cette part de marché peut sembler faible, mais pour une université située hors de la région métropolitaine de Montréal, cette part n’est pas négligeable. </w:t>
      </w:r>
    </w:p>
    <w:p w:rsidR="001D1D47" w:rsidRPr="00FC5C14" w:rsidRDefault="001D1D47" w:rsidP="00910D16">
      <w:pPr>
        <w:spacing w:line="360" w:lineRule="auto"/>
        <w:jc w:val="center"/>
        <w:rPr>
          <w:rFonts w:ascii="Times New Roman" w:hAnsi="Times New Roman" w:cs="Times New Roman"/>
          <w:sz w:val="24"/>
          <w:szCs w:val="24"/>
        </w:rPr>
      </w:pPr>
      <w:r w:rsidRPr="00FC5C14">
        <w:rPr>
          <w:rFonts w:ascii="Times New Roman" w:hAnsi="Times New Roman" w:cs="Times New Roman"/>
          <w:noProof/>
          <w:sz w:val="24"/>
          <w:szCs w:val="24"/>
          <w:lang w:eastAsia="fr-CA"/>
        </w:rPr>
        <w:lastRenderedPageBreak/>
        <w:drawing>
          <wp:inline distT="0" distB="0" distL="0" distR="0">
            <wp:extent cx="4391025" cy="2276475"/>
            <wp:effectExtent l="19050" t="0" r="9525" b="0"/>
            <wp:docPr id="50" name="Graphique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0B3F0C" w:rsidRDefault="001D1D47" w:rsidP="001D1D47">
      <w:pPr>
        <w:spacing w:line="360" w:lineRule="auto"/>
        <w:jc w:val="both"/>
        <w:rPr>
          <w:rFonts w:ascii="Times New Roman" w:hAnsi="Times New Roman" w:cs="Times New Roman"/>
          <w:sz w:val="24"/>
          <w:szCs w:val="24"/>
        </w:rPr>
      </w:pPr>
      <w:r w:rsidRPr="00FC5C14">
        <w:rPr>
          <w:rFonts w:ascii="Times New Roman" w:hAnsi="Times New Roman" w:cs="Times New Roman"/>
          <w:sz w:val="24"/>
          <w:szCs w:val="24"/>
        </w:rPr>
        <w:t xml:space="preserve">      </w:t>
      </w:r>
    </w:p>
    <w:p w:rsidR="001D1D47" w:rsidRPr="00FC5C14" w:rsidRDefault="001D1D47" w:rsidP="000B3F0C">
      <w:pPr>
        <w:spacing w:line="360" w:lineRule="auto"/>
        <w:ind w:firstLine="708"/>
        <w:jc w:val="both"/>
        <w:rPr>
          <w:rFonts w:ascii="Times New Roman" w:hAnsi="Times New Roman" w:cs="Times New Roman"/>
          <w:sz w:val="24"/>
          <w:szCs w:val="24"/>
        </w:rPr>
      </w:pPr>
      <w:r w:rsidRPr="00FC5C14">
        <w:rPr>
          <w:rFonts w:ascii="Times New Roman" w:hAnsi="Times New Roman" w:cs="Times New Roman"/>
          <w:sz w:val="24"/>
          <w:szCs w:val="24"/>
        </w:rPr>
        <w:t>En ce qui concerne le domaine stratégique du service à la communauté, il a été plus difficile d’évaluer la croissance de ce marché et la part relative de l’UQTR grâce à des chiffres précis à ce sujet. Par contre, selon Statistique Canada, Trois-Rivières serait une des régions les moins généreuses au pays en ce qui a trait aux services rendus à la communauté. En effet, selon ces statistiques</w:t>
      </w:r>
      <w:r w:rsidRPr="00FC5C14">
        <w:rPr>
          <w:rStyle w:val="Appelnotedebasdep"/>
          <w:rFonts w:ascii="Times New Roman" w:hAnsi="Times New Roman" w:cs="Times New Roman"/>
          <w:sz w:val="24"/>
          <w:szCs w:val="24"/>
        </w:rPr>
        <w:footnoteReference w:id="90"/>
      </w:r>
      <w:r w:rsidRPr="00FC5C14">
        <w:rPr>
          <w:rFonts w:ascii="Times New Roman" w:hAnsi="Times New Roman" w:cs="Times New Roman"/>
          <w:sz w:val="24"/>
          <w:szCs w:val="24"/>
        </w:rPr>
        <w:t>, les investissements dans ce domaine auraient diminué de 45 000$ de 2011 à 2010 dans la région métropolitaine de recensement de Trois-Rivières, alors qu’ils sont en croissance ailleurs au pays. Nous pouvons donc estimer qu’il y a décroissance de ce marché dans la région de Trois-Rivières.</w:t>
      </w:r>
    </w:p>
    <w:p w:rsidR="001D1D47" w:rsidRPr="00FC5C14" w:rsidRDefault="001D1D47" w:rsidP="001D1D47">
      <w:pPr>
        <w:spacing w:line="360" w:lineRule="auto"/>
        <w:jc w:val="both"/>
        <w:rPr>
          <w:rFonts w:ascii="Times New Roman" w:hAnsi="Times New Roman" w:cs="Times New Roman"/>
          <w:sz w:val="24"/>
          <w:szCs w:val="24"/>
        </w:rPr>
      </w:pPr>
      <w:r w:rsidRPr="00FC5C14">
        <w:rPr>
          <w:rFonts w:ascii="Times New Roman" w:hAnsi="Times New Roman" w:cs="Times New Roman"/>
          <w:sz w:val="24"/>
          <w:szCs w:val="24"/>
        </w:rPr>
        <w:t xml:space="preserve">     Par ailleurs, grâce à son centre d’activité physique et sportive, l’ensemble de ses cliniques de santé et les différents autres services offerts à la communauté par le biais de l’UQTR, nous pouvons déterminer que la part relative de marché de ce DAS pour la communauté de  Trois-Rivières est tout de même élevée. </w:t>
      </w:r>
    </w:p>
    <w:p w:rsidR="00910D16" w:rsidRDefault="001D1D47" w:rsidP="001D1D47">
      <w:pPr>
        <w:spacing w:line="360" w:lineRule="auto"/>
        <w:jc w:val="both"/>
        <w:rPr>
          <w:rFonts w:ascii="Times New Roman" w:hAnsi="Times New Roman" w:cs="Times New Roman"/>
          <w:sz w:val="24"/>
          <w:szCs w:val="24"/>
        </w:rPr>
      </w:pPr>
      <w:r w:rsidRPr="00FC5C14">
        <w:rPr>
          <w:rFonts w:ascii="Times New Roman" w:hAnsi="Times New Roman" w:cs="Times New Roman"/>
          <w:sz w:val="24"/>
          <w:szCs w:val="24"/>
        </w:rPr>
        <w:t xml:space="preserve">            </w:t>
      </w:r>
    </w:p>
    <w:p w:rsidR="00910D16" w:rsidRDefault="00910D16" w:rsidP="001D1D47">
      <w:pPr>
        <w:spacing w:line="360" w:lineRule="auto"/>
        <w:jc w:val="both"/>
        <w:rPr>
          <w:rFonts w:ascii="Times New Roman" w:hAnsi="Times New Roman" w:cs="Times New Roman"/>
          <w:sz w:val="24"/>
          <w:szCs w:val="24"/>
        </w:rPr>
      </w:pPr>
    </w:p>
    <w:p w:rsidR="00910D16" w:rsidRDefault="00910D16" w:rsidP="001D1D47">
      <w:pPr>
        <w:spacing w:line="360" w:lineRule="auto"/>
        <w:jc w:val="both"/>
        <w:rPr>
          <w:rFonts w:ascii="Times New Roman" w:hAnsi="Times New Roman" w:cs="Times New Roman"/>
          <w:sz w:val="24"/>
          <w:szCs w:val="24"/>
        </w:rPr>
      </w:pPr>
    </w:p>
    <w:p w:rsidR="00910D16" w:rsidRDefault="00910D16" w:rsidP="001D1D47">
      <w:pPr>
        <w:spacing w:line="360" w:lineRule="auto"/>
        <w:jc w:val="both"/>
        <w:rPr>
          <w:rFonts w:ascii="Times New Roman" w:hAnsi="Times New Roman" w:cs="Times New Roman"/>
          <w:sz w:val="24"/>
          <w:szCs w:val="24"/>
        </w:rPr>
      </w:pPr>
    </w:p>
    <w:p w:rsidR="00910D16" w:rsidRDefault="00910D16" w:rsidP="001D1D47">
      <w:pPr>
        <w:spacing w:line="360" w:lineRule="auto"/>
        <w:jc w:val="both"/>
        <w:rPr>
          <w:rFonts w:ascii="Times New Roman" w:hAnsi="Times New Roman" w:cs="Times New Roman"/>
          <w:sz w:val="24"/>
          <w:szCs w:val="24"/>
        </w:rPr>
      </w:pPr>
    </w:p>
    <w:p w:rsidR="00910D16" w:rsidRPr="00910D16" w:rsidRDefault="00910D16" w:rsidP="00910D16">
      <w:pPr>
        <w:spacing w:line="360" w:lineRule="auto"/>
        <w:jc w:val="center"/>
        <w:rPr>
          <w:rFonts w:ascii="Times New Roman" w:hAnsi="Times New Roman" w:cs="Times New Roman"/>
          <w:b/>
          <w:sz w:val="24"/>
          <w:szCs w:val="24"/>
          <w:u w:val="single"/>
        </w:rPr>
      </w:pPr>
      <w:r w:rsidRPr="00910D16">
        <w:rPr>
          <w:rFonts w:ascii="Times New Roman" w:hAnsi="Times New Roman" w:cs="Times New Roman"/>
          <w:b/>
          <w:sz w:val="24"/>
          <w:szCs w:val="24"/>
          <w:u w:val="single"/>
        </w:rPr>
        <w:t>Matrice BCG</w:t>
      </w:r>
    </w:p>
    <w:p w:rsidR="001D1D47" w:rsidRDefault="00910D16" w:rsidP="00910D16">
      <w:pPr>
        <w:spacing w:line="360" w:lineRule="auto"/>
        <w:jc w:val="center"/>
        <w:rPr>
          <w:rFonts w:ascii="Times New Roman" w:hAnsi="Times New Roman" w:cs="Times New Roman"/>
          <w:sz w:val="24"/>
          <w:szCs w:val="24"/>
        </w:rPr>
      </w:pPr>
      <w:r w:rsidRPr="00910D16">
        <w:rPr>
          <w:rFonts w:ascii="Times New Roman" w:hAnsi="Times New Roman" w:cs="Times New Roman"/>
          <w:b/>
          <w:noProof/>
          <w:sz w:val="24"/>
          <w:szCs w:val="24"/>
          <w:lang w:eastAsia="fr-CA"/>
        </w:rPr>
        <w:drawing>
          <wp:inline distT="0" distB="0" distL="0" distR="0">
            <wp:extent cx="5083271" cy="3138985"/>
            <wp:effectExtent l="19050" t="0" r="3079" b="0"/>
            <wp:docPr id="5" name="Image 6" descr="C:\Users\Célia\Documents\Administration des affaires\Hiver 2015\Gestion stratégique des entreprises\bc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élia\Documents\Administration des affaires\Hiver 2015\Gestion stratégique des entreprises\bcg.png"/>
                    <pic:cNvPicPr>
                      <a:picLocks noChangeAspect="1" noChangeArrowheads="1"/>
                    </pic:cNvPicPr>
                  </pic:nvPicPr>
                  <pic:blipFill>
                    <a:blip r:embed="rId70" cstate="print"/>
                    <a:srcRect/>
                    <a:stretch>
                      <a:fillRect/>
                    </a:stretch>
                  </pic:blipFill>
                  <pic:spPr bwMode="auto">
                    <a:xfrm>
                      <a:off x="0" y="0"/>
                      <a:ext cx="5091485" cy="3144057"/>
                    </a:xfrm>
                    <a:prstGeom prst="rect">
                      <a:avLst/>
                    </a:prstGeom>
                    <a:noFill/>
                    <a:ln w="9525">
                      <a:noFill/>
                      <a:miter lim="800000"/>
                      <a:headEnd/>
                      <a:tailEnd/>
                    </a:ln>
                  </pic:spPr>
                </pic:pic>
              </a:graphicData>
            </a:graphic>
          </wp:inline>
        </w:drawing>
      </w:r>
    </w:p>
    <w:p w:rsidR="00910D16" w:rsidRPr="00FC5C14" w:rsidRDefault="00910D16" w:rsidP="00910D16">
      <w:pPr>
        <w:spacing w:line="360" w:lineRule="auto"/>
        <w:jc w:val="center"/>
        <w:rPr>
          <w:rFonts w:ascii="Times New Roman" w:hAnsi="Times New Roman" w:cs="Times New Roman"/>
          <w:sz w:val="24"/>
          <w:szCs w:val="24"/>
        </w:rPr>
      </w:pPr>
    </w:p>
    <w:p w:rsidR="001D1D47" w:rsidRPr="00FC5C14" w:rsidRDefault="009A3991" w:rsidP="009A3991">
      <w:pPr>
        <w:pStyle w:val="Titre4"/>
        <w:spacing w:line="360" w:lineRule="auto"/>
        <w:ind w:left="708"/>
      </w:pPr>
      <w:bookmarkStart w:id="49" w:name="_Toc417486261"/>
      <w:r>
        <w:t xml:space="preserve">7.3.2 </w:t>
      </w:r>
      <w:r w:rsidR="001D1D47" w:rsidRPr="00FC5C14">
        <w:t>Matrice attraits/atouts (McKinsey) :</w:t>
      </w:r>
      <w:bookmarkEnd w:id="49"/>
    </w:p>
    <w:p w:rsidR="001D1D47" w:rsidRPr="00FC5C14" w:rsidRDefault="001D1D47" w:rsidP="009A3991">
      <w:pPr>
        <w:spacing w:line="360" w:lineRule="auto"/>
        <w:jc w:val="both"/>
        <w:rPr>
          <w:rFonts w:ascii="Times New Roman" w:hAnsi="Times New Roman" w:cs="Times New Roman"/>
          <w:sz w:val="24"/>
          <w:szCs w:val="24"/>
        </w:rPr>
      </w:pPr>
      <w:r w:rsidRPr="00FC5C14">
        <w:rPr>
          <w:rFonts w:ascii="Times New Roman" w:hAnsi="Times New Roman" w:cs="Times New Roman"/>
          <w:b/>
          <w:sz w:val="24"/>
          <w:szCs w:val="24"/>
        </w:rPr>
        <w:t xml:space="preserve">          </w:t>
      </w:r>
      <w:r w:rsidRPr="00FC5C14">
        <w:rPr>
          <w:rFonts w:ascii="Times New Roman" w:hAnsi="Times New Roman" w:cs="Times New Roman"/>
          <w:sz w:val="24"/>
          <w:szCs w:val="24"/>
        </w:rPr>
        <w:t>Pour le premier DAS, soit celui de l’éducation universitaire, nous avons pu évaluer que les atouts de cette organisation ainsi que ses attraits pour le marché universitaire n’étai</w:t>
      </w:r>
      <w:r>
        <w:rPr>
          <w:rFonts w:ascii="Times New Roman" w:hAnsi="Times New Roman" w:cs="Times New Roman"/>
          <w:sz w:val="24"/>
          <w:szCs w:val="24"/>
        </w:rPr>
        <w:t>en</w:t>
      </w:r>
      <w:r w:rsidRPr="00FC5C14">
        <w:rPr>
          <w:rFonts w:ascii="Times New Roman" w:hAnsi="Times New Roman" w:cs="Times New Roman"/>
          <w:sz w:val="24"/>
          <w:szCs w:val="24"/>
        </w:rPr>
        <w:t>t pas négligeable</w:t>
      </w:r>
      <w:r>
        <w:rPr>
          <w:rFonts w:ascii="Times New Roman" w:hAnsi="Times New Roman" w:cs="Times New Roman"/>
          <w:sz w:val="24"/>
          <w:szCs w:val="24"/>
        </w:rPr>
        <w:t>s</w:t>
      </w:r>
      <w:r w:rsidRPr="00FC5C14">
        <w:rPr>
          <w:rFonts w:ascii="Times New Roman" w:hAnsi="Times New Roman" w:cs="Times New Roman"/>
          <w:sz w:val="24"/>
          <w:szCs w:val="24"/>
        </w:rPr>
        <w:t>. De tout</w:t>
      </w:r>
      <w:r>
        <w:rPr>
          <w:rFonts w:ascii="Times New Roman" w:hAnsi="Times New Roman" w:cs="Times New Roman"/>
          <w:sz w:val="24"/>
          <w:szCs w:val="24"/>
        </w:rPr>
        <w:t>e</w:t>
      </w:r>
      <w:r w:rsidRPr="00FC5C14">
        <w:rPr>
          <w:rFonts w:ascii="Times New Roman" w:hAnsi="Times New Roman" w:cs="Times New Roman"/>
          <w:sz w:val="24"/>
          <w:szCs w:val="24"/>
        </w:rPr>
        <w:t xml:space="preserve"> évidence, l’UQTR fourni</w:t>
      </w:r>
      <w:r>
        <w:rPr>
          <w:rFonts w:ascii="Times New Roman" w:hAnsi="Times New Roman" w:cs="Times New Roman"/>
          <w:sz w:val="24"/>
          <w:szCs w:val="24"/>
        </w:rPr>
        <w:t>t</w:t>
      </w:r>
      <w:r w:rsidRPr="00FC5C14">
        <w:rPr>
          <w:rFonts w:ascii="Times New Roman" w:hAnsi="Times New Roman" w:cs="Times New Roman"/>
          <w:sz w:val="24"/>
          <w:szCs w:val="24"/>
        </w:rPr>
        <w:t xml:space="preserve"> plusieurs efforts pour attirer plus d’étudiants comme par l’expansion de son territoire jusqu’au Centre du Québec ou bien de la promotion envers la clientèle étrangère.</w:t>
      </w:r>
      <w:r w:rsidRPr="00FC5C14">
        <w:rPr>
          <w:rFonts w:ascii="Times New Roman" w:hAnsi="Times New Roman" w:cs="Times New Roman"/>
          <w:color w:val="FF0000"/>
          <w:sz w:val="24"/>
          <w:szCs w:val="24"/>
        </w:rPr>
        <w:t xml:space="preserve"> </w:t>
      </w:r>
      <w:r w:rsidRPr="00FC5C14">
        <w:rPr>
          <w:rFonts w:ascii="Times New Roman" w:hAnsi="Times New Roman" w:cs="Times New Roman"/>
          <w:sz w:val="24"/>
          <w:szCs w:val="24"/>
        </w:rPr>
        <w:t>Nous pouvons voir dans le graphique suivant que les efforts de l’UQTR sur ce marché semblent porter</w:t>
      </w:r>
      <w:r>
        <w:rPr>
          <w:rFonts w:ascii="Times New Roman" w:hAnsi="Times New Roman" w:cs="Times New Roman"/>
          <w:sz w:val="24"/>
          <w:szCs w:val="24"/>
        </w:rPr>
        <w:t xml:space="preserve"> ses</w:t>
      </w:r>
      <w:r w:rsidRPr="00FC5C14">
        <w:rPr>
          <w:rFonts w:ascii="Times New Roman" w:hAnsi="Times New Roman" w:cs="Times New Roman"/>
          <w:sz w:val="24"/>
          <w:szCs w:val="24"/>
        </w:rPr>
        <w:t xml:space="preserve"> fruits puisque selon l’évaluation de la tendance des dernières années, le nombre d’étudiants progresserait de 11,98% de l’année 2013-2014 à 2016-2017 alors que pour l’ensemble du Québec (évalué dans la matrice BCG) ce serait seulement de 1,14%. </w:t>
      </w:r>
    </w:p>
    <w:p w:rsidR="001D1D47" w:rsidRPr="00FC5C14" w:rsidRDefault="001D1D47" w:rsidP="001D1D47">
      <w:pPr>
        <w:spacing w:line="360" w:lineRule="auto"/>
        <w:jc w:val="both"/>
        <w:rPr>
          <w:rFonts w:ascii="Times New Roman" w:hAnsi="Times New Roman" w:cs="Times New Roman"/>
          <w:sz w:val="24"/>
          <w:szCs w:val="24"/>
        </w:rPr>
      </w:pPr>
    </w:p>
    <w:p w:rsidR="001D1D47" w:rsidRPr="00FC5C14" w:rsidRDefault="001D1D47" w:rsidP="001D1D47">
      <w:pPr>
        <w:spacing w:line="360" w:lineRule="auto"/>
        <w:jc w:val="both"/>
        <w:rPr>
          <w:rFonts w:ascii="Times New Roman" w:hAnsi="Times New Roman" w:cs="Times New Roman"/>
          <w:sz w:val="24"/>
          <w:szCs w:val="24"/>
        </w:rPr>
      </w:pPr>
      <w:r w:rsidRPr="00FC5C14">
        <w:rPr>
          <w:rFonts w:ascii="Times New Roman" w:hAnsi="Times New Roman" w:cs="Times New Roman"/>
          <w:b/>
          <w:sz w:val="24"/>
          <w:szCs w:val="24"/>
        </w:rPr>
        <w:t xml:space="preserve">        </w:t>
      </w:r>
    </w:p>
    <w:p w:rsidR="001D1D47" w:rsidRPr="00FC5C14" w:rsidRDefault="001D1D47" w:rsidP="00910D16">
      <w:pPr>
        <w:spacing w:line="360" w:lineRule="auto"/>
        <w:jc w:val="center"/>
        <w:rPr>
          <w:sz w:val="24"/>
          <w:szCs w:val="24"/>
        </w:rPr>
      </w:pPr>
      <w:r w:rsidRPr="00FC5C14">
        <w:rPr>
          <w:noProof/>
          <w:sz w:val="24"/>
          <w:szCs w:val="24"/>
          <w:lang w:eastAsia="fr-CA"/>
        </w:rPr>
        <w:lastRenderedPageBreak/>
        <w:drawing>
          <wp:inline distT="0" distB="0" distL="0" distR="0">
            <wp:extent cx="4784962" cy="2838734"/>
            <wp:effectExtent l="19050" t="0" r="0" b="0"/>
            <wp:docPr id="5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srcRect/>
                    <a:stretch>
                      <a:fillRect/>
                    </a:stretch>
                  </pic:blipFill>
                  <pic:spPr bwMode="auto">
                    <a:xfrm>
                      <a:off x="0" y="0"/>
                      <a:ext cx="4786337" cy="2839550"/>
                    </a:xfrm>
                    <a:prstGeom prst="rect">
                      <a:avLst/>
                    </a:prstGeom>
                    <a:noFill/>
                  </pic:spPr>
                </pic:pic>
              </a:graphicData>
            </a:graphic>
          </wp:inline>
        </w:drawing>
      </w:r>
    </w:p>
    <w:p w:rsidR="00711AEA" w:rsidRDefault="001D1D47" w:rsidP="001D1D47">
      <w:pPr>
        <w:spacing w:line="360" w:lineRule="auto"/>
        <w:jc w:val="both"/>
        <w:rPr>
          <w:rFonts w:ascii="Times New Roman" w:hAnsi="Times New Roman" w:cs="Times New Roman"/>
          <w:sz w:val="24"/>
          <w:szCs w:val="24"/>
        </w:rPr>
      </w:pPr>
      <w:r w:rsidRPr="001D1D47">
        <w:rPr>
          <w:rFonts w:ascii="Times New Roman" w:hAnsi="Times New Roman" w:cs="Times New Roman"/>
          <w:sz w:val="24"/>
          <w:szCs w:val="24"/>
        </w:rPr>
        <w:t xml:space="preserve">       </w:t>
      </w:r>
    </w:p>
    <w:p w:rsidR="00910D16" w:rsidRDefault="001D1D47" w:rsidP="001D1D47">
      <w:pPr>
        <w:spacing w:line="360" w:lineRule="auto"/>
        <w:jc w:val="both"/>
        <w:rPr>
          <w:rFonts w:ascii="Times New Roman" w:hAnsi="Times New Roman" w:cs="Times New Roman"/>
          <w:sz w:val="24"/>
          <w:szCs w:val="24"/>
        </w:rPr>
      </w:pPr>
      <w:r w:rsidRPr="001D1D47">
        <w:rPr>
          <w:rFonts w:ascii="Times New Roman" w:hAnsi="Times New Roman" w:cs="Times New Roman"/>
          <w:sz w:val="24"/>
          <w:szCs w:val="24"/>
        </w:rPr>
        <w:t xml:space="preserve">  Du côté des services à la communauté, les atouts de l’organisation sont tout de même importants puisque l’université </w:t>
      </w:r>
      <w:r w:rsidR="003520A0">
        <w:rPr>
          <w:rFonts w:ascii="Times New Roman" w:hAnsi="Times New Roman" w:cs="Times New Roman"/>
          <w:sz w:val="24"/>
          <w:szCs w:val="24"/>
        </w:rPr>
        <w:t>investit</w:t>
      </w:r>
      <w:r w:rsidRPr="001D1D47">
        <w:rPr>
          <w:rFonts w:ascii="Times New Roman" w:hAnsi="Times New Roman" w:cs="Times New Roman"/>
          <w:sz w:val="24"/>
          <w:szCs w:val="24"/>
        </w:rPr>
        <w:t xml:space="preserve"> des sommes assez importantes pour ce DAS. Par contre, l’attrait de ce marché est  plus faible que pour l’éducation universitaire puisque ce domaine d’activité stratégique est constitué d’investissement qui ne rapporte pas beaucoup en terme monétaire à l’université. De plus, la taille de ce marché est plusieurs fois moindre puisque celui-ci est délimité à l’intérieur de la région de Trois-Rivières alors que c’était la totalité de la province pour l’autre DAS.    </w:t>
      </w:r>
      <w:r>
        <w:rPr>
          <w:rFonts w:ascii="Times New Roman" w:hAnsi="Times New Roman" w:cs="Times New Roman"/>
          <w:sz w:val="24"/>
          <w:szCs w:val="24"/>
        </w:rPr>
        <w:t xml:space="preserve">    </w:t>
      </w:r>
    </w:p>
    <w:p w:rsidR="00910D16" w:rsidRDefault="00910D16" w:rsidP="001D1D47">
      <w:pPr>
        <w:spacing w:line="360" w:lineRule="auto"/>
        <w:jc w:val="both"/>
        <w:rPr>
          <w:rFonts w:ascii="Times New Roman" w:hAnsi="Times New Roman" w:cs="Times New Roman"/>
          <w:sz w:val="24"/>
          <w:szCs w:val="24"/>
        </w:rPr>
      </w:pPr>
    </w:p>
    <w:p w:rsidR="00910D16" w:rsidRDefault="00910D16" w:rsidP="001D1D47">
      <w:pPr>
        <w:spacing w:line="360" w:lineRule="auto"/>
        <w:jc w:val="both"/>
        <w:rPr>
          <w:rFonts w:ascii="Times New Roman" w:hAnsi="Times New Roman" w:cs="Times New Roman"/>
          <w:sz w:val="24"/>
          <w:szCs w:val="24"/>
        </w:rPr>
      </w:pPr>
    </w:p>
    <w:p w:rsidR="00910D16" w:rsidRDefault="00910D16" w:rsidP="001D1D47">
      <w:pPr>
        <w:spacing w:line="360" w:lineRule="auto"/>
        <w:jc w:val="both"/>
        <w:rPr>
          <w:rFonts w:ascii="Times New Roman" w:hAnsi="Times New Roman" w:cs="Times New Roman"/>
          <w:sz w:val="24"/>
          <w:szCs w:val="24"/>
        </w:rPr>
      </w:pPr>
    </w:p>
    <w:p w:rsidR="00910D16" w:rsidRDefault="00910D16" w:rsidP="001D1D47">
      <w:pPr>
        <w:spacing w:line="360" w:lineRule="auto"/>
        <w:jc w:val="both"/>
        <w:rPr>
          <w:rFonts w:ascii="Times New Roman" w:hAnsi="Times New Roman" w:cs="Times New Roman"/>
          <w:sz w:val="24"/>
          <w:szCs w:val="24"/>
        </w:rPr>
      </w:pPr>
    </w:p>
    <w:p w:rsidR="00910D16" w:rsidRDefault="00910D16" w:rsidP="004F6B0E">
      <w:pPr>
        <w:spacing w:line="360" w:lineRule="auto"/>
        <w:ind w:firstLine="708"/>
        <w:jc w:val="both"/>
        <w:rPr>
          <w:rFonts w:ascii="Times New Roman" w:hAnsi="Times New Roman" w:cs="Times New Roman"/>
          <w:sz w:val="24"/>
          <w:szCs w:val="24"/>
        </w:rPr>
      </w:pPr>
    </w:p>
    <w:p w:rsidR="004F6B0E" w:rsidRDefault="004F6B0E" w:rsidP="004F6B0E">
      <w:pPr>
        <w:spacing w:line="360" w:lineRule="auto"/>
        <w:jc w:val="center"/>
        <w:rPr>
          <w:rFonts w:ascii="Times New Roman" w:hAnsi="Times New Roman" w:cs="Times New Roman"/>
          <w:b/>
          <w:sz w:val="24"/>
          <w:szCs w:val="24"/>
          <w:u w:val="single"/>
        </w:rPr>
      </w:pPr>
    </w:p>
    <w:p w:rsidR="004F6B0E" w:rsidRDefault="004F6B0E" w:rsidP="004F6B0E">
      <w:pPr>
        <w:spacing w:line="360" w:lineRule="auto"/>
        <w:jc w:val="center"/>
        <w:rPr>
          <w:rFonts w:ascii="Times New Roman" w:hAnsi="Times New Roman" w:cs="Times New Roman"/>
          <w:b/>
          <w:sz w:val="24"/>
          <w:szCs w:val="24"/>
          <w:u w:val="single"/>
        </w:rPr>
      </w:pPr>
    </w:p>
    <w:p w:rsidR="004F6B0E" w:rsidRDefault="004F6B0E" w:rsidP="004F6B0E">
      <w:pPr>
        <w:spacing w:line="360" w:lineRule="auto"/>
        <w:jc w:val="center"/>
        <w:rPr>
          <w:rFonts w:ascii="Times New Roman" w:hAnsi="Times New Roman" w:cs="Times New Roman"/>
          <w:b/>
          <w:sz w:val="24"/>
          <w:szCs w:val="24"/>
          <w:u w:val="single"/>
        </w:rPr>
      </w:pPr>
    </w:p>
    <w:p w:rsidR="001D1D47" w:rsidRPr="004F6B0E" w:rsidRDefault="00910D16" w:rsidP="004F6B0E">
      <w:pPr>
        <w:spacing w:line="360" w:lineRule="auto"/>
        <w:ind w:left="1416"/>
        <w:jc w:val="center"/>
        <w:rPr>
          <w:rFonts w:ascii="Times New Roman" w:hAnsi="Times New Roman" w:cs="Times New Roman"/>
          <w:b/>
          <w:sz w:val="24"/>
          <w:szCs w:val="24"/>
          <w:u w:val="single"/>
        </w:rPr>
      </w:pPr>
      <w:r w:rsidRPr="004F6B0E">
        <w:rPr>
          <w:rFonts w:ascii="Times New Roman" w:hAnsi="Times New Roman" w:cs="Times New Roman"/>
          <w:b/>
          <w:sz w:val="24"/>
          <w:szCs w:val="24"/>
          <w:u w:val="single"/>
        </w:rPr>
        <w:lastRenderedPageBreak/>
        <w:t>Matrice attraits/atouts</w:t>
      </w:r>
    </w:p>
    <w:p w:rsidR="001D1D47" w:rsidRDefault="00CC12FB" w:rsidP="004F6B0E">
      <w:pPr>
        <w:jc w:val="center"/>
        <w:rPr>
          <w:rFonts w:ascii="Times New Roman" w:hAnsi="Times New Roman" w:cs="Times New Roman"/>
          <w:sz w:val="24"/>
          <w:szCs w:val="24"/>
        </w:rPr>
      </w:pPr>
      <w:r w:rsidRPr="00CC12FB">
        <w:rPr>
          <w:rFonts w:ascii="Times New Roman" w:hAnsi="Times New Roman" w:cs="Times New Roman"/>
          <w:noProof/>
          <w:sz w:val="24"/>
          <w:szCs w:val="24"/>
          <w:lang w:eastAsia="fr-CA"/>
        </w:rPr>
        <w:drawing>
          <wp:inline distT="0" distB="0" distL="0" distR="0">
            <wp:extent cx="5486400" cy="4095750"/>
            <wp:effectExtent l="0" t="0" r="0" b="0"/>
            <wp:docPr id="25" name="Obje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12360" cy="5832648"/>
                      <a:chOff x="0" y="188640"/>
                      <a:chExt cx="7812360" cy="5832648"/>
                    </a:xfrm>
                  </a:grpSpPr>
                  <a:grpSp>
                    <a:nvGrpSpPr>
                      <a:cNvPr id="63" name="Groupe 62"/>
                      <a:cNvGrpSpPr/>
                    </a:nvGrpSpPr>
                    <a:grpSpPr>
                      <a:xfrm>
                        <a:off x="0" y="188640"/>
                        <a:ext cx="7812360" cy="5832648"/>
                        <a:chOff x="0" y="188640"/>
                        <a:chExt cx="7812360" cy="5832648"/>
                      </a:xfrm>
                    </a:grpSpPr>
                    <a:grpSp>
                      <a:nvGrpSpPr>
                        <a:cNvPr id="3" name="Groupe 39"/>
                        <a:cNvGrpSpPr/>
                      </a:nvGrpSpPr>
                      <a:grpSpPr>
                        <a:xfrm>
                          <a:off x="1547664" y="836712"/>
                          <a:ext cx="5904656" cy="5184576"/>
                          <a:chOff x="611560" y="908720"/>
                          <a:chExt cx="5904656" cy="5184576"/>
                        </a:xfrm>
                      </a:grpSpPr>
                      <a:sp>
                        <a:nvSpPr>
                          <a:cNvPr id="2" name="Rectangle 1"/>
                          <a:cNvSpPr/>
                        </a:nvSpPr>
                        <a:spPr>
                          <a:xfrm>
                            <a:off x="611560" y="908720"/>
                            <a:ext cx="1944216" cy="1368152"/>
                          </a:xfrm>
                          <a:prstGeom prst="rect">
                            <a:avLst/>
                          </a:prstGeom>
                          <a:solidFill>
                            <a:srgbClr val="00B050"/>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CA"/>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Rectangle 2"/>
                          <a:cNvSpPr/>
                        </a:nvSpPr>
                        <a:spPr>
                          <a:xfrm>
                            <a:off x="2555776" y="908720"/>
                            <a:ext cx="1944216" cy="1368152"/>
                          </a:xfrm>
                          <a:prstGeom prst="rect">
                            <a:avLst/>
                          </a:prstGeom>
                          <a:solidFill>
                            <a:srgbClr val="92D050"/>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CA"/>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Rectangle 3"/>
                          <a:cNvSpPr/>
                        </a:nvSpPr>
                        <a:spPr>
                          <a:xfrm>
                            <a:off x="4499992" y="908720"/>
                            <a:ext cx="1944216" cy="1368152"/>
                          </a:xfrm>
                          <a:prstGeom prst="rect">
                            <a:avLst/>
                          </a:prstGeom>
                          <a:solidFill>
                            <a:schemeClr val="bg1"/>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CA"/>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Rectangle 4"/>
                          <a:cNvSpPr/>
                        </a:nvSpPr>
                        <a:spPr>
                          <a:xfrm>
                            <a:off x="611560" y="2276872"/>
                            <a:ext cx="1944216" cy="1368152"/>
                          </a:xfrm>
                          <a:prstGeom prst="rect">
                            <a:avLst/>
                          </a:prstGeom>
                          <a:solidFill>
                            <a:srgbClr val="92D050"/>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CA"/>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Rectangle 5"/>
                          <a:cNvSpPr/>
                        </a:nvSpPr>
                        <a:spPr>
                          <a:xfrm>
                            <a:off x="2555776" y="2276872"/>
                            <a:ext cx="1944216" cy="1368152"/>
                          </a:xfrm>
                          <a:prstGeom prst="rect">
                            <a:avLst/>
                          </a:prstGeom>
                          <a:solidFill>
                            <a:schemeClr val="bg1"/>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CA"/>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ectangle 6"/>
                          <a:cNvSpPr/>
                        </a:nvSpPr>
                        <a:spPr>
                          <a:xfrm>
                            <a:off x="4499992" y="2276872"/>
                            <a:ext cx="1944216" cy="1368152"/>
                          </a:xfrm>
                          <a:prstGeom prst="rect">
                            <a:avLst/>
                          </a:prstGeom>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CA"/>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Rectangle 7"/>
                          <a:cNvSpPr/>
                        </a:nvSpPr>
                        <a:spPr>
                          <a:xfrm>
                            <a:off x="611560" y="3645024"/>
                            <a:ext cx="1944216" cy="1368152"/>
                          </a:xfrm>
                          <a:prstGeom prst="rect">
                            <a:avLst/>
                          </a:prstGeom>
                          <a:solidFill>
                            <a:schemeClr val="bg1"/>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CA"/>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Rectangle 8"/>
                          <a:cNvSpPr/>
                        </a:nvSpPr>
                        <a:spPr>
                          <a:xfrm>
                            <a:off x="2555776" y="3645024"/>
                            <a:ext cx="1944216" cy="1368152"/>
                          </a:xfrm>
                          <a:prstGeom prst="rect">
                            <a:avLst/>
                          </a:prstGeom>
                          <a:solidFill>
                            <a:srgbClr val="FEC200"/>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CA"/>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Rectangle 9"/>
                          <a:cNvSpPr/>
                        </a:nvSpPr>
                        <a:spPr>
                          <a:xfrm>
                            <a:off x="4499992" y="3645024"/>
                            <a:ext cx="1944216" cy="1368152"/>
                          </a:xfrm>
                          <a:prstGeom prst="rect">
                            <a:avLst/>
                          </a:prstGeom>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CA"/>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Rectangle 14"/>
                          <a:cNvSpPr/>
                        </a:nvSpPr>
                        <a:spPr>
                          <a:xfrm>
                            <a:off x="4499992" y="3645024"/>
                            <a:ext cx="1944216" cy="1368152"/>
                          </a:xfrm>
                          <a:prstGeom prst="rect">
                            <a:avLst/>
                          </a:prstGeom>
                          <a:solidFill>
                            <a:srgbClr val="DEA900"/>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CA"/>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Rectangle 15"/>
                          <a:cNvSpPr/>
                        </a:nvSpPr>
                        <a:spPr>
                          <a:xfrm>
                            <a:off x="4499992" y="2276872"/>
                            <a:ext cx="1944216" cy="1368152"/>
                          </a:xfrm>
                          <a:prstGeom prst="rect">
                            <a:avLst/>
                          </a:prstGeom>
                          <a:solidFill>
                            <a:srgbClr val="DEA900"/>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CA"/>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Rectangle 16"/>
                          <a:cNvSpPr/>
                        </a:nvSpPr>
                        <a:spPr>
                          <a:xfrm>
                            <a:off x="4499992" y="3645024"/>
                            <a:ext cx="1944216" cy="1368152"/>
                          </a:xfrm>
                          <a:prstGeom prst="rect">
                            <a:avLst/>
                          </a:prstGeom>
                          <a:solidFill>
                            <a:srgbClr val="FEC200"/>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CA"/>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Rectangle 17"/>
                          <a:cNvSpPr/>
                        </a:nvSpPr>
                        <a:spPr>
                          <a:xfrm>
                            <a:off x="4499992" y="2276872"/>
                            <a:ext cx="1944216" cy="1368152"/>
                          </a:xfrm>
                          <a:prstGeom prst="rect">
                            <a:avLst/>
                          </a:prstGeom>
                          <a:solidFill>
                            <a:srgbClr val="FEC200"/>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CA"/>
                            </a:p>
                          </a:txBody>
                          <a:useSpRect/>
                        </a:txSp>
                        <a:style>
                          <a:lnRef idx="2">
                            <a:schemeClr val="accent1">
                              <a:shade val="50000"/>
                            </a:schemeClr>
                          </a:lnRef>
                          <a:fillRef idx="1">
                            <a:schemeClr val="accent1"/>
                          </a:fillRef>
                          <a:effectRef idx="0">
                            <a:schemeClr val="accent1"/>
                          </a:effectRef>
                          <a:fontRef idx="minor">
                            <a:schemeClr val="lt1"/>
                          </a:fontRef>
                        </a:style>
                      </a:sp>
                      <a:sp>
                        <a:nvSpPr>
                          <a:cNvPr id="32" name="Secteurs 31"/>
                          <a:cNvSpPr/>
                        </a:nvSpPr>
                        <a:spPr>
                          <a:xfrm>
                            <a:off x="3995936" y="2420888"/>
                            <a:ext cx="360040" cy="360040"/>
                          </a:xfrm>
                          <a:prstGeom prst="pie">
                            <a:avLst>
                              <a:gd name="adj1" fmla="val 16243686"/>
                              <a:gd name="adj2" fmla="val 10781617"/>
                            </a:avLst>
                          </a:prstGeom>
                          <a:solidFill>
                            <a:srgbClr val="FEC200"/>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CA">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Ellipse 32"/>
                          <a:cNvSpPr/>
                        </a:nvSpPr>
                        <a:spPr>
                          <a:xfrm>
                            <a:off x="3995936" y="2420888"/>
                            <a:ext cx="360040" cy="360040"/>
                          </a:xfrm>
                          <a:prstGeom prst="ellipse">
                            <a:avLst/>
                          </a:prstGeom>
                          <a:no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CA"/>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Secteurs 33"/>
                          <a:cNvSpPr/>
                        </a:nvSpPr>
                        <a:spPr>
                          <a:xfrm>
                            <a:off x="1763688" y="1484784"/>
                            <a:ext cx="864096" cy="864096"/>
                          </a:xfrm>
                          <a:prstGeom prst="pie">
                            <a:avLst>
                              <a:gd name="adj1" fmla="val 16243686"/>
                              <a:gd name="adj2" fmla="val 14291760"/>
                            </a:avLst>
                          </a:prstGeom>
                          <a:solidFill>
                            <a:srgbClr val="FEC200"/>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CA">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5" name="Ellipse 34"/>
                          <a:cNvSpPr/>
                        </a:nvSpPr>
                        <a:spPr>
                          <a:xfrm>
                            <a:off x="1547664" y="5085184"/>
                            <a:ext cx="720080" cy="648072"/>
                          </a:xfrm>
                          <a:prstGeom prst="ellipse">
                            <a:avLst/>
                          </a:prstGeom>
                          <a:solidFill>
                            <a:srgbClr val="FEC200"/>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CA"/>
                            </a:p>
                          </a:txBody>
                          <a:useSpRect/>
                        </a:txSp>
                        <a:style>
                          <a:lnRef idx="2">
                            <a:schemeClr val="accent1">
                              <a:shade val="50000"/>
                            </a:schemeClr>
                          </a:lnRef>
                          <a:fillRef idx="1">
                            <a:schemeClr val="accent1"/>
                          </a:fillRef>
                          <a:effectRef idx="0">
                            <a:schemeClr val="accent1"/>
                          </a:effectRef>
                          <a:fontRef idx="minor">
                            <a:schemeClr val="lt1"/>
                          </a:fontRef>
                        </a:style>
                      </a:sp>
                      <a:sp>
                        <a:nvSpPr>
                          <a:cNvPr id="36" name="Secteurs 35"/>
                          <a:cNvSpPr/>
                        </a:nvSpPr>
                        <a:spPr>
                          <a:xfrm>
                            <a:off x="1763688" y="1484784"/>
                            <a:ext cx="864096" cy="864096"/>
                          </a:xfrm>
                          <a:prstGeom prst="pie">
                            <a:avLst>
                              <a:gd name="adj1" fmla="val 14316127"/>
                              <a:gd name="adj2" fmla="val 16274807"/>
                            </a:avLst>
                          </a:prstGeom>
                          <a:solidFill>
                            <a:schemeClr val="bg1"/>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CA">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7" name="Secteurs 36"/>
                          <a:cNvSpPr/>
                        </a:nvSpPr>
                        <a:spPr>
                          <a:xfrm>
                            <a:off x="4139952" y="5301208"/>
                            <a:ext cx="1296144" cy="792088"/>
                          </a:xfrm>
                          <a:prstGeom prst="pie">
                            <a:avLst>
                              <a:gd name="adj1" fmla="val 10878295"/>
                              <a:gd name="adj2" fmla="val 13266285"/>
                            </a:avLst>
                          </a:prstGeom>
                          <a:solidFill>
                            <a:schemeClr val="bg1"/>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CA">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8" name="ZoneTexte 37"/>
                          <a:cNvSpPr txBox="1"/>
                        </a:nvSpPr>
                        <a:spPr>
                          <a:xfrm>
                            <a:off x="2195736" y="5157192"/>
                            <a:ext cx="1979712" cy="646331"/>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CA" dirty="0" smtClean="0"/>
                                <a:t>Représente la taille du march</a:t>
                              </a:r>
                              <a:r>
                                <a:rPr lang="fr-CA" dirty="0"/>
                                <a:t>é</a:t>
                              </a:r>
                            </a:p>
                          </a:txBody>
                          <a:useSpRect/>
                        </a:txSp>
                      </a:sp>
                      <a:sp>
                        <a:nvSpPr>
                          <a:cNvPr id="39" name="ZoneTexte 38"/>
                          <a:cNvSpPr txBox="1"/>
                        </a:nvSpPr>
                        <a:spPr>
                          <a:xfrm>
                            <a:off x="4788024" y="5085184"/>
                            <a:ext cx="1728192" cy="923330"/>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CA" dirty="0" smtClean="0"/>
                                <a:t>Représente la part de marché du DAS</a:t>
                              </a:r>
                              <a:endParaRPr lang="fr-CA" dirty="0"/>
                            </a:p>
                          </a:txBody>
                          <a:useSpRect/>
                        </a:txSp>
                      </a:sp>
                    </a:grpSp>
                    <a:sp>
                      <a:nvSpPr>
                        <a:cNvPr id="41" name="ZoneTexte 40"/>
                        <a:cNvSpPr txBox="1"/>
                      </a:nvSpPr>
                      <a:spPr>
                        <a:xfrm>
                          <a:off x="683568" y="4149080"/>
                          <a:ext cx="936104"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CA" dirty="0" smtClean="0"/>
                              <a:t>Faibles</a:t>
                            </a:r>
                            <a:endParaRPr lang="fr-CA" dirty="0"/>
                          </a:p>
                        </a:txBody>
                        <a:useSpRect/>
                      </a:txSp>
                    </a:sp>
                    <a:sp>
                      <a:nvSpPr>
                        <a:cNvPr id="42" name="ZoneTexte 41"/>
                        <a:cNvSpPr txBox="1"/>
                      </a:nvSpPr>
                      <a:spPr>
                        <a:xfrm>
                          <a:off x="611560" y="2636912"/>
                          <a:ext cx="1152128"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CA" dirty="0" smtClean="0"/>
                              <a:t>Moyens</a:t>
                            </a:r>
                            <a:endParaRPr lang="fr-CA" dirty="0"/>
                          </a:p>
                        </a:txBody>
                        <a:useSpRect/>
                      </a:txSp>
                    </a:sp>
                    <a:sp>
                      <a:nvSpPr>
                        <a:cNvPr id="43" name="ZoneTexte 42"/>
                        <a:cNvSpPr txBox="1"/>
                      </a:nvSpPr>
                      <a:spPr>
                        <a:xfrm>
                          <a:off x="827584" y="1196752"/>
                          <a:ext cx="1080120"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CA" dirty="0" smtClean="0"/>
                              <a:t>Forts</a:t>
                            </a:r>
                            <a:endParaRPr lang="fr-CA" dirty="0"/>
                          </a:p>
                        </a:txBody>
                        <a:useSpRect/>
                      </a:txSp>
                    </a:sp>
                    <a:sp>
                      <a:nvSpPr>
                        <a:cNvPr id="44" name="ZoneTexte 43"/>
                        <a:cNvSpPr txBox="1"/>
                      </a:nvSpPr>
                      <a:spPr>
                        <a:xfrm>
                          <a:off x="1691680" y="404664"/>
                          <a:ext cx="2088232"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CA" dirty="0" smtClean="0"/>
                              <a:t>Forts</a:t>
                            </a:r>
                            <a:endParaRPr lang="fr-CA" dirty="0"/>
                          </a:p>
                        </a:txBody>
                        <a:useSpRect/>
                      </a:txSp>
                    </a:sp>
                    <a:sp>
                      <a:nvSpPr>
                        <a:cNvPr id="45" name="ZoneTexte 44"/>
                        <a:cNvSpPr txBox="1"/>
                      </a:nvSpPr>
                      <a:spPr>
                        <a:xfrm>
                          <a:off x="3995936" y="404664"/>
                          <a:ext cx="1800200"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CA" dirty="0" smtClean="0"/>
                              <a:t>Moyens</a:t>
                            </a:r>
                            <a:endParaRPr lang="fr-CA" dirty="0"/>
                          </a:p>
                        </a:txBody>
                        <a:useSpRect/>
                      </a:txSp>
                    </a:sp>
                    <a:sp>
                      <a:nvSpPr>
                        <a:cNvPr id="46" name="ZoneTexte 45"/>
                        <a:cNvSpPr txBox="1"/>
                      </a:nvSpPr>
                      <a:spPr>
                        <a:xfrm>
                          <a:off x="6444208" y="404664"/>
                          <a:ext cx="1368152"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CA" dirty="0" smtClean="0"/>
                              <a:t>Faibles</a:t>
                            </a:r>
                            <a:endParaRPr lang="fr-CA" dirty="0"/>
                          </a:p>
                        </a:txBody>
                        <a:useSpRect/>
                      </a:txSp>
                    </a:sp>
                    <a:cxnSp>
                      <a:nvCxnSpPr>
                        <a:cNvPr id="50" name="Connecteur droit avec flèche 49"/>
                        <a:cNvCxnSpPr/>
                      </a:nvCxnSpPr>
                      <a:spPr>
                        <a:xfrm flipH="1">
                          <a:off x="4860032" y="620688"/>
                          <a:ext cx="1656184" cy="0"/>
                        </a:xfrm>
                        <a:prstGeom prst="straightConnector1">
                          <a:avLst/>
                        </a:prstGeom>
                        <a:ln w="25400">
                          <a:tailEnd type="arrow"/>
                        </a:ln>
                      </a:spPr>
                      <a:style>
                        <a:lnRef idx="1">
                          <a:schemeClr val="accent1"/>
                        </a:lnRef>
                        <a:fillRef idx="0">
                          <a:schemeClr val="accent1"/>
                        </a:fillRef>
                        <a:effectRef idx="0">
                          <a:schemeClr val="accent1"/>
                        </a:effectRef>
                        <a:fontRef idx="minor">
                          <a:schemeClr val="tx1"/>
                        </a:fontRef>
                      </a:style>
                    </a:cxnSp>
                    <a:cxnSp>
                      <a:nvCxnSpPr>
                        <a:cNvPr id="55" name="Connecteur droit avec flèche 54"/>
                        <a:cNvCxnSpPr/>
                      </a:nvCxnSpPr>
                      <a:spPr>
                        <a:xfrm flipH="1">
                          <a:off x="2411760" y="620688"/>
                          <a:ext cx="1656184" cy="0"/>
                        </a:xfrm>
                        <a:prstGeom prst="straightConnector1">
                          <a:avLst/>
                        </a:prstGeom>
                        <a:ln w="25400">
                          <a:tailEnd type="arrow"/>
                        </a:ln>
                      </a:spPr>
                      <a:style>
                        <a:lnRef idx="1">
                          <a:schemeClr val="accent1"/>
                        </a:lnRef>
                        <a:fillRef idx="0">
                          <a:schemeClr val="accent1"/>
                        </a:fillRef>
                        <a:effectRef idx="0">
                          <a:schemeClr val="accent1"/>
                        </a:effectRef>
                        <a:fontRef idx="minor">
                          <a:schemeClr val="tx1"/>
                        </a:fontRef>
                      </a:style>
                    </a:cxnSp>
                    <a:cxnSp>
                      <a:nvCxnSpPr>
                        <a:cNvPr id="58" name="Connecteur droit avec flèche 57"/>
                        <a:cNvCxnSpPr/>
                      </a:nvCxnSpPr>
                      <a:spPr>
                        <a:xfrm flipV="1">
                          <a:off x="1115616" y="1484784"/>
                          <a:ext cx="0" cy="1224136"/>
                        </a:xfrm>
                        <a:prstGeom prst="straightConnector1">
                          <a:avLst/>
                        </a:prstGeom>
                        <a:ln w="25400">
                          <a:tailEnd type="arrow"/>
                        </a:ln>
                      </a:spPr>
                      <a:style>
                        <a:lnRef idx="1">
                          <a:schemeClr val="accent1"/>
                        </a:lnRef>
                        <a:fillRef idx="0">
                          <a:schemeClr val="accent1"/>
                        </a:fillRef>
                        <a:effectRef idx="0">
                          <a:schemeClr val="accent1"/>
                        </a:effectRef>
                        <a:fontRef idx="minor">
                          <a:schemeClr val="tx1"/>
                        </a:fontRef>
                      </a:style>
                    </a:cxnSp>
                    <a:cxnSp>
                      <a:nvCxnSpPr>
                        <a:cNvPr id="60" name="Connecteur droit avec flèche 59"/>
                        <a:cNvCxnSpPr/>
                      </a:nvCxnSpPr>
                      <a:spPr>
                        <a:xfrm flipV="1">
                          <a:off x="1115616" y="2996952"/>
                          <a:ext cx="0" cy="1224136"/>
                        </a:xfrm>
                        <a:prstGeom prst="straightConnector1">
                          <a:avLst/>
                        </a:prstGeom>
                        <a:ln w="25400">
                          <a:tailEnd type="arrow"/>
                        </a:ln>
                      </a:spPr>
                      <a:style>
                        <a:lnRef idx="1">
                          <a:schemeClr val="accent1"/>
                        </a:lnRef>
                        <a:fillRef idx="0">
                          <a:schemeClr val="accent1"/>
                        </a:fillRef>
                        <a:effectRef idx="0">
                          <a:schemeClr val="accent1"/>
                        </a:effectRef>
                        <a:fontRef idx="minor">
                          <a:schemeClr val="tx1"/>
                        </a:fontRef>
                      </a:style>
                    </a:cxnSp>
                    <a:sp>
                      <a:nvSpPr>
                        <a:cNvPr id="61" name="ZoneTexte 60"/>
                        <a:cNvSpPr txBox="1"/>
                      </a:nvSpPr>
                      <a:spPr>
                        <a:xfrm>
                          <a:off x="2555776" y="188640"/>
                          <a:ext cx="4176464"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CA" b="1" dirty="0" smtClean="0"/>
                              <a:t>Atouts de l’organisation sur le DAS</a:t>
                            </a:r>
                            <a:endParaRPr lang="fr-CA" b="1" dirty="0"/>
                          </a:p>
                        </a:txBody>
                        <a:useSpRect/>
                      </a:txSp>
                    </a:sp>
                    <a:sp>
                      <a:nvSpPr>
                        <a:cNvPr id="62" name="ZoneTexte 61"/>
                        <a:cNvSpPr txBox="1"/>
                      </a:nvSpPr>
                      <a:spPr>
                        <a:xfrm>
                          <a:off x="0" y="2420888"/>
                          <a:ext cx="1008112" cy="923330"/>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CA" b="1" dirty="0" smtClean="0"/>
                              <a:t>Attraits du march</a:t>
                            </a:r>
                            <a:r>
                              <a:rPr lang="fr-CA" b="1" dirty="0"/>
                              <a:t>é</a:t>
                            </a:r>
                          </a:p>
                        </a:txBody>
                        <a:useSpRect/>
                      </a:txSp>
                    </a:sp>
                  </a:grpSp>
                </lc:lockedCanvas>
              </a:graphicData>
            </a:graphic>
          </wp:inline>
        </w:drawing>
      </w:r>
    </w:p>
    <w:p w:rsidR="000D0609" w:rsidRPr="004D7BC8" w:rsidRDefault="007A7A51" w:rsidP="007A7A51">
      <w:pPr>
        <w:pStyle w:val="Titre2"/>
      </w:pPr>
      <w:bookmarkStart w:id="50" w:name="_Toc417486262"/>
      <w:r>
        <w:t xml:space="preserve">8. </w:t>
      </w:r>
      <w:r w:rsidR="000D0609" w:rsidRPr="004D7BC8">
        <w:t>Les stratégies internationales</w:t>
      </w:r>
      <w:bookmarkEnd w:id="50"/>
    </w:p>
    <w:p w:rsidR="00E56FAA" w:rsidRPr="00E56FAA" w:rsidRDefault="005F6958" w:rsidP="005F6958">
      <w:pPr>
        <w:pStyle w:val="Titre3"/>
      </w:pPr>
      <w:bookmarkStart w:id="51" w:name="_Toc417486263"/>
      <w:r>
        <w:t xml:space="preserve">8.1 </w:t>
      </w:r>
      <w:r w:rsidR="00E56FAA" w:rsidRPr="00E56FAA">
        <w:t>L’internationalisation de l’UQTR</w:t>
      </w:r>
      <w:bookmarkEnd w:id="51"/>
    </w:p>
    <w:p w:rsidR="00EF0D5B" w:rsidRDefault="00EF0D5B" w:rsidP="004D7BC8">
      <w:pPr>
        <w:spacing w:line="360" w:lineRule="auto"/>
        <w:ind w:firstLine="708"/>
        <w:jc w:val="both"/>
        <w:rPr>
          <w:rFonts w:ascii="Times New Roman" w:hAnsi="Times New Roman" w:cs="Times New Roman"/>
          <w:sz w:val="24"/>
          <w:szCs w:val="24"/>
        </w:rPr>
      </w:pPr>
    </w:p>
    <w:p w:rsidR="00E56FAA" w:rsidRPr="00E56FAA" w:rsidRDefault="00E56FAA" w:rsidP="004D7BC8">
      <w:pPr>
        <w:spacing w:line="360" w:lineRule="auto"/>
        <w:ind w:firstLine="708"/>
        <w:jc w:val="both"/>
        <w:rPr>
          <w:rFonts w:ascii="Times New Roman" w:hAnsi="Times New Roman" w:cs="Times New Roman"/>
          <w:sz w:val="24"/>
          <w:szCs w:val="24"/>
        </w:rPr>
      </w:pPr>
      <w:r w:rsidRPr="00E56FAA">
        <w:rPr>
          <w:rFonts w:ascii="Times New Roman" w:hAnsi="Times New Roman" w:cs="Times New Roman"/>
          <w:sz w:val="24"/>
          <w:szCs w:val="24"/>
        </w:rPr>
        <w:t>Mentionnons d’abord qu’au contraire de</w:t>
      </w:r>
      <w:r>
        <w:rPr>
          <w:rFonts w:ascii="Times New Roman" w:hAnsi="Times New Roman" w:cs="Times New Roman"/>
          <w:sz w:val="24"/>
          <w:szCs w:val="24"/>
        </w:rPr>
        <w:t>s</w:t>
      </w:r>
      <w:r w:rsidRPr="00E56FAA">
        <w:rPr>
          <w:rFonts w:ascii="Times New Roman" w:hAnsi="Times New Roman" w:cs="Times New Roman"/>
          <w:sz w:val="24"/>
          <w:szCs w:val="24"/>
        </w:rPr>
        <w:t xml:space="preserve"> grandes entreprises multinationales, une université connait moins la nécessité de s’internationaliser, puisque son objectif est habituellement de répondre aux besoins d’une population locale ou régionale. Toutefois, nous constatons que l’UQTR revêt une stratégie qui lui permet de sortir du modèle universitaire habituel (i.e. local ou régional) sans pour autant négliger son mandat initial, donné par l’UQ.</w:t>
      </w:r>
    </w:p>
    <w:p w:rsidR="00E56FAA" w:rsidRPr="00E56FAA" w:rsidRDefault="00E56FAA" w:rsidP="00E56FAA">
      <w:pPr>
        <w:spacing w:line="360" w:lineRule="auto"/>
        <w:ind w:firstLine="708"/>
        <w:jc w:val="both"/>
        <w:rPr>
          <w:rFonts w:ascii="Times New Roman" w:hAnsi="Times New Roman" w:cs="Times New Roman"/>
          <w:sz w:val="24"/>
          <w:szCs w:val="24"/>
        </w:rPr>
      </w:pPr>
      <w:r w:rsidRPr="00E56FAA">
        <w:rPr>
          <w:rFonts w:ascii="Times New Roman" w:hAnsi="Times New Roman" w:cs="Times New Roman"/>
          <w:sz w:val="24"/>
          <w:szCs w:val="24"/>
        </w:rPr>
        <w:t xml:space="preserve">En effet, rappelons que le 12 novembre 2014,  «l’École internationale de français (ÉIF) de l’Université du Québec à Trois-Rivières (UQTR) a ouvert (…) un bureau de sélection dans la province de Guangdong, au sud de la Chine, afin de favoriser la venue d’étudiants chinois en sol trifluvien, pour l’apprentissage du français et la poursuite </w:t>
      </w:r>
      <w:r w:rsidRPr="00E56FAA">
        <w:rPr>
          <w:rFonts w:ascii="Times New Roman" w:hAnsi="Times New Roman" w:cs="Times New Roman"/>
          <w:sz w:val="24"/>
          <w:szCs w:val="24"/>
        </w:rPr>
        <w:lastRenderedPageBreak/>
        <w:t>d’études universitaires.</w:t>
      </w:r>
      <w:r w:rsidRPr="00E56FAA">
        <w:rPr>
          <w:rStyle w:val="Appelnotedebasdep"/>
          <w:rFonts w:ascii="Times New Roman" w:hAnsi="Times New Roman" w:cs="Times New Roman"/>
          <w:sz w:val="24"/>
          <w:szCs w:val="24"/>
        </w:rPr>
        <w:footnoteReference w:id="91"/>
      </w:r>
      <w:r w:rsidRPr="00E56FAA">
        <w:rPr>
          <w:rFonts w:ascii="Times New Roman" w:hAnsi="Times New Roman" w:cs="Times New Roman"/>
          <w:sz w:val="24"/>
          <w:szCs w:val="24"/>
        </w:rPr>
        <w:t xml:space="preserve">» Par cette action, l’UQTR mentionne aussi vouloir «l’exploration d’autres possibilités de partenariats entre les deux universités, notamment en matière de formation, de recherche et de mobilité étudiante et professorale.». </w:t>
      </w:r>
    </w:p>
    <w:p w:rsidR="00E56FAA" w:rsidRPr="00AC2A83" w:rsidRDefault="00E56FAA" w:rsidP="00E56FAA">
      <w:pPr>
        <w:spacing w:line="360" w:lineRule="auto"/>
        <w:ind w:firstLine="708"/>
        <w:jc w:val="both"/>
        <w:rPr>
          <w:rFonts w:ascii="Times New Roman" w:hAnsi="Times New Roman" w:cs="Times New Roman"/>
          <w:sz w:val="24"/>
          <w:szCs w:val="24"/>
        </w:rPr>
      </w:pPr>
      <w:r w:rsidRPr="00BC1637">
        <w:rPr>
          <w:rFonts w:asciiTheme="majorHAnsi" w:hAnsiTheme="majorHAnsi" w:cstheme="majorHAnsi"/>
          <w:sz w:val="24"/>
          <w:szCs w:val="24"/>
        </w:rPr>
        <w:t xml:space="preserve">Considérant cela, il est possible d’affirmer que l’UQTR possède une stratégie </w:t>
      </w:r>
      <w:r w:rsidRPr="00AC2A83">
        <w:rPr>
          <w:rFonts w:ascii="Times New Roman" w:hAnsi="Times New Roman" w:cs="Times New Roman"/>
          <w:sz w:val="24"/>
          <w:szCs w:val="24"/>
        </w:rPr>
        <w:t>d’internationalisation.</w:t>
      </w:r>
      <w:r w:rsidR="00BC1637" w:rsidRPr="00AC2A83">
        <w:rPr>
          <w:rFonts w:ascii="Times New Roman" w:hAnsi="Times New Roman" w:cs="Times New Roman"/>
          <w:sz w:val="24"/>
          <w:szCs w:val="24"/>
        </w:rPr>
        <w:t xml:space="preserve"> Nous constatons que «</w:t>
      </w:r>
      <w:r w:rsidR="00BC1637" w:rsidRPr="00AC2A83">
        <w:rPr>
          <w:rFonts w:ascii="Times New Roman" w:eastAsia="Times New Roman" w:hAnsi="Times New Roman" w:cs="Times New Roman"/>
          <w:sz w:val="24"/>
          <w:szCs w:val="24"/>
          <w:lang w:eastAsia="fr-CA"/>
        </w:rPr>
        <w:t>la réalisation de projets de recherche et de transfert d'expertise</w:t>
      </w:r>
      <w:r w:rsidR="00BC1637" w:rsidRPr="00AC2A83">
        <w:rPr>
          <w:rStyle w:val="Appelnotedebasdep"/>
          <w:rFonts w:ascii="Times New Roman" w:eastAsia="Times New Roman" w:hAnsi="Times New Roman" w:cs="Times New Roman"/>
          <w:sz w:val="24"/>
          <w:szCs w:val="24"/>
          <w:lang w:eastAsia="fr-CA"/>
        </w:rPr>
        <w:footnoteReference w:id="92"/>
      </w:r>
      <w:r w:rsidR="00BC1637" w:rsidRPr="00AC2A83">
        <w:rPr>
          <w:rFonts w:ascii="Times New Roman" w:eastAsia="Times New Roman" w:hAnsi="Times New Roman" w:cs="Times New Roman"/>
          <w:sz w:val="24"/>
          <w:szCs w:val="24"/>
          <w:lang w:eastAsia="fr-CA"/>
        </w:rPr>
        <w:t>» et «le déplacement occasionnel du corps professoral à l’international</w:t>
      </w:r>
      <w:r w:rsidR="00BC1637" w:rsidRPr="00AC2A83">
        <w:rPr>
          <w:rStyle w:val="Appelnotedebasdep"/>
          <w:rFonts w:ascii="Times New Roman" w:eastAsia="Times New Roman" w:hAnsi="Times New Roman" w:cs="Times New Roman"/>
          <w:sz w:val="24"/>
          <w:szCs w:val="24"/>
          <w:lang w:eastAsia="fr-CA"/>
        </w:rPr>
        <w:footnoteReference w:id="93"/>
      </w:r>
      <w:r w:rsidR="00BC1637" w:rsidRPr="00AC2A83">
        <w:rPr>
          <w:rFonts w:ascii="Times New Roman" w:eastAsia="Times New Roman" w:hAnsi="Times New Roman" w:cs="Times New Roman"/>
          <w:sz w:val="24"/>
          <w:szCs w:val="24"/>
          <w:lang w:eastAsia="fr-CA"/>
        </w:rPr>
        <w:t xml:space="preserve">» rejoignent la définition même d’une organisation désireuse de grandir à l’international. </w:t>
      </w:r>
      <w:r w:rsidRPr="00AC2A83">
        <w:rPr>
          <w:rFonts w:ascii="Times New Roman" w:hAnsi="Times New Roman" w:cs="Times New Roman"/>
          <w:sz w:val="24"/>
          <w:szCs w:val="24"/>
        </w:rPr>
        <w:t xml:space="preserve"> Toutefois, </w:t>
      </w:r>
      <w:r w:rsidR="00BC1637" w:rsidRPr="00AC2A83">
        <w:rPr>
          <w:rFonts w:ascii="Times New Roman" w:hAnsi="Times New Roman" w:cs="Times New Roman"/>
          <w:sz w:val="24"/>
          <w:szCs w:val="24"/>
        </w:rPr>
        <w:t>la</w:t>
      </w:r>
      <w:r w:rsidRPr="00AC2A83">
        <w:rPr>
          <w:rFonts w:ascii="Times New Roman" w:hAnsi="Times New Roman" w:cs="Times New Roman"/>
          <w:sz w:val="24"/>
          <w:szCs w:val="24"/>
        </w:rPr>
        <w:t xml:space="preserve"> stratégie </w:t>
      </w:r>
      <w:r w:rsidR="00BC1637" w:rsidRPr="00AC2A83">
        <w:rPr>
          <w:rFonts w:ascii="Times New Roman" w:hAnsi="Times New Roman" w:cs="Times New Roman"/>
          <w:sz w:val="24"/>
          <w:szCs w:val="24"/>
        </w:rPr>
        <w:t xml:space="preserve">générale de l’UQTR, lorsque considérée dans son ensemble, </w:t>
      </w:r>
      <w:r w:rsidRPr="00AC2A83">
        <w:rPr>
          <w:rFonts w:ascii="Times New Roman" w:hAnsi="Times New Roman" w:cs="Times New Roman"/>
          <w:sz w:val="24"/>
          <w:szCs w:val="24"/>
        </w:rPr>
        <w:t xml:space="preserve">ne correspond pas à ce qu’on comprend habituellement par l’internationalisation, où une organisation cherche à initier ou à multiplier son offre de services en lieux autres que son pays d’origine. </w:t>
      </w:r>
      <w:r w:rsidR="00BC1637" w:rsidRPr="00AC2A83">
        <w:rPr>
          <w:rFonts w:ascii="Times New Roman" w:hAnsi="Times New Roman" w:cs="Times New Roman"/>
          <w:sz w:val="24"/>
          <w:szCs w:val="24"/>
        </w:rPr>
        <w:t xml:space="preserve">En effet, le transfert d’expertise, les projets internationaux et le déplacement du corps professoral ne sont, à cet effet, que des exceptions qui ne caractérisent pas ce que nous discernons comme la stratégie générale de l’UQTR. Plutôt, </w:t>
      </w:r>
      <w:r w:rsidRPr="00AC2A83">
        <w:rPr>
          <w:rFonts w:ascii="Times New Roman" w:hAnsi="Times New Roman" w:cs="Times New Roman"/>
          <w:sz w:val="24"/>
          <w:szCs w:val="24"/>
        </w:rPr>
        <w:t>nous constatons que l’UQTR cherche à étendre son éventail de recrutement, d’une telle manière qu’elle pourra accueillir des étudiants de partout dans le monde sans pour autant offrir de services d’éducation universitaire dans tous ces pays. Il serait alors plus précis de parler d’une stratégie de recrutement international en ce qui concerne le recrutement étudiant, et de rayonnement international en ce qui concerne la mobilité du corps professoral.</w:t>
      </w:r>
    </w:p>
    <w:p w:rsidR="00E56FAA" w:rsidRPr="00E56FAA" w:rsidRDefault="00E56FAA" w:rsidP="00E56FAA">
      <w:pPr>
        <w:spacing w:line="360" w:lineRule="auto"/>
        <w:jc w:val="both"/>
        <w:rPr>
          <w:rFonts w:ascii="Times New Roman" w:hAnsi="Times New Roman" w:cs="Times New Roman"/>
          <w:sz w:val="24"/>
          <w:szCs w:val="24"/>
        </w:rPr>
      </w:pPr>
      <w:r w:rsidRPr="00E56FAA">
        <w:rPr>
          <w:rFonts w:ascii="Times New Roman" w:hAnsi="Times New Roman" w:cs="Times New Roman"/>
          <w:sz w:val="24"/>
          <w:szCs w:val="24"/>
        </w:rPr>
        <w:t xml:space="preserve">Dans un autre ordre d’idées, il est primordial de rappeler que, par son mandat (découlant de l’UQ), l’UQTR se doit de : </w:t>
      </w:r>
    </w:p>
    <w:p w:rsidR="00E56FAA" w:rsidRPr="00E56FAA" w:rsidRDefault="00E56FAA" w:rsidP="00540A65">
      <w:pPr>
        <w:pStyle w:val="Paragraphedeliste"/>
        <w:numPr>
          <w:ilvl w:val="0"/>
          <w:numId w:val="27"/>
        </w:numPr>
        <w:spacing w:after="200" w:line="360" w:lineRule="auto"/>
        <w:jc w:val="both"/>
        <w:rPr>
          <w:rFonts w:ascii="Times New Roman" w:hAnsi="Times New Roman" w:cs="Times New Roman"/>
          <w:sz w:val="24"/>
          <w:szCs w:val="24"/>
        </w:rPr>
      </w:pPr>
      <w:r w:rsidRPr="00E56FAA">
        <w:rPr>
          <w:rFonts w:ascii="Times New Roman" w:hAnsi="Times New Roman" w:cs="Times New Roman"/>
          <w:sz w:val="24"/>
          <w:szCs w:val="24"/>
        </w:rPr>
        <w:t xml:space="preserve">favoriser l’accessibilité à la formation universitaire aux trois cycles, </w:t>
      </w:r>
    </w:p>
    <w:p w:rsidR="00E56FAA" w:rsidRPr="00E56FAA" w:rsidRDefault="00E56FAA" w:rsidP="00540A65">
      <w:pPr>
        <w:pStyle w:val="Paragraphedeliste"/>
        <w:numPr>
          <w:ilvl w:val="0"/>
          <w:numId w:val="27"/>
        </w:numPr>
        <w:spacing w:after="200" w:line="360" w:lineRule="auto"/>
        <w:jc w:val="both"/>
        <w:rPr>
          <w:rFonts w:ascii="Times New Roman" w:hAnsi="Times New Roman" w:cs="Times New Roman"/>
          <w:sz w:val="24"/>
          <w:szCs w:val="24"/>
        </w:rPr>
      </w:pPr>
      <w:r w:rsidRPr="00E56FAA">
        <w:rPr>
          <w:rFonts w:ascii="Times New Roman" w:hAnsi="Times New Roman" w:cs="Times New Roman"/>
          <w:sz w:val="24"/>
          <w:szCs w:val="24"/>
        </w:rPr>
        <w:t xml:space="preserve">contribuer par la recherche au développement scientifique du Québec et </w:t>
      </w:r>
    </w:p>
    <w:p w:rsidR="00E56FAA" w:rsidRPr="00E56FAA" w:rsidRDefault="00E56FAA" w:rsidP="00540A65">
      <w:pPr>
        <w:pStyle w:val="Paragraphedeliste"/>
        <w:numPr>
          <w:ilvl w:val="0"/>
          <w:numId w:val="27"/>
        </w:numPr>
        <w:spacing w:after="200" w:line="360" w:lineRule="auto"/>
        <w:jc w:val="both"/>
        <w:rPr>
          <w:rFonts w:ascii="Times New Roman" w:hAnsi="Times New Roman" w:cs="Times New Roman"/>
          <w:sz w:val="24"/>
          <w:szCs w:val="24"/>
        </w:rPr>
      </w:pPr>
      <w:r w:rsidRPr="00E56FAA">
        <w:rPr>
          <w:rFonts w:ascii="Times New Roman" w:hAnsi="Times New Roman" w:cs="Times New Roman"/>
          <w:sz w:val="24"/>
          <w:szCs w:val="24"/>
        </w:rPr>
        <w:t xml:space="preserve">participer au développement des régions du Québec. </w:t>
      </w:r>
    </w:p>
    <w:p w:rsidR="00E56FAA" w:rsidRPr="00E56FAA" w:rsidRDefault="00E56FAA" w:rsidP="00E56FAA">
      <w:pPr>
        <w:spacing w:line="360" w:lineRule="auto"/>
        <w:jc w:val="both"/>
        <w:rPr>
          <w:rFonts w:ascii="Times New Roman" w:hAnsi="Times New Roman" w:cs="Times New Roman"/>
          <w:sz w:val="24"/>
          <w:szCs w:val="24"/>
        </w:rPr>
      </w:pPr>
      <w:r w:rsidRPr="00E56FAA">
        <w:rPr>
          <w:rFonts w:ascii="Times New Roman" w:hAnsi="Times New Roman" w:cs="Times New Roman"/>
          <w:sz w:val="24"/>
          <w:szCs w:val="24"/>
        </w:rPr>
        <w:t xml:space="preserve">Il est donc à comprendre que le motif même de l’UQTR restera toujours le développement universitaire (formation, recherche et développement) au Québec, et plus </w:t>
      </w:r>
      <w:r w:rsidRPr="00E56FAA">
        <w:rPr>
          <w:rFonts w:ascii="Times New Roman" w:hAnsi="Times New Roman" w:cs="Times New Roman"/>
          <w:sz w:val="24"/>
          <w:szCs w:val="24"/>
        </w:rPr>
        <w:lastRenderedPageBreak/>
        <w:t xml:space="preserve">précisément en Mauricie. Son mandat l’y oblige, </w:t>
      </w:r>
      <w:r w:rsidR="003520A0">
        <w:rPr>
          <w:rFonts w:ascii="Times New Roman" w:hAnsi="Times New Roman" w:cs="Times New Roman"/>
          <w:sz w:val="24"/>
          <w:szCs w:val="24"/>
        </w:rPr>
        <w:t>en quelque sorte</w:t>
      </w:r>
      <w:r w:rsidRPr="00E56FAA">
        <w:rPr>
          <w:rFonts w:ascii="Times New Roman" w:hAnsi="Times New Roman" w:cs="Times New Roman"/>
          <w:sz w:val="24"/>
          <w:szCs w:val="24"/>
        </w:rPr>
        <w:t xml:space="preserve">. Par contre, nous portons l’attention du lecteur au point (1), qui ouvre la porte à une visée internationale. Certes, le motif même qui a poussé le Québec à la mise en place de l’UQ, c’était le développement des régions </w:t>
      </w:r>
      <w:r w:rsidR="003520A0">
        <w:rPr>
          <w:rFonts w:ascii="Times New Roman" w:hAnsi="Times New Roman" w:cs="Times New Roman"/>
          <w:sz w:val="24"/>
          <w:szCs w:val="24"/>
        </w:rPr>
        <w:t>économiques</w:t>
      </w:r>
      <w:r w:rsidRPr="00E56FAA">
        <w:rPr>
          <w:rFonts w:ascii="Times New Roman" w:hAnsi="Times New Roman" w:cs="Times New Roman"/>
          <w:sz w:val="24"/>
          <w:szCs w:val="24"/>
        </w:rPr>
        <w:t xml:space="preserve"> </w:t>
      </w:r>
      <w:r w:rsidRPr="00E56FAA">
        <w:rPr>
          <w:rFonts w:ascii="Times New Roman" w:hAnsi="Times New Roman" w:cs="Times New Roman"/>
          <w:i/>
          <w:sz w:val="24"/>
          <w:szCs w:val="24"/>
        </w:rPr>
        <w:t>québécoises</w:t>
      </w:r>
      <w:r w:rsidRPr="00E56FAA">
        <w:rPr>
          <w:rFonts w:ascii="Times New Roman" w:hAnsi="Times New Roman" w:cs="Times New Roman"/>
          <w:sz w:val="24"/>
          <w:szCs w:val="24"/>
        </w:rPr>
        <w:t>. Par contre, il est tout à fait plausible de comprendre que l’internationalisation des étudiants, et donc une hausse de l’immigration, permettrait une diversité des compétences favorable au développement économique</w:t>
      </w:r>
      <w:r w:rsidRPr="00E56FAA">
        <w:rPr>
          <w:rStyle w:val="Appelnotedebasdep"/>
          <w:rFonts w:ascii="Times New Roman" w:hAnsi="Times New Roman" w:cs="Times New Roman"/>
          <w:sz w:val="24"/>
          <w:szCs w:val="24"/>
        </w:rPr>
        <w:footnoteReference w:id="94"/>
      </w:r>
      <w:r w:rsidRPr="00E56FAA">
        <w:rPr>
          <w:rFonts w:ascii="Times New Roman" w:hAnsi="Times New Roman" w:cs="Times New Roman"/>
          <w:sz w:val="24"/>
          <w:szCs w:val="24"/>
        </w:rPr>
        <w:t>. Ainsi, en favorisant l’accessibilité à la formation universitaire aux étudiants internationaux, l’intégration de ceux-ci en sol québécois est favorisée, ce qui bénéficie au développement des régions du Québec. Par cette stratégie, l’UQTR répond donc aux éléments (1) et (3) de son mandat, et ce en multipliant son bassin potentiel d’étudiants.</w:t>
      </w:r>
    </w:p>
    <w:p w:rsidR="00E56FAA" w:rsidRPr="00E56FAA" w:rsidRDefault="00E56FAA" w:rsidP="00E56FAA"/>
    <w:p w:rsidR="000D0609" w:rsidRPr="004D7BC8" w:rsidRDefault="007A7A51" w:rsidP="007A7A51">
      <w:pPr>
        <w:pStyle w:val="Titre2"/>
      </w:pPr>
      <w:bookmarkStart w:id="52" w:name="_Toc417486264"/>
      <w:r>
        <w:t xml:space="preserve">9. </w:t>
      </w:r>
      <w:r w:rsidR="000D0609" w:rsidRPr="004D7BC8">
        <w:t>L’innovation et l’entrepreneuriat</w:t>
      </w:r>
      <w:bookmarkEnd w:id="52"/>
    </w:p>
    <w:p w:rsidR="005B15E4" w:rsidRDefault="004D7BC8" w:rsidP="004D7BC8">
      <w:pPr>
        <w:pStyle w:val="Titre3"/>
        <w:spacing w:line="360" w:lineRule="auto"/>
      </w:pPr>
      <w:bookmarkStart w:id="53" w:name="_Toc417486265"/>
      <w:r>
        <w:t xml:space="preserve">9.1 </w:t>
      </w:r>
      <w:r w:rsidR="005B15E4">
        <w:t>Innovation ouverte</w:t>
      </w:r>
      <w:bookmarkEnd w:id="53"/>
      <w:r w:rsidR="005B15E4">
        <w:t xml:space="preserve"> </w:t>
      </w:r>
    </w:p>
    <w:p w:rsidR="005B15E4" w:rsidRDefault="005B15E4" w:rsidP="004D7BC8">
      <w:pPr>
        <w:spacing w:line="360" w:lineRule="auto"/>
        <w:jc w:val="both"/>
        <w:rPr>
          <w:rFonts w:ascii="Times New Roman" w:hAnsi="Times New Roman" w:cs="Times New Roman"/>
          <w:sz w:val="24"/>
          <w:szCs w:val="24"/>
        </w:rPr>
      </w:pPr>
      <w:r>
        <w:rPr>
          <w:rFonts w:ascii="Times New Roman" w:hAnsi="Times New Roman" w:cs="Times New Roman"/>
          <w:b/>
          <w:sz w:val="24"/>
        </w:rPr>
        <w:t xml:space="preserve">            </w:t>
      </w:r>
      <w:r>
        <w:rPr>
          <w:rFonts w:ascii="Times New Roman" w:hAnsi="Times New Roman" w:cs="Times New Roman"/>
          <w:sz w:val="24"/>
        </w:rPr>
        <w:t>L’Université du Québec à Trois-Rivières effectue continuellement des recherches grâce à de nombreux chercheurs travaillant dans les différents instituts et chaires de recherche. Contrairement à certaines entreprises qui doivent garder leurs innovations à l’abri de la concurrence, les réseaux universitaires ont plutôt l’habitude de travailler en échangeant leurs connaissances, ce qu’on appelle l’innovation ouverte. En fait, selon le gouvernement du Québec, les institutions d’études supérieures se doivent dans le cadre de leurs fonctions de « </w:t>
      </w:r>
      <w:r w:rsidRPr="00805F0C">
        <w:rPr>
          <w:rFonts w:ascii="Times New Roman" w:hAnsi="Times New Roman" w:cs="Times New Roman"/>
          <w:sz w:val="24"/>
          <w:szCs w:val="24"/>
        </w:rPr>
        <w:t>développer une recherche de qualité, de renforcer la recherche universitaire, d’accentuer la recherche collégiale et d’outiller les entreprises afin que ces dernières innovent, tout en assurant le transfert et la diffusion des connaissances dans les milieux</w:t>
      </w:r>
      <w:r>
        <w:rPr>
          <w:rStyle w:val="Appelnotedebasdep"/>
          <w:rFonts w:cs="Times New Roman"/>
          <w:sz w:val="24"/>
          <w:szCs w:val="24"/>
        </w:rPr>
        <w:footnoteReference w:id="95"/>
      </w:r>
      <w:r>
        <w:rPr>
          <w:rFonts w:ascii="Times New Roman" w:hAnsi="Times New Roman" w:cs="Times New Roman"/>
          <w:sz w:val="24"/>
          <w:szCs w:val="24"/>
        </w:rPr>
        <w:t xml:space="preserve"> ». En fonctionnant dans cet esprit de collaboration, les universités québécoises peuvent donc utiliser les connaissances disponibles de façons plus efficaces et efficientes. </w:t>
      </w:r>
    </w:p>
    <w:p w:rsidR="005B15E4" w:rsidRDefault="005B15E4" w:rsidP="005B15E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D’ailleurs, nous pouvons constater dans les deux graphiques suivants</w:t>
      </w:r>
      <w:r>
        <w:rPr>
          <w:rStyle w:val="Appelnotedebasdep"/>
          <w:rFonts w:cs="Times New Roman"/>
          <w:sz w:val="24"/>
          <w:szCs w:val="24"/>
        </w:rPr>
        <w:footnoteReference w:id="96"/>
      </w:r>
      <w:r>
        <w:rPr>
          <w:rFonts w:ascii="Times New Roman" w:hAnsi="Times New Roman" w:cs="Times New Roman"/>
          <w:sz w:val="24"/>
          <w:szCs w:val="24"/>
        </w:rPr>
        <w:t xml:space="preserve"> à quel point l’UQTR est impliquée dans le domaine de l’innovation grâce à ses différentes unités de recherches. En ce sens, par le biais de programmes comme celui des Chaires de recherche du Canada, l’UQTR participe à un mouvement dans lequel des recherches ouvertes sont effectuées afin d’</w:t>
      </w:r>
      <w:r w:rsidRPr="00A17FC9">
        <w:rPr>
          <w:rFonts w:ascii="Times New Roman" w:hAnsi="Times New Roman" w:cs="Times New Roman"/>
          <w:sz w:val="24"/>
          <w:szCs w:val="24"/>
        </w:rPr>
        <w:t>« </w:t>
      </w:r>
      <w:r>
        <w:rPr>
          <w:rFonts w:ascii="Times New Roman" w:hAnsi="Times New Roman" w:cs="Times New Roman"/>
          <w:sz w:val="24"/>
          <w:szCs w:val="24"/>
          <w:shd w:val="clear" w:color="auto" w:fill="FFFFFF"/>
        </w:rPr>
        <w:t xml:space="preserve">aider </w:t>
      </w:r>
      <w:r w:rsidRPr="00A17FC9">
        <w:rPr>
          <w:rFonts w:ascii="Times New Roman" w:hAnsi="Times New Roman" w:cs="Times New Roman"/>
          <w:sz w:val="24"/>
          <w:szCs w:val="24"/>
          <w:shd w:val="clear" w:color="auto" w:fill="FFFFFF"/>
        </w:rPr>
        <w:t>les Canadiens à approfondir leurs connaissances, à améliorer leur qualité de vie et à renforcer la compétitivité du Canada sur la scène internationale</w:t>
      </w:r>
      <w:r>
        <w:rPr>
          <w:rStyle w:val="Appelnotedebasdep"/>
          <w:rFonts w:cs="Times New Roman"/>
          <w:sz w:val="24"/>
          <w:szCs w:val="24"/>
          <w:shd w:val="clear" w:color="auto" w:fill="FFFFFF"/>
        </w:rPr>
        <w:footnoteReference w:id="97"/>
      </w:r>
      <w:r>
        <w:rPr>
          <w:rFonts w:ascii="Times New Roman" w:hAnsi="Times New Roman" w:cs="Times New Roman"/>
          <w:sz w:val="24"/>
          <w:szCs w:val="24"/>
          <w:shd w:val="clear" w:color="auto" w:fill="FFFFFF"/>
        </w:rPr>
        <w:t> »</w:t>
      </w:r>
      <w:r w:rsidRPr="00A17FC9">
        <w:rPr>
          <w:rFonts w:ascii="Times New Roman" w:hAnsi="Times New Roman" w:cs="Times New Roman"/>
          <w:sz w:val="24"/>
          <w:szCs w:val="24"/>
          <w:shd w:val="clear" w:color="auto" w:fill="FFFFFF"/>
        </w:rPr>
        <w:t>.</w:t>
      </w:r>
      <w:r w:rsidRPr="00A17FC9">
        <w:rPr>
          <w:rStyle w:val="apple-converted-space"/>
          <w:rFonts w:ascii="Verdana" w:hAnsi="Verdana"/>
          <w:color w:val="333333"/>
          <w:sz w:val="20"/>
          <w:szCs w:val="19"/>
          <w:shd w:val="clear" w:color="auto" w:fill="FFFFFF"/>
        </w:rPr>
        <w:t> </w:t>
      </w:r>
    </w:p>
    <w:p w:rsidR="005B15E4" w:rsidRDefault="005B15E4" w:rsidP="005B15E4">
      <w:pPr>
        <w:spacing w:line="360" w:lineRule="auto"/>
        <w:jc w:val="both"/>
        <w:rPr>
          <w:rFonts w:ascii="Times New Roman" w:hAnsi="Times New Roman" w:cs="Times New Roman"/>
          <w:b/>
          <w:sz w:val="24"/>
          <w:szCs w:val="24"/>
        </w:rPr>
      </w:pPr>
      <w:r>
        <w:rPr>
          <w:rFonts w:ascii="Times New Roman" w:hAnsi="Times New Roman" w:cs="Times New Roman"/>
          <w:noProof/>
          <w:sz w:val="24"/>
          <w:szCs w:val="24"/>
          <w:lang w:eastAsia="fr-CA"/>
        </w:rPr>
        <w:drawing>
          <wp:inline distT="0" distB="0" distL="0" distR="0">
            <wp:extent cx="5581650" cy="2327068"/>
            <wp:effectExtent l="0" t="0" r="0" b="0"/>
            <wp:docPr id="1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srcRect/>
                    <a:stretch>
                      <a:fillRect/>
                    </a:stretch>
                  </pic:blipFill>
                  <pic:spPr bwMode="auto">
                    <a:xfrm>
                      <a:off x="0" y="0"/>
                      <a:ext cx="5581650" cy="2327068"/>
                    </a:xfrm>
                    <a:prstGeom prst="rect">
                      <a:avLst/>
                    </a:prstGeom>
                    <a:noFill/>
                  </pic:spPr>
                </pic:pic>
              </a:graphicData>
            </a:graphic>
          </wp:inline>
        </w:drawing>
      </w:r>
    </w:p>
    <w:p w:rsidR="005B15E4" w:rsidRPr="00A40FB1" w:rsidRDefault="004D7BC8" w:rsidP="004D7BC8">
      <w:pPr>
        <w:pStyle w:val="Titre3"/>
        <w:spacing w:line="360" w:lineRule="auto"/>
      </w:pPr>
      <w:bookmarkStart w:id="54" w:name="_Toc417486266"/>
      <w:r>
        <w:t xml:space="preserve">9.2 </w:t>
      </w:r>
      <w:r w:rsidR="005B15E4">
        <w:t>Écosystème d’affaires</w:t>
      </w:r>
      <w:bookmarkEnd w:id="54"/>
      <w:r w:rsidR="005B15E4">
        <w:t xml:space="preserve">   </w:t>
      </w:r>
    </w:p>
    <w:p w:rsidR="005B15E4" w:rsidRDefault="005B15E4" w:rsidP="004D7BC8">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En choisissant la ville de Trois-Rivières comme l’élément central, nous pouvons présumer que son écosystème d’affaires est principalement constitué de la </w:t>
      </w:r>
      <w:r>
        <w:rPr>
          <w:rFonts w:ascii="Times New Roman" w:hAnsi="Times New Roman" w:cs="Times New Roman"/>
          <w:i/>
          <w:sz w:val="24"/>
          <w:szCs w:val="24"/>
        </w:rPr>
        <w:t>Chambre de Commerce de Trois-Rivières</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de </w:t>
      </w:r>
      <w:r>
        <w:rPr>
          <w:rFonts w:ascii="Times New Roman" w:hAnsi="Times New Roman" w:cs="Times New Roman"/>
          <w:i/>
          <w:sz w:val="24"/>
          <w:szCs w:val="24"/>
        </w:rPr>
        <w:t>Innovation</w:t>
      </w:r>
      <w:proofErr w:type="gramEnd"/>
      <w:r>
        <w:rPr>
          <w:rFonts w:ascii="Times New Roman" w:hAnsi="Times New Roman" w:cs="Times New Roman"/>
          <w:i/>
          <w:sz w:val="24"/>
          <w:szCs w:val="24"/>
        </w:rPr>
        <w:t xml:space="preserve"> et Développement économique (IDÉ) Trois-Rivières</w:t>
      </w:r>
      <w:r>
        <w:rPr>
          <w:rFonts w:ascii="Times New Roman" w:hAnsi="Times New Roman" w:cs="Times New Roman"/>
          <w:sz w:val="24"/>
          <w:szCs w:val="24"/>
        </w:rPr>
        <w:t xml:space="preserve">, ainsi que de l’UQTR. Cette communauté de services complémentaires travaille en synergie par diverses méthodes dans le but précis de faire progresser économiquement la ville de Trois-Rivières.  </w:t>
      </w:r>
    </w:p>
    <w:p w:rsidR="000D0609" w:rsidRPr="004D7BC8" w:rsidRDefault="007A7A51" w:rsidP="007A7A51">
      <w:pPr>
        <w:pStyle w:val="Titre2"/>
      </w:pPr>
      <w:bookmarkStart w:id="55" w:name="_Toc417486267"/>
      <w:r>
        <w:lastRenderedPageBreak/>
        <w:t xml:space="preserve">10. </w:t>
      </w:r>
      <w:r w:rsidR="000D0609" w:rsidRPr="004D7BC8">
        <w:t>Fusions et acquisitions, alliances et partenariats</w:t>
      </w:r>
      <w:bookmarkEnd w:id="55"/>
    </w:p>
    <w:p w:rsidR="0098209D" w:rsidRPr="0098209D" w:rsidRDefault="004D7BC8" w:rsidP="004D7BC8">
      <w:pPr>
        <w:pStyle w:val="Titre3"/>
        <w:spacing w:line="360" w:lineRule="auto"/>
      </w:pPr>
      <w:bookmarkStart w:id="56" w:name="_Toc417486268"/>
      <w:r>
        <w:t xml:space="preserve">10.1 </w:t>
      </w:r>
      <w:r w:rsidR="0098209D" w:rsidRPr="0098209D">
        <w:t>Acquisitions</w:t>
      </w:r>
      <w:bookmarkEnd w:id="56"/>
    </w:p>
    <w:p w:rsidR="0098209D" w:rsidRPr="0098209D" w:rsidRDefault="0098209D" w:rsidP="004D7BC8">
      <w:pPr>
        <w:spacing w:line="360" w:lineRule="auto"/>
        <w:ind w:firstLine="708"/>
        <w:jc w:val="both"/>
        <w:rPr>
          <w:rFonts w:ascii="Times New Roman" w:hAnsi="Times New Roman" w:cs="Times New Roman"/>
          <w:sz w:val="24"/>
          <w:szCs w:val="24"/>
        </w:rPr>
      </w:pPr>
      <w:r w:rsidRPr="0098209D">
        <w:rPr>
          <w:rFonts w:ascii="Times New Roman" w:hAnsi="Times New Roman" w:cs="Times New Roman"/>
          <w:sz w:val="24"/>
          <w:szCs w:val="24"/>
        </w:rPr>
        <w:t xml:space="preserve">Comme mentionné dans les précédentes parties de ce travail, l’UQTR œuvre dans un contexte d’éducation publique, où les acquisitions sont tout à fait </w:t>
      </w:r>
      <w:r w:rsidR="003520A0">
        <w:rPr>
          <w:rFonts w:ascii="Times New Roman" w:hAnsi="Times New Roman" w:cs="Times New Roman"/>
          <w:sz w:val="24"/>
          <w:szCs w:val="24"/>
        </w:rPr>
        <w:t>impossibles</w:t>
      </w:r>
      <w:r w:rsidRPr="0098209D">
        <w:rPr>
          <w:rFonts w:ascii="Times New Roman" w:hAnsi="Times New Roman" w:cs="Times New Roman"/>
          <w:sz w:val="24"/>
          <w:szCs w:val="24"/>
        </w:rPr>
        <w:t xml:space="preserve">, vu le cadre législatif entourant l’éducation supérieure au Québec. En effet, il n’est pas possible qu’une université </w:t>
      </w:r>
      <m:oMath>
        <m:r>
          <w:rPr>
            <w:rFonts w:ascii="Cambria Math" w:hAnsi="Cambria Math" w:cs="Times New Roman"/>
            <w:sz w:val="24"/>
            <w:szCs w:val="24"/>
          </w:rPr>
          <m:t>x</m:t>
        </m:r>
      </m:oMath>
      <w:r w:rsidRPr="0098209D">
        <w:rPr>
          <w:rFonts w:ascii="Times New Roman" w:eastAsiaTheme="minorEastAsia" w:hAnsi="Times New Roman" w:cs="Times New Roman"/>
          <w:sz w:val="24"/>
          <w:szCs w:val="24"/>
        </w:rPr>
        <w:t xml:space="preserve"> acquiert une université </w:t>
      </w:r>
      <m:oMath>
        <m:r>
          <w:rPr>
            <w:rFonts w:ascii="Cambria Math" w:eastAsiaTheme="minorEastAsia" w:hAnsi="Cambria Math" w:cs="Times New Roman"/>
            <w:sz w:val="24"/>
            <w:szCs w:val="24"/>
          </w:rPr>
          <m:t>y</m:t>
        </m:r>
      </m:oMath>
      <w:r w:rsidRPr="0098209D">
        <w:rPr>
          <w:rFonts w:ascii="Times New Roman" w:eastAsiaTheme="minorEastAsia" w:hAnsi="Times New Roman" w:cs="Times New Roman"/>
          <w:sz w:val="24"/>
          <w:szCs w:val="24"/>
        </w:rPr>
        <w:t xml:space="preserve"> pour fins d’expansion. Plutôt, n</w:t>
      </w:r>
      <w:proofErr w:type="spellStart"/>
      <w:r w:rsidRPr="0098209D">
        <w:rPr>
          <w:rFonts w:ascii="Times New Roman" w:hAnsi="Times New Roman" w:cs="Times New Roman"/>
          <w:sz w:val="24"/>
          <w:szCs w:val="24"/>
        </w:rPr>
        <w:t>ous</w:t>
      </w:r>
      <w:proofErr w:type="spellEnd"/>
      <w:r w:rsidRPr="0098209D">
        <w:rPr>
          <w:rFonts w:ascii="Times New Roman" w:hAnsi="Times New Roman" w:cs="Times New Roman"/>
          <w:sz w:val="24"/>
          <w:szCs w:val="24"/>
        </w:rPr>
        <w:t xml:space="preserve"> constatons qu’une même «stratégie d’expansion» forme l’approche principale employée pour disperser les activités éducatives d’une université ailleurs qu’en son lieu d’implantation original. La stratégie d’expansion constatée lors de nos recherches consiste à implanter des centres universitaires dans les régions où la demande de formation universitaire est forte, que ce soit pour fins de </w:t>
      </w:r>
      <w:proofErr w:type="spellStart"/>
      <w:r w:rsidRPr="0098209D">
        <w:rPr>
          <w:rFonts w:ascii="Times New Roman" w:hAnsi="Times New Roman" w:cs="Times New Roman"/>
          <w:sz w:val="24"/>
          <w:szCs w:val="24"/>
        </w:rPr>
        <w:t>diplomation</w:t>
      </w:r>
      <w:proofErr w:type="spellEnd"/>
      <w:r w:rsidRPr="0098209D">
        <w:rPr>
          <w:rFonts w:ascii="Times New Roman" w:hAnsi="Times New Roman" w:cs="Times New Roman"/>
          <w:sz w:val="24"/>
          <w:szCs w:val="24"/>
        </w:rPr>
        <w:t xml:space="preserve"> ou de formation continue.</w:t>
      </w:r>
    </w:p>
    <w:p w:rsidR="00C72879" w:rsidRPr="0098209D" w:rsidRDefault="004D7BC8" w:rsidP="004D7BC8">
      <w:pPr>
        <w:pStyle w:val="Titre3"/>
        <w:spacing w:line="360" w:lineRule="auto"/>
      </w:pPr>
      <w:bookmarkStart w:id="57" w:name="_Toc417486269"/>
      <w:r>
        <w:t xml:space="preserve">10.2 </w:t>
      </w:r>
      <w:r w:rsidR="00C72879" w:rsidRPr="0098209D">
        <w:t>Partenariat</w:t>
      </w:r>
      <w:r>
        <w:t>s</w:t>
      </w:r>
      <w:bookmarkEnd w:id="57"/>
    </w:p>
    <w:p w:rsidR="00C72879" w:rsidRDefault="00C72879" w:rsidP="004D7BC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Le partenariat est</w:t>
      </w:r>
      <w:r w:rsidRPr="00495008">
        <w:rPr>
          <w:rFonts w:ascii="Times New Roman" w:hAnsi="Times New Roman" w:cs="Times New Roman"/>
          <w:sz w:val="24"/>
          <w:szCs w:val="24"/>
        </w:rPr>
        <w:t xml:space="preserve"> «</w:t>
      </w:r>
      <w:r>
        <w:rPr>
          <w:rFonts w:ascii="Times New Roman" w:hAnsi="Times New Roman" w:cs="Times New Roman"/>
          <w:sz w:val="24"/>
          <w:szCs w:val="24"/>
        </w:rPr>
        <w:t xml:space="preserve"> une collaboration entre des organisations qui ne sont pas concurrentes»</w:t>
      </w:r>
      <w:r w:rsidRPr="00495008">
        <w:rPr>
          <w:rFonts w:ascii="Times New Roman" w:hAnsi="Times New Roman" w:cs="Times New Roman"/>
          <w:sz w:val="24"/>
          <w:szCs w:val="24"/>
        </w:rPr>
        <w:t> </w:t>
      </w:r>
      <w:r>
        <w:rPr>
          <w:rFonts w:ascii="Times New Roman" w:hAnsi="Times New Roman" w:cs="Times New Roman"/>
          <w:sz w:val="24"/>
          <w:szCs w:val="24"/>
        </w:rPr>
        <w:t>(</w:t>
      </w:r>
      <w:proofErr w:type="spellStart"/>
      <w:r>
        <w:rPr>
          <w:rFonts w:ascii="Times New Roman" w:hAnsi="Times New Roman" w:cs="Times New Roman"/>
          <w:sz w:val="24"/>
          <w:szCs w:val="24"/>
        </w:rPr>
        <w:t>Jonhson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Whittington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Scholes</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Fréry</w:t>
      </w:r>
      <w:proofErr w:type="spellEnd"/>
      <w:r>
        <w:rPr>
          <w:rFonts w:ascii="Times New Roman" w:hAnsi="Times New Roman" w:cs="Times New Roman"/>
          <w:sz w:val="24"/>
          <w:szCs w:val="24"/>
        </w:rPr>
        <w:t>, 2011). En tenant compte de ce sens, l</w:t>
      </w:r>
      <w:r w:rsidRPr="00495008">
        <w:rPr>
          <w:rFonts w:ascii="Times New Roman" w:hAnsi="Times New Roman" w:cs="Times New Roman"/>
          <w:sz w:val="24"/>
          <w:szCs w:val="24"/>
        </w:rPr>
        <w:t>’</w:t>
      </w:r>
      <w:r w:rsidR="003520A0">
        <w:rPr>
          <w:rFonts w:ascii="Times New Roman" w:hAnsi="Times New Roman" w:cs="Times New Roman"/>
          <w:sz w:val="24"/>
          <w:szCs w:val="24"/>
        </w:rPr>
        <w:t>Université</w:t>
      </w:r>
      <w:r w:rsidRPr="00495008">
        <w:rPr>
          <w:rFonts w:ascii="Times New Roman" w:hAnsi="Times New Roman" w:cs="Times New Roman"/>
          <w:sz w:val="24"/>
          <w:szCs w:val="24"/>
        </w:rPr>
        <w:t xml:space="preserve"> du Québec à Trois-Riv</w:t>
      </w:r>
      <w:r>
        <w:rPr>
          <w:rFonts w:ascii="Times New Roman" w:hAnsi="Times New Roman" w:cs="Times New Roman"/>
          <w:sz w:val="24"/>
          <w:szCs w:val="24"/>
        </w:rPr>
        <w:t>ières a de nombreux partenariats davantage de style</w:t>
      </w:r>
      <w:r w:rsidRPr="00495008">
        <w:rPr>
          <w:rFonts w:ascii="Times New Roman" w:hAnsi="Times New Roman" w:cs="Times New Roman"/>
          <w:sz w:val="24"/>
          <w:szCs w:val="24"/>
        </w:rPr>
        <w:t xml:space="preserve"> « </w:t>
      </w:r>
      <w:r>
        <w:rPr>
          <w:rFonts w:ascii="Times New Roman" w:hAnsi="Times New Roman" w:cs="Times New Roman"/>
          <w:sz w:val="24"/>
          <w:szCs w:val="24"/>
        </w:rPr>
        <w:t>d’impartition »</w:t>
      </w:r>
      <w:r w:rsidRPr="00495008">
        <w:rPr>
          <w:rFonts w:ascii="Times New Roman" w:hAnsi="Times New Roman" w:cs="Times New Roman"/>
          <w:sz w:val="24"/>
          <w:szCs w:val="24"/>
        </w:rPr>
        <w:t>  que «</w:t>
      </w:r>
      <w:r>
        <w:rPr>
          <w:rFonts w:ascii="Times New Roman" w:hAnsi="Times New Roman" w:cs="Times New Roman"/>
          <w:sz w:val="24"/>
          <w:szCs w:val="24"/>
        </w:rPr>
        <w:t>symbiotiques»</w:t>
      </w:r>
      <w:r w:rsidRPr="00495008">
        <w:rPr>
          <w:rFonts w:ascii="Times New Roman" w:hAnsi="Times New Roman" w:cs="Times New Roman"/>
          <w:sz w:val="24"/>
          <w:szCs w:val="24"/>
        </w:rPr>
        <w:t xml:space="preserve">. </w:t>
      </w:r>
      <w:r>
        <w:rPr>
          <w:rFonts w:ascii="Times New Roman" w:hAnsi="Times New Roman" w:cs="Times New Roman"/>
          <w:sz w:val="24"/>
          <w:szCs w:val="24"/>
        </w:rPr>
        <w:t xml:space="preserve">Nous pouvons prendre comme exemple le fournisseur Microsoft qui fournit la majeure partie de l’équipement informatique à l’UQTR. </w:t>
      </w:r>
    </w:p>
    <w:p w:rsidR="00C72879" w:rsidRPr="00495008" w:rsidRDefault="00C72879" w:rsidP="00C7287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L’UQTR a su trouver le moyen de créer de l’importance au principe de partenariat en offrant</w:t>
      </w:r>
      <w:r w:rsidRPr="00495008">
        <w:rPr>
          <w:rFonts w:ascii="Times New Roman" w:hAnsi="Times New Roman" w:cs="Times New Roman"/>
          <w:sz w:val="24"/>
          <w:szCs w:val="24"/>
        </w:rPr>
        <w:t xml:space="preserve"> le </w:t>
      </w:r>
      <w:r w:rsidRPr="00C2453F">
        <w:rPr>
          <w:rFonts w:ascii="Times New Roman" w:hAnsi="Times New Roman" w:cs="Times New Roman"/>
          <w:i/>
          <w:sz w:val="24"/>
          <w:szCs w:val="24"/>
        </w:rPr>
        <w:t>Service du partenariat et du soutien au développement universitaire</w:t>
      </w:r>
      <w:r w:rsidRPr="00495008">
        <w:rPr>
          <w:rFonts w:ascii="Times New Roman" w:hAnsi="Times New Roman" w:cs="Times New Roman"/>
          <w:sz w:val="24"/>
          <w:szCs w:val="24"/>
        </w:rPr>
        <w:t xml:space="preserve"> (SPSDU)</w:t>
      </w:r>
      <w:r>
        <w:rPr>
          <w:rFonts w:ascii="Times New Roman" w:hAnsi="Times New Roman" w:cs="Times New Roman"/>
          <w:sz w:val="24"/>
          <w:szCs w:val="24"/>
        </w:rPr>
        <w:t>. Ce dernier</w:t>
      </w:r>
      <w:r w:rsidRPr="00495008">
        <w:rPr>
          <w:rFonts w:ascii="Times New Roman" w:hAnsi="Times New Roman" w:cs="Times New Roman"/>
          <w:sz w:val="24"/>
          <w:szCs w:val="24"/>
        </w:rPr>
        <w:t xml:space="preserve"> a pour mandat de développer et de renforcer les activités de collaboration entre l’institution elle-même et les divers volets de l’activité éducative, économique, sociale et culturelle de l’environnement. Le SPSDU </w:t>
      </w:r>
      <w:r>
        <w:rPr>
          <w:rFonts w:ascii="Times New Roman" w:hAnsi="Times New Roman" w:cs="Times New Roman"/>
          <w:sz w:val="24"/>
          <w:szCs w:val="24"/>
        </w:rPr>
        <w:t>a donc pour but de</w:t>
      </w:r>
      <w:r w:rsidRPr="00495008">
        <w:rPr>
          <w:rFonts w:ascii="Times New Roman" w:hAnsi="Times New Roman" w:cs="Times New Roman"/>
          <w:sz w:val="24"/>
          <w:szCs w:val="24"/>
        </w:rPr>
        <w:t xml:space="preserve"> créer des opportunités d’affaires et d’ententes de collaboration avec la collectivité</w:t>
      </w:r>
      <w:r>
        <w:rPr>
          <w:rFonts w:ascii="Times New Roman" w:hAnsi="Times New Roman" w:cs="Times New Roman"/>
          <w:sz w:val="24"/>
          <w:szCs w:val="24"/>
        </w:rPr>
        <w:t>. Ceci aura notamment pour effet de promouvoir</w:t>
      </w:r>
      <w:r w:rsidRPr="00495008">
        <w:rPr>
          <w:rFonts w:ascii="Times New Roman" w:hAnsi="Times New Roman" w:cs="Times New Roman"/>
          <w:sz w:val="24"/>
          <w:szCs w:val="24"/>
        </w:rPr>
        <w:t xml:space="preserve"> les services offerts à l’UQTR.</w:t>
      </w:r>
      <w:r w:rsidRPr="00495008">
        <w:rPr>
          <w:rStyle w:val="Appelnotedebasdep"/>
          <w:rFonts w:ascii="Times New Roman" w:hAnsi="Times New Roman" w:cs="Times New Roman"/>
          <w:sz w:val="24"/>
          <w:szCs w:val="24"/>
        </w:rPr>
        <w:footnoteReference w:id="98"/>
      </w:r>
    </w:p>
    <w:p w:rsidR="00CE1436" w:rsidRPr="00696FA6" w:rsidRDefault="00C72879" w:rsidP="00CE1436">
      <w:pPr>
        <w:pStyle w:val="Paragraphedeliste"/>
        <w:spacing w:after="0" w:line="360" w:lineRule="auto"/>
        <w:ind w:left="0" w:firstLine="360"/>
        <w:jc w:val="both"/>
        <w:rPr>
          <w:rFonts w:ascii="Times New Roman" w:eastAsia="Times New Roman" w:hAnsi="Times New Roman" w:cs="Times New Roman"/>
          <w:sz w:val="24"/>
          <w:szCs w:val="24"/>
          <w:lang w:eastAsia="fr-CA"/>
        </w:rPr>
      </w:pPr>
      <w:r w:rsidRPr="00495008">
        <w:rPr>
          <w:rFonts w:ascii="Times New Roman" w:hAnsi="Times New Roman" w:cs="Times New Roman"/>
          <w:sz w:val="24"/>
          <w:szCs w:val="24"/>
        </w:rPr>
        <w:t xml:space="preserve">Il y a notamment présence du Service du développement institutionnel (SDI) à l’UQTR. Celui-ci a pour but de créer des liens entre l’institution universitaire et la </w:t>
      </w:r>
      <w:r w:rsidRPr="00495008">
        <w:rPr>
          <w:rFonts w:ascii="Times New Roman" w:hAnsi="Times New Roman" w:cs="Times New Roman"/>
          <w:sz w:val="24"/>
          <w:szCs w:val="24"/>
        </w:rPr>
        <w:lastRenderedPageBreak/>
        <w:t xml:space="preserve">collectivité afin de contribuer au bien-être et à l’épanouissement du milieu. Le SDI souhaite que le savoir développé par l’UQTR soit mis à profit à la communauté régionale pour que celle-ci ait tendance à se tourner </w:t>
      </w:r>
      <w:r w:rsidRPr="00CE1436">
        <w:rPr>
          <w:rFonts w:ascii="Times New Roman" w:hAnsi="Times New Roman" w:cs="Times New Roman"/>
          <w:sz w:val="24"/>
          <w:szCs w:val="24"/>
        </w:rPr>
        <w:t xml:space="preserve">vers l’institution universitaire afin de travailler de concert avec elle. </w:t>
      </w:r>
      <w:r w:rsidRPr="00CE1436">
        <w:rPr>
          <w:rStyle w:val="Appelnotedebasdep"/>
          <w:rFonts w:ascii="Times New Roman" w:hAnsi="Times New Roman" w:cs="Times New Roman"/>
          <w:sz w:val="24"/>
          <w:szCs w:val="24"/>
        </w:rPr>
        <w:footnoteReference w:id="99"/>
      </w:r>
      <w:r w:rsidR="00CE1436" w:rsidRPr="00CE1436">
        <w:rPr>
          <w:rFonts w:ascii="Times New Roman" w:hAnsi="Times New Roman" w:cs="Times New Roman"/>
          <w:sz w:val="24"/>
          <w:szCs w:val="24"/>
        </w:rPr>
        <w:t xml:space="preserve"> Nous avons eu </w:t>
      </w:r>
      <w:r w:rsidR="00CE1436">
        <w:rPr>
          <w:rFonts w:ascii="Times New Roman" w:hAnsi="Times New Roman" w:cs="Times New Roman"/>
          <w:sz w:val="24"/>
          <w:szCs w:val="24"/>
        </w:rPr>
        <w:t>l’opportunité</w:t>
      </w:r>
      <w:r w:rsidR="00CE1436" w:rsidRPr="00CE1436">
        <w:rPr>
          <w:rFonts w:ascii="Times New Roman" w:hAnsi="Times New Roman" w:cs="Times New Roman"/>
          <w:sz w:val="24"/>
          <w:szCs w:val="24"/>
        </w:rPr>
        <w:t xml:space="preserve"> de communiquer avec Madame C</w:t>
      </w:r>
      <w:r w:rsidR="00CE1436" w:rsidRPr="00CE1436">
        <w:rPr>
          <w:rFonts w:cstheme="minorHAnsi"/>
          <w:sz w:val="24"/>
          <w:szCs w:val="24"/>
        </w:rPr>
        <w:t xml:space="preserve">aroline </w:t>
      </w:r>
      <w:proofErr w:type="spellStart"/>
      <w:r w:rsidR="00CE1436" w:rsidRPr="00CE1436">
        <w:rPr>
          <w:rFonts w:cstheme="minorHAnsi"/>
          <w:sz w:val="24"/>
          <w:szCs w:val="24"/>
        </w:rPr>
        <w:t>Prud’Homme</w:t>
      </w:r>
      <w:proofErr w:type="spellEnd"/>
      <w:r w:rsidR="00CE1436" w:rsidRPr="00CE1436">
        <w:rPr>
          <w:rFonts w:cstheme="minorHAnsi"/>
          <w:bCs/>
          <w:sz w:val="24"/>
          <w:szCs w:val="24"/>
        </w:rPr>
        <w:t xml:space="preserve"> </w:t>
      </w:r>
      <w:r w:rsidR="00CE1436" w:rsidRPr="00CE1436">
        <w:rPr>
          <w:rFonts w:eastAsia="Times New Roman" w:cstheme="minorHAnsi"/>
          <w:bCs/>
          <w:sz w:val="24"/>
          <w:szCs w:val="24"/>
          <w:lang w:eastAsia="fr-CA"/>
        </w:rPr>
        <w:t xml:space="preserve">M.A. </w:t>
      </w:r>
      <w:proofErr w:type="spellStart"/>
      <w:proofErr w:type="gramStart"/>
      <w:r w:rsidR="00CE1436" w:rsidRPr="00CE1436">
        <w:rPr>
          <w:rFonts w:eastAsia="Times New Roman" w:cstheme="minorHAnsi"/>
          <w:bCs/>
          <w:sz w:val="24"/>
          <w:szCs w:val="24"/>
          <w:lang w:eastAsia="fr-CA"/>
        </w:rPr>
        <w:t>comm</w:t>
      </w:r>
      <w:proofErr w:type="spellEnd"/>
      <w:r w:rsidR="00CE1436" w:rsidRPr="00CE1436">
        <w:rPr>
          <w:rFonts w:eastAsia="Times New Roman" w:cstheme="minorHAnsi"/>
          <w:bCs/>
          <w:sz w:val="24"/>
          <w:szCs w:val="24"/>
          <w:lang w:eastAsia="fr-CA"/>
        </w:rPr>
        <w:t>.,</w:t>
      </w:r>
      <w:proofErr w:type="gramEnd"/>
      <w:r w:rsidR="00CE1436" w:rsidRPr="00CE1436">
        <w:rPr>
          <w:rFonts w:eastAsia="Times New Roman" w:cstheme="minorHAnsi"/>
          <w:bCs/>
          <w:sz w:val="24"/>
          <w:szCs w:val="24"/>
          <w:lang w:eastAsia="fr-CA"/>
        </w:rPr>
        <w:t xml:space="preserve"> coordonnatrice du SDI.</w:t>
      </w:r>
      <w:r w:rsidR="00CE1436">
        <w:rPr>
          <w:rFonts w:eastAsia="Times New Roman" w:cstheme="minorHAnsi"/>
          <w:bCs/>
          <w:sz w:val="24"/>
          <w:szCs w:val="24"/>
          <w:lang w:eastAsia="fr-CA"/>
        </w:rPr>
        <w:t xml:space="preserve"> Madame </w:t>
      </w:r>
      <w:proofErr w:type="spellStart"/>
      <w:r w:rsidR="00CE1436">
        <w:rPr>
          <w:rFonts w:eastAsia="Times New Roman" w:cstheme="minorHAnsi"/>
          <w:bCs/>
          <w:sz w:val="24"/>
          <w:szCs w:val="24"/>
          <w:lang w:eastAsia="fr-CA"/>
        </w:rPr>
        <w:t>Prod’Homme</w:t>
      </w:r>
      <w:proofErr w:type="spellEnd"/>
      <w:r w:rsidR="00CE1436">
        <w:rPr>
          <w:rFonts w:eastAsia="Times New Roman" w:cstheme="minorHAnsi"/>
          <w:bCs/>
          <w:sz w:val="24"/>
          <w:szCs w:val="24"/>
          <w:lang w:eastAsia="fr-CA"/>
        </w:rPr>
        <w:t xml:space="preserve"> nous a fourni une liste des partenariats avec lesquels l’UQTR entretien une collaboration (voir annexe G). Madame </w:t>
      </w:r>
      <w:proofErr w:type="spellStart"/>
      <w:r w:rsidR="00CE1436">
        <w:rPr>
          <w:rFonts w:eastAsia="Times New Roman" w:cstheme="minorHAnsi"/>
          <w:bCs/>
          <w:sz w:val="24"/>
          <w:szCs w:val="24"/>
          <w:lang w:eastAsia="fr-CA"/>
        </w:rPr>
        <w:t>Prud’Homme</w:t>
      </w:r>
      <w:proofErr w:type="spellEnd"/>
      <w:r w:rsidR="00CE1436">
        <w:rPr>
          <w:rFonts w:eastAsia="Times New Roman" w:cstheme="minorHAnsi"/>
          <w:bCs/>
          <w:sz w:val="24"/>
          <w:szCs w:val="24"/>
          <w:lang w:eastAsia="fr-CA"/>
        </w:rPr>
        <w:t xml:space="preserve"> nous a mentionné </w:t>
      </w:r>
      <w:r w:rsidR="00CE1436">
        <w:rPr>
          <w:rFonts w:ascii="Times New Roman" w:eastAsia="Times New Roman" w:hAnsi="Times New Roman" w:cs="Times New Roman"/>
          <w:sz w:val="24"/>
          <w:szCs w:val="24"/>
          <w:lang w:eastAsia="fr-CA"/>
        </w:rPr>
        <w:t>qu’i</w:t>
      </w:r>
      <w:r w:rsidR="00CE1436" w:rsidRPr="00696FA6">
        <w:rPr>
          <w:rFonts w:ascii="Times New Roman" w:eastAsia="Times New Roman" w:hAnsi="Times New Roman" w:cs="Times New Roman"/>
          <w:sz w:val="24"/>
          <w:szCs w:val="24"/>
          <w:lang w:eastAsia="fr-CA"/>
        </w:rPr>
        <w:t xml:space="preserve">l faut prendre </w:t>
      </w:r>
      <w:r w:rsidR="00CE1436">
        <w:rPr>
          <w:rFonts w:ascii="Times New Roman" w:eastAsia="Times New Roman" w:hAnsi="Times New Roman" w:cs="Times New Roman"/>
          <w:sz w:val="24"/>
          <w:szCs w:val="24"/>
          <w:lang w:eastAsia="fr-CA"/>
        </w:rPr>
        <w:t>cette</w:t>
      </w:r>
      <w:r w:rsidR="00CE1436" w:rsidRPr="00696FA6">
        <w:rPr>
          <w:rFonts w:ascii="Times New Roman" w:eastAsia="Times New Roman" w:hAnsi="Times New Roman" w:cs="Times New Roman"/>
          <w:sz w:val="24"/>
          <w:szCs w:val="24"/>
          <w:lang w:eastAsia="fr-CA"/>
        </w:rPr>
        <w:t xml:space="preserve"> liste comme un élément parmi plusieurs, car bien que </w:t>
      </w:r>
      <w:r w:rsidR="00CE1436">
        <w:rPr>
          <w:rFonts w:ascii="Times New Roman" w:eastAsia="Times New Roman" w:hAnsi="Times New Roman" w:cs="Times New Roman"/>
          <w:sz w:val="24"/>
          <w:szCs w:val="24"/>
          <w:lang w:eastAsia="fr-CA"/>
        </w:rPr>
        <w:t xml:space="preserve">le </w:t>
      </w:r>
      <w:r w:rsidR="00CE1436" w:rsidRPr="00495008">
        <w:rPr>
          <w:rFonts w:ascii="Times New Roman" w:hAnsi="Times New Roman" w:cs="Times New Roman"/>
          <w:sz w:val="24"/>
          <w:szCs w:val="24"/>
        </w:rPr>
        <w:t>SDI</w:t>
      </w:r>
      <w:r w:rsidR="00CE1436">
        <w:rPr>
          <w:rFonts w:ascii="Times New Roman" w:hAnsi="Times New Roman" w:cs="Times New Roman"/>
          <w:sz w:val="24"/>
          <w:szCs w:val="24"/>
        </w:rPr>
        <w:t xml:space="preserve"> donne</w:t>
      </w:r>
      <w:r w:rsidR="00CE1436" w:rsidRPr="00696FA6">
        <w:rPr>
          <w:rFonts w:ascii="Times New Roman" w:eastAsia="Times New Roman" w:hAnsi="Times New Roman" w:cs="Times New Roman"/>
          <w:sz w:val="24"/>
          <w:szCs w:val="24"/>
          <w:lang w:eastAsia="fr-CA"/>
        </w:rPr>
        <w:t xml:space="preserve"> l’impression </w:t>
      </w:r>
      <w:r w:rsidR="00CE1436">
        <w:rPr>
          <w:rFonts w:ascii="Times New Roman" w:eastAsia="Times New Roman" w:hAnsi="Times New Roman" w:cs="Times New Roman"/>
          <w:sz w:val="24"/>
          <w:szCs w:val="24"/>
          <w:lang w:eastAsia="fr-CA"/>
        </w:rPr>
        <w:t>qu’il est</w:t>
      </w:r>
      <w:r w:rsidR="00CE1436" w:rsidRPr="00696FA6">
        <w:rPr>
          <w:rFonts w:ascii="Times New Roman" w:eastAsia="Times New Roman" w:hAnsi="Times New Roman" w:cs="Times New Roman"/>
          <w:sz w:val="24"/>
          <w:szCs w:val="24"/>
          <w:lang w:eastAsia="fr-CA"/>
        </w:rPr>
        <w:t xml:space="preserve"> le guichet unique des partenariats, la réalité est autrement. D’autres unités administratives travaillent également en partenariat avec des organisations externes selon leur secteur d’activité. Par exemple :</w:t>
      </w:r>
    </w:p>
    <w:p w:rsidR="00CE1436" w:rsidRPr="00696FA6" w:rsidRDefault="00CE1436" w:rsidP="00CE1436">
      <w:pPr>
        <w:spacing w:after="0" w:line="360" w:lineRule="auto"/>
        <w:ind w:left="45"/>
        <w:jc w:val="both"/>
        <w:rPr>
          <w:rFonts w:ascii="Times New Roman" w:eastAsia="Times New Roman" w:hAnsi="Times New Roman" w:cs="Times New Roman"/>
          <w:sz w:val="24"/>
          <w:szCs w:val="24"/>
          <w:lang w:eastAsia="fr-CA"/>
        </w:rPr>
      </w:pPr>
    </w:p>
    <w:p w:rsidR="00CE1436" w:rsidRPr="00696FA6" w:rsidRDefault="00CE1436" w:rsidP="00CE1436">
      <w:pPr>
        <w:pStyle w:val="Paragraphedeliste"/>
        <w:numPr>
          <w:ilvl w:val="0"/>
          <w:numId w:val="36"/>
        </w:numPr>
        <w:spacing w:after="0" w:line="360" w:lineRule="auto"/>
        <w:jc w:val="both"/>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Le Décanat des études a des protocoles d’entente avec plusieurs collèges et Cégeps pour l’offre de DEC-BACC ainsi qu’avec l’École nationale de police du Québec et 11 autres universités pour l’offre du baccalauréat en sécurité publique;</w:t>
      </w:r>
    </w:p>
    <w:p w:rsidR="00CE1436" w:rsidRPr="00696FA6" w:rsidRDefault="00CE1436" w:rsidP="00CE1436">
      <w:pPr>
        <w:pStyle w:val="Paragraphedeliste"/>
        <w:numPr>
          <w:ilvl w:val="0"/>
          <w:numId w:val="36"/>
        </w:numPr>
        <w:spacing w:after="0" w:line="360" w:lineRule="auto"/>
        <w:jc w:val="both"/>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Le Service de la formation continue a des protocoles d’entente avec </w:t>
      </w:r>
    </w:p>
    <w:p w:rsidR="00CE1436" w:rsidRPr="00696FA6" w:rsidRDefault="00CE1436" w:rsidP="00CE1436">
      <w:pPr>
        <w:pStyle w:val="Paragraphedeliste"/>
        <w:numPr>
          <w:ilvl w:val="0"/>
          <w:numId w:val="36"/>
        </w:numPr>
        <w:spacing w:after="0" w:line="360" w:lineRule="auto"/>
        <w:jc w:val="both"/>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Le Bureau de liaison université-entreprise a conclu une multitude de protocoles d’entente en ce qui concerne la recherche commanditée;</w:t>
      </w:r>
    </w:p>
    <w:p w:rsidR="00CE1436" w:rsidRPr="00696FA6" w:rsidRDefault="00CE1436" w:rsidP="00CE1436">
      <w:pPr>
        <w:pStyle w:val="Paragraphedeliste"/>
        <w:numPr>
          <w:ilvl w:val="0"/>
          <w:numId w:val="36"/>
        </w:numPr>
        <w:spacing w:after="0" w:line="360" w:lineRule="auto"/>
        <w:jc w:val="both"/>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Le Service des communications </w:t>
      </w:r>
      <w:proofErr w:type="gramStart"/>
      <w:r w:rsidRPr="00696FA6">
        <w:rPr>
          <w:rFonts w:ascii="Times New Roman" w:eastAsia="Times New Roman" w:hAnsi="Times New Roman" w:cs="Times New Roman"/>
          <w:sz w:val="24"/>
          <w:szCs w:val="24"/>
          <w:lang w:eastAsia="fr-CA"/>
        </w:rPr>
        <w:t>a</w:t>
      </w:r>
      <w:proofErr w:type="gramEnd"/>
      <w:r w:rsidRPr="00696FA6">
        <w:rPr>
          <w:rFonts w:ascii="Times New Roman" w:eastAsia="Times New Roman" w:hAnsi="Times New Roman" w:cs="Times New Roman"/>
          <w:sz w:val="24"/>
          <w:szCs w:val="24"/>
          <w:lang w:eastAsia="fr-CA"/>
        </w:rPr>
        <w:t xml:space="preserve"> des ententes avec des fournisseurs, comme par exemple les agences de médias ou le Nouvelliste;</w:t>
      </w:r>
    </w:p>
    <w:p w:rsidR="00CE1436" w:rsidRPr="00696FA6" w:rsidRDefault="00CE1436" w:rsidP="00CE1436">
      <w:pPr>
        <w:pStyle w:val="Paragraphedeliste"/>
        <w:numPr>
          <w:ilvl w:val="0"/>
          <w:numId w:val="36"/>
        </w:numPr>
        <w:spacing w:after="0" w:line="360" w:lineRule="auto"/>
        <w:jc w:val="both"/>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Etc.</w:t>
      </w:r>
    </w:p>
    <w:p w:rsidR="00CE1436" w:rsidRPr="00CE1436" w:rsidRDefault="00CE1436" w:rsidP="00CE1436">
      <w:pPr>
        <w:spacing w:line="360" w:lineRule="auto"/>
        <w:ind w:firstLine="708"/>
        <w:jc w:val="both"/>
        <w:rPr>
          <w:rFonts w:ascii="Times New Roman" w:eastAsia="Times New Roman" w:hAnsi="Times New Roman" w:cs="Times New Roman"/>
          <w:sz w:val="24"/>
          <w:szCs w:val="24"/>
          <w:lang w:eastAsia="fr-CA"/>
        </w:rPr>
      </w:pPr>
    </w:p>
    <w:p w:rsidR="00C72879" w:rsidRPr="006A6D88" w:rsidRDefault="00C72879" w:rsidP="00753ED9">
      <w:pPr>
        <w:spacing w:line="360" w:lineRule="auto"/>
        <w:ind w:firstLine="708"/>
        <w:jc w:val="both"/>
        <w:rPr>
          <w:rFonts w:ascii="Times New Roman" w:hAnsi="Times New Roman" w:cs="Times New Roman"/>
          <w:strike/>
          <w:sz w:val="24"/>
          <w:szCs w:val="24"/>
        </w:rPr>
      </w:pPr>
    </w:p>
    <w:p w:rsidR="0081240C" w:rsidRDefault="0081240C">
      <w:pPr>
        <w:rPr>
          <w:rFonts w:asciiTheme="majorHAnsi" w:eastAsiaTheme="majorEastAsia" w:hAnsiTheme="majorHAnsi" w:cstheme="majorBidi"/>
          <w:b/>
          <w:bCs/>
          <w:color w:val="00703C" w:themeColor="accent1"/>
        </w:rPr>
      </w:pPr>
      <w:r>
        <w:br w:type="page"/>
      </w:r>
    </w:p>
    <w:p w:rsidR="00C72879" w:rsidRPr="000B6ADB" w:rsidRDefault="004D7BC8" w:rsidP="004D7BC8">
      <w:pPr>
        <w:pStyle w:val="Titre3"/>
        <w:spacing w:line="360" w:lineRule="auto"/>
      </w:pPr>
      <w:bookmarkStart w:id="58" w:name="_Toc417486270"/>
      <w:r>
        <w:lastRenderedPageBreak/>
        <w:t xml:space="preserve">10.3 </w:t>
      </w:r>
      <w:r w:rsidR="00C72879" w:rsidRPr="000B6ADB">
        <w:t>Alliance</w:t>
      </w:r>
      <w:r>
        <w:t>s</w:t>
      </w:r>
      <w:bookmarkEnd w:id="58"/>
    </w:p>
    <w:p w:rsidR="00C72879" w:rsidRPr="008E134A" w:rsidRDefault="00C72879" w:rsidP="004D7BC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Contrairement à la définition du partenariat, l’alliance se produit lorsqu’il y a collaboration entre deux concurrents (</w:t>
      </w:r>
      <w:proofErr w:type="spellStart"/>
      <w:r>
        <w:rPr>
          <w:rFonts w:ascii="Times New Roman" w:hAnsi="Times New Roman" w:cs="Times New Roman"/>
          <w:sz w:val="24"/>
          <w:szCs w:val="24"/>
        </w:rPr>
        <w:t>Jonhson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Whittington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Scholes</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Fréry</w:t>
      </w:r>
      <w:proofErr w:type="spellEnd"/>
      <w:r>
        <w:rPr>
          <w:rFonts w:ascii="Times New Roman" w:hAnsi="Times New Roman" w:cs="Times New Roman"/>
          <w:sz w:val="24"/>
          <w:szCs w:val="24"/>
        </w:rPr>
        <w:t xml:space="preserve">, 2011). Pour ce faire, l’UQTR a </w:t>
      </w:r>
      <w:r w:rsidR="003520A0">
        <w:rPr>
          <w:rFonts w:ascii="Times New Roman" w:hAnsi="Times New Roman" w:cs="Times New Roman"/>
          <w:sz w:val="24"/>
          <w:szCs w:val="24"/>
        </w:rPr>
        <w:t>établi</w:t>
      </w:r>
      <w:r>
        <w:rPr>
          <w:rFonts w:ascii="Times New Roman" w:hAnsi="Times New Roman" w:cs="Times New Roman"/>
          <w:sz w:val="24"/>
          <w:szCs w:val="24"/>
        </w:rPr>
        <w:t xml:space="preserve"> une alliance avec l’un de ses adversaires : l’</w:t>
      </w:r>
      <w:r w:rsidR="003520A0">
        <w:rPr>
          <w:rFonts w:ascii="Times New Roman" w:hAnsi="Times New Roman" w:cs="Times New Roman"/>
          <w:sz w:val="24"/>
          <w:szCs w:val="24"/>
        </w:rPr>
        <w:t>Université</w:t>
      </w:r>
      <w:r>
        <w:rPr>
          <w:rFonts w:ascii="Times New Roman" w:hAnsi="Times New Roman" w:cs="Times New Roman"/>
          <w:sz w:val="24"/>
          <w:szCs w:val="24"/>
        </w:rPr>
        <w:t xml:space="preserve"> de Montréal. En effet, elles se sont </w:t>
      </w:r>
      <w:r w:rsidR="003520A0">
        <w:rPr>
          <w:rFonts w:ascii="Times New Roman" w:hAnsi="Times New Roman" w:cs="Times New Roman"/>
          <w:sz w:val="24"/>
          <w:szCs w:val="24"/>
        </w:rPr>
        <w:t>associées</w:t>
      </w:r>
      <w:r>
        <w:rPr>
          <w:rFonts w:ascii="Times New Roman" w:hAnsi="Times New Roman" w:cs="Times New Roman"/>
          <w:sz w:val="24"/>
          <w:szCs w:val="24"/>
        </w:rPr>
        <w:t xml:space="preserve"> afin de mettre sur pied le Campus de l’</w:t>
      </w:r>
      <w:proofErr w:type="spellStart"/>
      <w:r>
        <w:rPr>
          <w:rFonts w:ascii="Times New Roman" w:hAnsi="Times New Roman" w:cs="Times New Roman"/>
          <w:sz w:val="24"/>
          <w:szCs w:val="24"/>
        </w:rPr>
        <w:t>UdeM</w:t>
      </w:r>
      <w:proofErr w:type="spellEnd"/>
      <w:r>
        <w:rPr>
          <w:rFonts w:ascii="Times New Roman" w:hAnsi="Times New Roman" w:cs="Times New Roman"/>
          <w:sz w:val="24"/>
          <w:szCs w:val="24"/>
        </w:rPr>
        <w:t xml:space="preserve"> en Mauricie. En implantant son programme de doctorat de premier cycle en </w:t>
      </w:r>
      <w:r w:rsidR="007F6FD9">
        <w:rPr>
          <w:rFonts w:ascii="Times New Roman" w:hAnsi="Times New Roman" w:cs="Times New Roman"/>
          <w:sz w:val="24"/>
          <w:szCs w:val="24"/>
        </w:rPr>
        <w:t>médecine</w:t>
      </w:r>
      <w:r>
        <w:rPr>
          <w:rFonts w:ascii="Times New Roman" w:hAnsi="Times New Roman" w:cs="Times New Roman"/>
          <w:sz w:val="24"/>
          <w:szCs w:val="24"/>
        </w:rPr>
        <w:t>, l’</w:t>
      </w:r>
      <w:proofErr w:type="spellStart"/>
      <w:r>
        <w:rPr>
          <w:rFonts w:ascii="Times New Roman" w:hAnsi="Times New Roman" w:cs="Times New Roman"/>
          <w:sz w:val="24"/>
          <w:szCs w:val="24"/>
        </w:rPr>
        <w:t>UdeM</w:t>
      </w:r>
      <w:proofErr w:type="spellEnd"/>
      <w:r>
        <w:rPr>
          <w:rFonts w:ascii="Times New Roman" w:hAnsi="Times New Roman" w:cs="Times New Roman"/>
          <w:sz w:val="24"/>
          <w:szCs w:val="24"/>
        </w:rPr>
        <w:t xml:space="preserve"> a donc l’opportunité de couvrir un plus grand territoire. L’UQTR y trouve notamment profit, puisque cela aura pour effet de faire accroître le nombre de médecins en Mauricie.</w:t>
      </w:r>
      <w:r>
        <w:rPr>
          <w:rStyle w:val="Appelnotedebasdep"/>
          <w:rFonts w:ascii="Times New Roman" w:hAnsi="Times New Roman" w:cs="Times New Roman"/>
          <w:sz w:val="24"/>
          <w:szCs w:val="24"/>
        </w:rPr>
        <w:footnoteReference w:id="100"/>
      </w:r>
      <w:r>
        <w:rPr>
          <w:rFonts w:ascii="Times New Roman" w:hAnsi="Times New Roman" w:cs="Times New Roman"/>
          <w:sz w:val="24"/>
          <w:szCs w:val="24"/>
        </w:rPr>
        <w:t xml:space="preserve"> Selon cet exemple, il y a présence d’une alliance complémentaire qui est bénéfique aux deux parties. </w:t>
      </w:r>
      <w:r w:rsidR="0098209D">
        <w:rPr>
          <w:rFonts w:ascii="Times New Roman" w:hAnsi="Times New Roman" w:cs="Times New Roman"/>
          <w:sz w:val="24"/>
          <w:szCs w:val="24"/>
        </w:rPr>
        <w:t xml:space="preserve">De plus, l’UQTR a formé des alliances avec diverses universités partout dans le monde afin de </w:t>
      </w:r>
      <w:r w:rsidR="0098209D" w:rsidRPr="00B65E4B">
        <w:rPr>
          <w:rFonts w:ascii="Times New Roman" w:hAnsi="Times New Roman" w:cs="Times New Roman"/>
          <w:sz w:val="24"/>
          <w:szCs w:val="24"/>
        </w:rPr>
        <w:t xml:space="preserve">permettre des échanges étudiants. En effet, </w:t>
      </w:r>
      <w:r w:rsidR="005F406B" w:rsidRPr="00B65E4B">
        <w:rPr>
          <w:rFonts w:ascii="Times New Roman" w:hAnsi="Times New Roman" w:cs="Times New Roman"/>
          <w:sz w:val="24"/>
          <w:szCs w:val="24"/>
        </w:rPr>
        <w:t xml:space="preserve">plus de </w:t>
      </w:r>
      <w:r w:rsidR="005F406B" w:rsidRPr="008E134A">
        <w:rPr>
          <w:rFonts w:ascii="Times New Roman" w:hAnsi="Times New Roman" w:cs="Times New Roman"/>
          <w:sz w:val="24"/>
          <w:szCs w:val="24"/>
        </w:rPr>
        <w:t xml:space="preserve">110 ententes </w:t>
      </w:r>
      <w:proofErr w:type="spellStart"/>
      <w:r w:rsidR="005F406B" w:rsidRPr="008E134A">
        <w:rPr>
          <w:rFonts w:ascii="Times New Roman" w:hAnsi="Times New Roman" w:cs="Times New Roman"/>
          <w:sz w:val="24"/>
          <w:szCs w:val="24"/>
        </w:rPr>
        <w:t>inter-institutionnelles</w:t>
      </w:r>
      <w:proofErr w:type="spellEnd"/>
      <w:r w:rsidR="005F406B" w:rsidRPr="008E134A">
        <w:rPr>
          <w:rFonts w:ascii="Times New Roman" w:hAnsi="Times New Roman" w:cs="Times New Roman"/>
          <w:sz w:val="24"/>
          <w:szCs w:val="24"/>
        </w:rPr>
        <w:t xml:space="preserve"> ont étaient formées dans 500 établissements</w:t>
      </w:r>
      <w:r w:rsidR="00B65E4B" w:rsidRPr="008E134A">
        <w:rPr>
          <w:rFonts w:ascii="Times New Roman" w:hAnsi="Times New Roman" w:cs="Times New Roman"/>
          <w:sz w:val="24"/>
          <w:szCs w:val="24"/>
        </w:rPr>
        <w:t xml:space="preserve"> (</w:t>
      </w:r>
      <w:hyperlink r:id="rId73" w:history="1">
        <w:r w:rsidR="00B65E4B" w:rsidRPr="008E134A">
          <w:rPr>
            <w:rFonts w:ascii="Times New Roman" w:hAnsi="Times New Roman" w:cs="Times New Roman"/>
            <w:sz w:val="24"/>
            <w:szCs w:val="24"/>
          </w:rPr>
          <w:t>Université de Strasbourg</w:t>
        </w:r>
      </w:hyperlink>
      <w:r w:rsidR="00B65E4B" w:rsidRPr="008E134A">
        <w:rPr>
          <w:rFonts w:ascii="Times New Roman" w:hAnsi="Times New Roman" w:cs="Times New Roman"/>
          <w:sz w:val="24"/>
          <w:szCs w:val="24"/>
        </w:rPr>
        <w:t xml:space="preserve">, </w:t>
      </w:r>
      <w:hyperlink r:id="rId74" w:history="1">
        <w:proofErr w:type="spellStart"/>
        <w:r w:rsidR="00B65E4B" w:rsidRPr="008E134A">
          <w:rPr>
            <w:rFonts w:ascii="Times New Roman" w:hAnsi="Times New Roman" w:cs="Times New Roman"/>
            <w:sz w:val="24"/>
            <w:szCs w:val="24"/>
          </w:rPr>
          <w:t>Southeastern</w:t>
        </w:r>
        <w:proofErr w:type="spellEnd"/>
        <w:r w:rsidR="00B65E4B" w:rsidRPr="008E134A">
          <w:rPr>
            <w:rFonts w:ascii="Times New Roman" w:hAnsi="Times New Roman" w:cs="Times New Roman"/>
            <w:sz w:val="24"/>
            <w:szCs w:val="24"/>
          </w:rPr>
          <w:t xml:space="preserve"> </w:t>
        </w:r>
        <w:proofErr w:type="spellStart"/>
        <w:r w:rsidR="00B65E4B" w:rsidRPr="008E134A">
          <w:rPr>
            <w:rFonts w:ascii="Times New Roman" w:hAnsi="Times New Roman" w:cs="Times New Roman"/>
            <w:sz w:val="24"/>
            <w:szCs w:val="24"/>
          </w:rPr>
          <w:t>Louisiana</w:t>
        </w:r>
        <w:proofErr w:type="spellEnd"/>
        <w:r w:rsidR="00B65E4B" w:rsidRPr="008E134A">
          <w:rPr>
            <w:rFonts w:ascii="Times New Roman" w:hAnsi="Times New Roman" w:cs="Times New Roman"/>
            <w:sz w:val="24"/>
            <w:szCs w:val="24"/>
          </w:rPr>
          <w:t xml:space="preserve"> </w:t>
        </w:r>
        <w:proofErr w:type="spellStart"/>
        <w:r w:rsidR="00B65E4B" w:rsidRPr="008E134A">
          <w:rPr>
            <w:rFonts w:ascii="Times New Roman" w:hAnsi="Times New Roman" w:cs="Times New Roman"/>
            <w:sz w:val="24"/>
            <w:szCs w:val="24"/>
          </w:rPr>
          <w:t>University</w:t>
        </w:r>
        <w:proofErr w:type="spellEnd"/>
      </w:hyperlink>
      <w:r w:rsidR="00B65E4B" w:rsidRPr="008E134A">
        <w:rPr>
          <w:rFonts w:ascii="Times New Roman" w:hAnsi="Times New Roman" w:cs="Times New Roman"/>
          <w:sz w:val="24"/>
          <w:szCs w:val="24"/>
        </w:rPr>
        <w:t>, etc.)</w:t>
      </w:r>
      <w:r w:rsidR="0035125C" w:rsidRPr="008E134A">
        <w:rPr>
          <w:rStyle w:val="Appelnotedebasdep"/>
          <w:rFonts w:ascii="Times New Roman" w:hAnsi="Times New Roman" w:cs="Times New Roman"/>
          <w:sz w:val="24"/>
          <w:szCs w:val="24"/>
        </w:rPr>
        <w:footnoteReference w:id="101"/>
      </w:r>
      <w:r w:rsidR="005F406B" w:rsidRPr="008E134A">
        <w:rPr>
          <w:rFonts w:ascii="Times New Roman" w:hAnsi="Times New Roman" w:cs="Times New Roman"/>
          <w:sz w:val="24"/>
          <w:szCs w:val="24"/>
        </w:rPr>
        <w:t xml:space="preserve"> </w:t>
      </w:r>
      <w:proofErr w:type="gramStart"/>
      <w:r w:rsidR="005F406B" w:rsidRPr="008E134A">
        <w:rPr>
          <w:rFonts w:ascii="Times New Roman" w:hAnsi="Times New Roman" w:cs="Times New Roman"/>
          <w:sz w:val="24"/>
          <w:szCs w:val="24"/>
        </w:rPr>
        <w:t>dans</w:t>
      </w:r>
      <w:proofErr w:type="gramEnd"/>
      <w:r w:rsidR="005F406B" w:rsidRPr="008E134A">
        <w:rPr>
          <w:rFonts w:ascii="Times New Roman" w:hAnsi="Times New Roman" w:cs="Times New Roman"/>
          <w:sz w:val="24"/>
          <w:szCs w:val="24"/>
        </w:rPr>
        <w:t xml:space="preserve"> plus de 20 pays</w:t>
      </w:r>
      <w:r w:rsidR="00F83104" w:rsidRPr="008E134A">
        <w:rPr>
          <w:rFonts w:ascii="Times New Roman" w:hAnsi="Times New Roman" w:cs="Times New Roman"/>
          <w:sz w:val="24"/>
          <w:szCs w:val="24"/>
        </w:rPr>
        <w:t xml:space="preserve"> différents</w:t>
      </w:r>
      <w:r w:rsidR="005F406B" w:rsidRPr="008E134A">
        <w:rPr>
          <w:rFonts w:ascii="Times New Roman" w:hAnsi="Times New Roman" w:cs="Times New Roman"/>
          <w:sz w:val="24"/>
          <w:szCs w:val="24"/>
        </w:rPr>
        <w:t>.</w:t>
      </w:r>
      <w:r w:rsidR="00F83104" w:rsidRPr="008E134A">
        <w:rPr>
          <w:rFonts w:ascii="Times New Roman" w:hAnsi="Times New Roman" w:cs="Times New Roman"/>
          <w:sz w:val="24"/>
          <w:szCs w:val="24"/>
        </w:rPr>
        <w:t xml:space="preserve"> Ces collaborations permettent aux étudiants actifs à l’UQTR de </w:t>
      </w:r>
      <w:r w:rsidR="00F56906" w:rsidRPr="008E134A">
        <w:rPr>
          <w:rFonts w:ascii="Times New Roman" w:hAnsi="Times New Roman" w:cs="Times New Roman"/>
          <w:sz w:val="24"/>
          <w:szCs w:val="24"/>
        </w:rPr>
        <w:t xml:space="preserve">parfaire leur connaissance, </w:t>
      </w:r>
      <w:r w:rsidR="00F83104" w:rsidRPr="008E134A">
        <w:rPr>
          <w:rFonts w:ascii="Times New Roman" w:hAnsi="Times New Roman" w:cs="Times New Roman"/>
          <w:sz w:val="24"/>
          <w:szCs w:val="24"/>
        </w:rPr>
        <w:t>d’acquérir une expérience formatrice</w:t>
      </w:r>
      <w:r w:rsidR="00F56906" w:rsidRPr="008E134A">
        <w:rPr>
          <w:rFonts w:ascii="Times New Roman" w:hAnsi="Times New Roman" w:cs="Times New Roman"/>
          <w:sz w:val="24"/>
          <w:szCs w:val="24"/>
        </w:rPr>
        <w:t xml:space="preserve"> et d’avoir une ouverture sur le monde</w:t>
      </w:r>
      <w:r w:rsidR="00F83104" w:rsidRPr="008E134A">
        <w:rPr>
          <w:rFonts w:ascii="Times New Roman" w:hAnsi="Times New Roman" w:cs="Times New Roman"/>
          <w:sz w:val="24"/>
          <w:szCs w:val="24"/>
        </w:rPr>
        <w:t>.</w:t>
      </w:r>
      <w:r w:rsidR="00B65E4B" w:rsidRPr="008E134A">
        <w:rPr>
          <w:rFonts w:ascii="Times New Roman" w:hAnsi="Times New Roman" w:cs="Times New Roman"/>
          <w:sz w:val="24"/>
          <w:szCs w:val="24"/>
        </w:rPr>
        <w:t xml:space="preserve"> </w:t>
      </w:r>
    </w:p>
    <w:p w:rsidR="00C72879" w:rsidRPr="008E134A" w:rsidRDefault="00C72879" w:rsidP="00C72879">
      <w:pPr>
        <w:rPr>
          <w:sz w:val="24"/>
          <w:szCs w:val="24"/>
        </w:rPr>
      </w:pPr>
    </w:p>
    <w:p w:rsidR="004D7BC8" w:rsidRDefault="004D7BC8">
      <w:pPr>
        <w:rPr>
          <w:rFonts w:asciiTheme="majorHAnsi" w:eastAsiaTheme="majorEastAsia" w:hAnsiTheme="majorHAnsi" w:cstheme="majorBidi"/>
          <w:b/>
          <w:bCs/>
          <w:color w:val="00532C" w:themeColor="accent1" w:themeShade="BF"/>
          <w:sz w:val="28"/>
          <w:szCs w:val="28"/>
        </w:rPr>
      </w:pPr>
      <w:r>
        <w:br w:type="page"/>
      </w:r>
    </w:p>
    <w:p w:rsidR="000D0609" w:rsidRPr="004D7BC8" w:rsidRDefault="00A9103C" w:rsidP="004D7BC8">
      <w:pPr>
        <w:pStyle w:val="Titre1"/>
      </w:pPr>
      <w:bookmarkStart w:id="59" w:name="_Toc417486271"/>
      <w:r w:rsidRPr="004D7BC8">
        <w:lastRenderedPageBreak/>
        <w:t>RECOMMANDATIONS</w:t>
      </w:r>
      <w:bookmarkEnd w:id="59"/>
    </w:p>
    <w:p w:rsidR="008E134A" w:rsidRDefault="008E134A" w:rsidP="00DC3AF1">
      <w:pPr>
        <w:spacing w:line="360" w:lineRule="auto"/>
        <w:jc w:val="both"/>
        <w:rPr>
          <w:rFonts w:ascii="Times New Roman" w:hAnsi="Times New Roman" w:cs="Times New Roman"/>
          <w:b/>
          <w:sz w:val="24"/>
          <w:szCs w:val="24"/>
        </w:rPr>
      </w:pPr>
    </w:p>
    <w:p w:rsidR="00DC3AF1" w:rsidRPr="008E134A" w:rsidRDefault="00DC3AF1" w:rsidP="00540A65">
      <w:pPr>
        <w:pStyle w:val="Paragraphedeliste"/>
        <w:numPr>
          <w:ilvl w:val="0"/>
          <w:numId w:val="24"/>
        </w:numPr>
        <w:spacing w:line="360" w:lineRule="auto"/>
        <w:jc w:val="both"/>
        <w:rPr>
          <w:rFonts w:ascii="Times New Roman" w:hAnsi="Times New Roman" w:cs="Times New Roman"/>
          <w:b/>
          <w:sz w:val="24"/>
          <w:szCs w:val="24"/>
        </w:rPr>
      </w:pPr>
      <w:r w:rsidRPr="008E134A">
        <w:rPr>
          <w:rFonts w:ascii="Times New Roman" w:hAnsi="Times New Roman" w:cs="Times New Roman"/>
          <w:b/>
          <w:sz w:val="24"/>
          <w:szCs w:val="24"/>
        </w:rPr>
        <w:t>Révision du plan stratégique; son contenu et son approche</w:t>
      </w:r>
    </w:p>
    <w:p w:rsidR="00DC3AF1" w:rsidRPr="008E134A" w:rsidRDefault="00DC3AF1" w:rsidP="008E134A">
      <w:pPr>
        <w:spacing w:line="360" w:lineRule="auto"/>
        <w:ind w:firstLine="708"/>
        <w:jc w:val="both"/>
        <w:rPr>
          <w:rFonts w:ascii="Times New Roman" w:hAnsi="Times New Roman" w:cs="Times New Roman"/>
          <w:sz w:val="24"/>
          <w:szCs w:val="24"/>
        </w:rPr>
      </w:pPr>
      <w:r w:rsidRPr="008E134A">
        <w:rPr>
          <w:rFonts w:ascii="Times New Roman" w:hAnsi="Times New Roman" w:cs="Times New Roman"/>
          <w:sz w:val="24"/>
          <w:szCs w:val="24"/>
        </w:rPr>
        <w:t xml:space="preserve">Nous suggérons à l’UQTR de réviser quelques points de son Plan stratégique (2010-2013). Elle devrait élaborer une analyse stratégique plus complète démontrant une étude plus rigoureuse sur les différentes sphères de l’environnement autant interne qu’externe. </w:t>
      </w:r>
    </w:p>
    <w:p w:rsidR="00DC3AF1" w:rsidRPr="008E134A" w:rsidRDefault="00DC3AF1" w:rsidP="008E134A">
      <w:pPr>
        <w:spacing w:line="360" w:lineRule="auto"/>
        <w:ind w:firstLine="708"/>
        <w:jc w:val="both"/>
        <w:rPr>
          <w:rFonts w:ascii="Times New Roman" w:hAnsi="Times New Roman" w:cs="Times New Roman"/>
          <w:sz w:val="24"/>
          <w:szCs w:val="24"/>
        </w:rPr>
      </w:pPr>
      <w:r w:rsidRPr="008E134A">
        <w:rPr>
          <w:rFonts w:ascii="Times New Roman" w:hAnsi="Times New Roman" w:cs="Times New Roman"/>
          <w:sz w:val="24"/>
          <w:szCs w:val="24"/>
        </w:rPr>
        <w:t xml:space="preserve">Tout d’abord, l’institution devrait revoir la description de ses valeurs fondamentales, car elle est ambigüe. En effet, elle ne fait pas mention de principes précis et explicites, mais elle met plutôt de l’avant une phrase vague qui laisse comprendre que les valeurs peuvent changer selon les circonstances. </w:t>
      </w:r>
    </w:p>
    <w:p w:rsidR="00DC3AF1" w:rsidRPr="008E134A" w:rsidRDefault="00DC3AF1" w:rsidP="008E134A">
      <w:pPr>
        <w:spacing w:line="360" w:lineRule="auto"/>
        <w:ind w:firstLine="708"/>
        <w:jc w:val="both"/>
        <w:rPr>
          <w:rFonts w:ascii="Times New Roman" w:hAnsi="Times New Roman" w:cs="Times New Roman"/>
          <w:sz w:val="24"/>
          <w:szCs w:val="24"/>
        </w:rPr>
      </w:pPr>
      <w:r w:rsidRPr="008E134A">
        <w:rPr>
          <w:rFonts w:ascii="Times New Roman" w:hAnsi="Times New Roman" w:cs="Times New Roman"/>
          <w:sz w:val="24"/>
          <w:szCs w:val="24"/>
        </w:rPr>
        <w:t xml:space="preserve">Ensuite, les objectifs doivent répondre à la question suivante : « Que voulons-nous obtenir à court terme ? ». Certes, les objectifs mentionnés sont précis, mais peut-être ne sont-ils pas tous </w:t>
      </w:r>
      <w:r w:rsidR="007F6FD9">
        <w:rPr>
          <w:rFonts w:ascii="Times New Roman" w:hAnsi="Times New Roman" w:cs="Times New Roman"/>
          <w:sz w:val="24"/>
          <w:szCs w:val="24"/>
        </w:rPr>
        <w:t>réalisables</w:t>
      </w:r>
      <w:r w:rsidRPr="008E134A">
        <w:rPr>
          <w:rFonts w:ascii="Times New Roman" w:hAnsi="Times New Roman" w:cs="Times New Roman"/>
          <w:sz w:val="24"/>
          <w:szCs w:val="24"/>
        </w:rPr>
        <w:t xml:space="preserve"> à court terme. Par exemple, le fait de vouloir étendre les réseaux scientifiques à l’échelle </w:t>
      </w:r>
      <w:r w:rsidR="007F6FD9">
        <w:rPr>
          <w:rFonts w:ascii="Times New Roman" w:hAnsi="Times New Roman" w:cs="Times New Roman"/>
          <w:sz w:val="24"/>
          <w:szCs w:val="24"/>
        </w:rPr>
        <w:t>nationale</w:t>
      </w:r>
      <w:r w:rsidRPr="008E134A">
        <w:rPr>
          <w:rFonts w:ascii="Times New Roman" w:hAnsi="Times New Roman" w:cs="Times New Roman"/>
          <w:sz w:val="24"/>
          <w:szCs w:val="24"/>
        </w:rPr>
        <w:t xml:space="preserve"> et Internationale ne pourrait probablement pas être obtenu à court terme, mais plutôt sur une période plus considérable. </w:t>
      </w:r>
    </w:p>
    <w:p w:rsidR="00DC3AF1" w:rsidRDefault="00DC3AF1" w:rsidP="008E134A">
      <w:pPr>
        <w:spacing w:line="360" w:lineRule="auto"/>
        <w:ind w:firstLine="708"/>
        <w:jc w:val="both"/>
        <w:rPr>
          <w:rFonts w:ascii="Times New Roman" w:hAnsi="Times New Roman" w:cs="Times New Roman"/>
          <w:sz w:val="24"/>
          <w:szCs w:val="24"/>
        </w:rPr>
      </w:pPr>
      <w:r w:rsidRPr="008E134A">
        <w:rPr>
          <w:rFonts w:ascii="Times New Roman" w:hAnsi="Times New Roman" w:cs="Times New Roman"/>
          <w:sz w:val="24"/>
          <w:szCs w:val="24"/>
        </w:rPr>
        <w:t xml:space="preserve">De plus, le fait d’avoir autant d’objectifs (24) pourrait faire en sorte que l’atteinte des résultats serait plus difficile. En diminuant la concentration des objectifs, cela pourrait contribuer davantage à l’atteinte des résultats de manière plus réaliste et à court terme. </w:t>
      </w:r>
    </w:p>
    <w:p w:rsidR="00EF0D5B" w:rsidRDefault="00EF0D5B">
      <w:pPr>
        <w:rPr>
          <w:rFonts w:ascii="Times New Roman" w:hAnsi="Times New Roman" w:cs="Times New Roman"/>
          <w:sz w:val="24"/>
          <w:szCs w:val="24"/>
        </w:rPr>
      </w:pPr>
      <w:r>
        <w:rPr>
          <w:rFonts w:ascii="Times New Roman" w:hAnsi="Times New Roman" w:cs="Times New Roman"/>
          <w:sz w:val="24"/>
          <w:szCs w:val="24"/>
        </w:rPr>
        <w:br w:type="page"/>
      </w:r>
    </w:p>
    <w:tbl>
      <w:tblPr>
        <w:tblW w:w="0" w:type="auto"/>
        <w:tblCellMar>
          <w:left w:w="0" w:type="dxa"/>
          <w:right w:w="0" w:type="dxa"/>
        </w:tblCellMar>
        <w:tblLook w:val="04A0"/>
      </w:tblPr>
      <w:tblGrid>
        <w:gridCol w:w="6"/>
      </w:tblGrid>
      <w:tr w:rsidR="00DC3AF1" w:rsidRPr="008E134A" w:rsidTr="00A83EA8">
        <w:tc>
          <w:tcPr>
            <w:tcW w:w="0" w:type="auto"/>
            <w:vAlign w:val="center"/>
            <w:hideMark/>
          </w:tcPr>
          <w:p w:rsidR="00DC3AF1" w:rsidRPr="008E134A" w:rsidRDefault="00DC3AF1" w:rsidP="00A83EA8">
            <w:pPr>
              <w:spacing w:after="0" w:line="360" w:lineRule="auto"/>
              <w:jc w:val="both"/>
              <w:rPr>
                <w:rFonts w:ascii="Times New Roman" w:eastAsia="Times New Roman" w:hAnsi="Times New Roman" w:cs="Times New Roman"/>
                <w:color w:val="222222"/>
                <w:sz w:val="24"/>
                <w:szCs w:val="24"/>
                <w:lang w:eastAsia="fr-CA"/>
              </w:rPr>
            </w:pPr>
          </w:p>
        </w:tc>
      </w:tr>
    </w:tbl>
    <w:p w:rsidR="00DC3AF1" w:rsidRPr="008E134A" w:rsidRDefault="00DC3AF1" w:rsidP="00540A65">
      <w:pPr>
        <w:pStyle w:val="Paragraphedeliste"/>
        <w:numPr>
          <w:ilvl w:val="0"/>
          <w:numId w:val="24"/>
        </w:numPr>
        <w:spacing w:after="200" w:line="360" w:lineRule="auto"/>
        <w:jc w:val="both"/>
        <w:rPr>
          <w:rFonts w:ascii="Times New Roman" w:hAnsi="Times New Roman" w:cs="Times New Roman"/>
          <w:b/>
          <w:sz w:val="24"/>
          <w:szCs w:val="24"/>
        </w:rPr>
      </w:pPr>
      <w:r w:rsidRPr="008E134A">
        <w:rPr>
          <w:rFonts w:ascii="Times New Roman" w:hAnsi="Times New Roman" w:cs="Times New Roman"/>
          <w:b/>
          <w:sz w:val="24"/>
          <w:szCs w:val="24"/>
        </w:rPr>
        <w:t>Rehausser la réputation de L’UQTR pour répondre aux préférences des clients sans augmenter significativement les prix.</w:t>
      </w:r>
    </w:p>
    <w:p w:rsidR="00DC3AF1" w:rsidRPr="008E134A" w:rsidRDefault="00DC3AF1" w:rsidP="008E134A">
      <w:pPr>
        <w:spacing w:line="360" w:lineRule="auto"/>
        <w:ind w:firstLine="708"/>
        <w:jc w:val="both"/>
        <w:rPr>
          <w:rFonts w:ascii="Times New Roman" w:hAnsi="Times New Roman" w:cs="Times New Roman"/>
          <w:sz w:val="24"/>
          <w:szCs w:val="24"/>
        </w:rPr>
      </w:pPr>
      <w:r w:rsidRPr="008E134A">
        <w:rPr>
          <w:rFonts w:ascii="Times New Roman" w:hAnsi="Times New Roman" w:cs="Times New Roman"/>
          <w:sz w:val="24"/>
          <w:szCs w:val="24"/>
        </w:rPr>
        <w:t>L’UQTR a l’avantage, comme mentionné plus tôt dans ce travail, d’offrir des frais de scolarité parmi les plus bas au Québec. Nous constatons cependant que, des 16 institutions d’enseignement supérieures de la province, l’organisation à l’étude se classe 11</w:t>
      </w:r>
      <w:r w:rsidRPr="008E134A">
        <w:rPr>
          <w:rFonts w:ascii="Times New Roman" w:hAnsi="Times New Roman" w:cs="Times New Roman"/>
          <w:sz w:val="24"/>
          <w:szCs w:val="24"/>
          <w:vertAlign w:val="superscript"/>
        </w:rPr>
        <w:t>ème</w:t>
      </w:r>
      <w:r w:rsidRPr="008E134A">
        <w:rPr>
          <w:rFonts w:ascii="Times New Roman" w:hAnsi="Times New Roman" w:cs="Times New Roman"/>
          <w:sz w:val="24"/>
          <w:szCs w:val="24"/>
        </w:rPr>
        <w:t xml:space="preserve"> sur 16 universités au rang de l’excellence et de la réputation. Constatant cela, nous posons la question suivante : serait-ce possible pour l’UQTR de se hisser parmi les cinq meilleures universités de la province, mais en limitant au maximum la hausse de ses frais de scolarité? Pour fins d’illustration, serait-il possible de faire de l’UQTR la Wal-Mart des bas prix et la Rolex de l’excellence, en même temps? Nous croyons le tout possible à long terme si l’UQTR adopte une stratégie de bonification des DAS telle qu’illustrée au point suivant. Une telle stratégie permettrait des entrées de fonds rendant possible une éducation de très haute qualité à bas prix.</w:t>
      </w:r>
    </w:p>
    <w:p w:rsidR="00DC3AF1" w:rsidRPr="008E134A" w:rsidRDefault="00DC3AF1" w:rsidP="008E134A">
      <w:pPr>
        <w:spacing w:line="360" w:lineRule="auto"/>
        <w:ind w:firstLine="708"/>
        <w:jc w:val="both"/>
        <w:rPr>
          <w:rFonts w:ascii="Times New Roman" w:hAnsi="Times New Roman" w:cs="Times New Roman"/>
          <w:sz w:val="24"/>
          <w:szCs w:val="24"/>
        </w:rPr>
      </w:pPr>
      <w:r w:rsidRPr="008E134A">
        <w:rPr>
          <w:rFonts w:ascii="Times New Roman" w:hAnsi="Times New Roman" w:cs="Times New Roman"/>
          <w:sz w:val="24"/>
          <w:szCs w:val="24"/>
        </w:rPr>
        <w:t xml:space="preserve">Aussi, joignons-nous à cette dernière recommandation des suggestions pour bonifier les DAS de l’UQTR, pensant que ces prochaines suggestions mettent sur table des façons concrètes de hausser le rang d’excellence de l’UQTR. </w:t>
      </w:r>
    </w:p>
    <w:p w:rsidR="00DC3AF1" w:rsidRPr="008E134A" w:rsidRDefault="00DC3AF1" w:rsidP="008E134A">
      <w:pPr>
        <w:spacing w:line="360" w:lineRule="auto"/>
        <w:ind w:firstLine="708"/>
        <w:jc w:val="both"/>
        <w:rPr>
          <w:rFonts w:ascii="Times New Roman" w:hAnsi="Times New Roman" w:cs="Times New Roman"/>
          <w:sz w:val="24"/>
          <w:szCs w:val="24"/>
        </w:rPr>
      </w:pPr>
      <w:r w:rsidRPr="008E134A">
        <w:rPr>
          <w:rFonts w:ascii="Times New Roman" w:hAnsi="Times New Roman" w:cs="Times New Roman"/>
          <w:sz w:val="24"/>
          <w:szCs w:val="24"/>
        </w:rPr>
        <w:t xml:space="preserve">La considération des DAS de l’UQTR permet de comprendre que l’ensemble des services offert est pertinent, autant pour la population universitaire que pour la population trifluvienne dans son ensemble, en plus d’être d’une grande qualité. Toutefois, nous suggérons qu’avec autant de potentiel de services, l’UQTR pourrait d’avantage insister sur la communication et le développement de tels services en vue d’en augmenter la popularité et l’utilisation auprès de la population. Une telle stratégie aurait alors comme objectif, via l’augmentation de l’utilisation des services, l’obtention d’un avantage pécuniaire autrement que par l’offre de cours universitaires. Un second revenu, en quelques sortes. </w:t>
      </w:r>
    </w:p>
    <w:p w:rsidR="00DC3AF1" w:rsidRPr="008E134A" w:rsidRDefault="00DC3AF1" w:rsidP="008E134A">
      <w:pPr>
        <w:spacing w:line="360" w:lineRule="auto"/>
        <w:ind w:firstLine="708"/>
        <w:jc w:val="both"/>
        <w:rPr>
          <w:rFonts w:ascii="Times New Roman" w:hAnsi="Times New Roman" w:cs="Times New Roman"/>
          <w:b/>
          <w:sz w:val="24"/>
          <w:szCs w:val="24"/>
        </w:rPr>
      </w:pPr>
      <w:r w:rsidRPr="008E134A">
        <w:rPr>
          <w:rFonts w:ascii="Times New Roman" w:hAnsi="Times New Roman" w:cs="Times New Roman"/>
          <w:sz w:val="24"/>
          <w:szCs w:val="24"/>
        </w:rPr>
        <w:t xml:space="preserve">Par conséquent, cela engagerait l’université à entrer en compétition avec plusieurs autres organisations actives à Trois-Rivières, et changerait donc significativement la dynamique interne de l’organisation pour en faire (1) une institution d’enseignement </w:t>
      </w:r>
      <w:r w:rsidRPr="008E134A">
        <w:rPr>
          <w:rFonts w:ascii="Times New Roman" w:hAnsi="Times New Roman" w:cs="Times New Roman"/>
          <w:sz w:val="24"/>
          <w:szCs w:val="24"/>
        </w:rPr>
        <w:lastRenderedPageBreak/>
        <w:t xml:space="preserve">universitaire, (2) un centre de recherche académique et (3) un acteur économique </w:t>
      </w:r>
      <w:proofErr w:type="spellStart"/>
      <w:r w:rsidRPr="008E134A">
        <w:rPr>
          <w:rFonts w:ascii="Times New Roman" w:hAnsi="Times New Roman" w:cs="Times New Roman"/>
          <w:sz w:val="24"/>
          <w:szCs w:val="24"/>
        </w:rPr>
        <w:t>multi-disciplinaire</w:t>
      </w:r>
      <w:proofErr w:type="spellEnd"/>
      <w:r w:rsidRPr="008E134A">
        <w:rPr>
          <w:rStyle w:val="Appelnotedebasdep"/>
          <w:rFonts w:ascii="Times New Roman" w:hAnsi="Times New Roman" w:cs="Times New Roman"/>
          <w:sz w:val="24"/>
          <w:szCs w:val="24"/>
        </w:rPr>
        <w:footnoteReference w:id="102"/>
      </w:r>
      <w:r w:rsidRPr="008E134A">
        <w:rPr>
          <w:rFonts w:ascii="Times New Roman" w:hAnsi="Times New Roman" w:cs="Times New Roman"/>
          <w:sz w:val="24"/>
          <w:szCs w:val="24"/>
        </w:rPr>
        <w:t xml:space="preserve">. </w:t>
      </w:r>
    </w:p>
    <w:p w:rsidR="008E134A" w:rsidRDefault="00DC3AF1" w:rsidP="00EF0D5B">
      <w:pPr>
        <w:spacing w:line="360" w:lineRule="auto"/>
        <w:ind w:firstLine="708"/>
        <w:jc w:val="both"/>
        <w:rPr>
          <w:rFonts w:ascii="Times New Roman" w:hAnsi="Times New Roman" w:cs="Times New Roman"/>
          <w:sz w:val="24"/>
          <w:szCs w:val="24"/>
        </w:rPr>
      </w:pPr>
      <w:r w:rsidRPr="008E134A">
        <w:rPr>
          <w:rFonts w:ascii="Times New Roman" w:hAnsi="Times New Roman" w:cs="Times New Roman"/>
          <w:sz w:val="24"/>
          <w:szCs w:val="24"/>
        </w:rPr>
        <w:t>Toutefois, dans les circonstances actuelles, mentionnons que les services offert par l’UQTR s’avèrent être dispendieux pour le foyer moyen. À titre d’exemple, mentionnons que «pour les activités [de formation continue en] groupe, le coût de la formation est variable en fonction du lieu de formation, de l'activité ciblée et de certains aspects logistiques. Il varie habituellement entre 1 600 $ et 4 100 $.</w:t>
      </w:r>
      <w:r w:rsidRPr="008E134A">
        <w:rPr>
          <w:rStyle w:val="Appelnotedebasdep"/>
          <w:rFonts w:ascii="Times New Roman" w:hAnsi="Times New Roman" w:cs="Times New Roman"/>
          <w:sz w:val="24"/>
          <w:szCs w:val="24"/>
        </w:rPr>
        <w:footnoteReference w:id="103"/>
      </w:r>
      <w:r w:rsidRPr="008E134A">
        <w:rPr>
          <w:rFonts w:ascii="Times New Roman" w:hAnsi="Times New Roman" w:cs="Times New Roman"/>
          <w:sz w:val="24"/>
          <w:szCs w:val="24"/>
        </w:rPr>
        <w:t xml:space="preserve">» Ainsi, nous suggérons qu’un projet de centre de services à la communauté </w:t>
      </w:r>
      <w:r w:rsidRPr="008E134A">
        <w:rPr>
          <w:rFonts w:ascii="Times New Roman" w:hAnsi="Times New Roman" w:cs="Times New Roman"/>
          <w:i/>
          <w:sz w:val="24"/>
          <w:szCs w:val="24"/>
        </w:rPr>
        <w:t xml:space="preserve">à prix modique </w:t>
      </w:r>
      <w:r w:rsidRPr="008E134A">
        <w:rPr>
          <w:rFonts w:ascii="Times New Roman" w:hAnsi="Times New Roman" w:cs="Times New Roman"/>
          <w:sz w:val="24"/>
          <w:szCs w:val="24"/>
        </w:rPr>
        <w:t xml:space="preserve">(CSCPM) puisse rassembler plusieurs services déjà existant à l’UQTR. Sous la supervision d’une équipe de gestion, ce centre pourrait alors rivaliser directement avec les organisations privées en proposant des services comparables à meilleurs prix tout en procurant des emplois aux étudiants de l’UQTR. </w:t>
      </w:r>
      <w:r w:rsidR="008E134A" w:rsidRPr="008E134A">
        <w:rPr>
          <w:rFonts w:ascii="Times New Roman" w:hAnsi="Times New Roman" w:cs="Times New Roman"/>
          <w:noProof/>
          <w:sz w:val="24"/>
          <w:szCs w:val="24"/>
          <w:lang w:eastAsia="fr-CA"/>
        </w:rPr>
        <w:drawing>
          <wp:inline distT="0" distB="0" distL="0" distR="0">
            <wp:extent cx="5524500" cy="4057650"/>
            <wp:effectExtent l="38100" t="0" r="76200" b="0"/>
            <wp:docPr id="17" name="Diagramme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rsidR="00DC3AF1" w:rsidRPr="008E134A" w:rsidRDefault="00DC3AF1" w:rsidP="008E134A">
      <w:pPr>
        <w:spacing w:line="360" w:lineRule="auto"/>
        <w:ind w:firstLine="708"/>
        <w:jc w:val="both"/>
        <w:rPr>
          <w:rFonts w:ascii="Times New Roman" w:hAnsi="Times New Roman" w:cs="Times New Roman"/>
          <w:sz w:val="24"/>
          <w:szCs w:val="24"/>
        </w:rPr>
      </w:pPr>
      <w:r w:rsidRPr="008E134A">
        <w:rPr>
          <w:rFonts w:ascii="Times New Roman" w:hAnsi="Times New Roman" w:cs="Times New Roman"/>
          <w:sz w:val="24"/>
          <w:szCs w:val="24"/>
        </w:rPr>
        <w:lastRenderedPageBreak/>
        <w:t>Par soucis de clarification, nous présentons l’image suivante qui permettra au lecteur d’apprécier les changements significatifs de structure qu’un CSCPM impliquerait. Notons qu’en vert, les trois piliers du CSCPM sont présentés. En rouge sont présentés ses produits «commercialisables».</w:t>
      </w:r>
    </w:p>
    <w:p w:rsidR="00DC3AF1" w:rsidRPr="008E134A" w:rsidRDefault="00DC3AF1" w:rsidP="00DC3AF1">
      <w:pPr>
        <w:spacing w:line="360" w:lineRule="auto"/>
        <w:jc w:val="both"/>
        <w:rPr>
          <w:rFonts w:ascii="Times New Roman" w:hAnsi="Times New Roman" w:cs="Times New Roman"/>
          <w:sz w:val="24"/>
          <w:szCs w:val="24"/>
        </w:rPr>
      </w:pPr>
      <w:r w:rsidRPr="008E134A">
        <w:rPr>
          <w:rFonts w:ascii="Times New Roman" w:hAnsi="Times New Roman" w:cs="Times New Roman"/>
          <w:sz w:val="24"/>
          <w:szCs w:val="24"/>
        </w:rPr>
        <w:t>Ce projet de commercialisation des services et de l’expertise de l’UQTR auprès des particuliers pourrait alors connaitre les développements présentés par le tableau de la page suivante.</w:t>
      </w:r>
    </w:p>
    <w:tbl>
      <w:tblPr>
        <w:tblStyle w:val="Grilledutableau"/>
        <w:tblW w:w="9903" w:type="dxa"/>
        <w:jc w:val="center"/>
        <w:tblLayout w:type="fixed"/>
        <w:tblLook w:val="04A0"/>
      </w:tblPr>
      <w:tblGrid>
        <w:gridCol w:w="1625"/>
        <w:gridCol w:w="2126"/>
        <w:gridCol w:w="4451"/>
        <w:gridCol w:w="1701"/>
      </w:tblGrid>
      <w:tr w:rsidR="00DC3AF1" w:rsidRPr="00D82B2F" w:rsidTr="00753ED9">
        <w:trPr>
          <w:jc w:val="center"/>
        </w:trPr>
        <w:tc>
          <w:tcPr>
            <w:tcW w:w="1625" w:type="dxa"/>
            <w:shd w:val="clear" w:color="auto" w:fill="00703C"/>
          </w:tcPr>
          <w:p w:rsidR="00DC3AF1" w:rsidRPr="00753ED9" w:rsidRDefault="00DC3AF1" w:rsidP="00A83EA8">
            <w:pPr>
              <w:jc w:val="both"/>
              <w:rPr>
                <w:rFonts w:ascii="Times New Roman" w:hAnsi="Times New Roman" w:cs="Times New Roman"/>
                <w:b/>
                <w:color w:val="FFFFFF" w:themeColor="background1"/>
              </w:rPr>
            </w:pPr>
          </w:p>
        </w:tc>
        <w:tc>
          <w:tcPr>
            <w:tcW w:w="2126" w:type="dxa"/>
            <w:shd w:val="clear" w:color="auto" w:fill="00703C"/>
            <w:vAlign w:val="center"/>
          </w:tcPr>
          <w:p w:rsidR="00DC3AF1" w:rsidRPr="00753ED9" w:rsidRDefault="00DC3AF1" w:rsidP="00DC3AF1">
            <w:pPr>
              <w:jc w:val="center"/>
              <w:rPr>
                <w:rFonts w:ascii="Times New Roman" w:hAnsi="Times New Roman" w:cs="Times New Roman"/>
                <w:b/>
                <w:color w:val="FFFFFF" w:themeColor="background1"/>
              </w:rPr>
            </w:pPr>
            <w:r w:rsidRPr="00753ED9">
              <w:rPr>
                <w:rFonts w:ascii="Times New Roman" w:hAnsi="Times New Roman" w:cs="Times New Roman"/>
                <w:b/>
                <w:color w:val="FFFFFF" w:themeColor="background1"/>
              </w:rPr>
              <w:t>Sous parties et services offerts et industrie visée</w:t>
            </w:r>
          </w:p>
        </w:tc>
        <w:tc>
          <w:tcPr>
            <w:tcW w:w="4451" w:type="dxa"/>
            <w:shd w:val="clear" w:color="auto" w:fill="00703C"/>
            <w:vAlign w:val="center"/>
          </w:tcPr>
          <w:p w:rsidR="00DC3AF1" w:rsidRPr="00753ED9" w:rsidRDefault="00DC3AF1" w:rsidP="00DC3AF1">
            <w:pPr>
              <w:jc w:val="center"/>
              <w:rPr>
                <w:rFonts w:ascii="Times New Roman" w:hAnsi="Times New Roman" w:cs="Times New Roman"/>
                <w:b/>
                <w:color w:val="FFFFFF" w:themeColor="background1"/>
              </w:rPr>
            </w:pPr>
            <w:r w:rsidRPr="00753ED9">
              <w:rPr>
                <w:rFonts w:ascii="Times New Roman" w:hAnsi="Times New Roman" w:cs="Times New Roman"/>
                <w:b/>
                <w:color w:val="FFFFFF" w:themeColor="background1"/>
              </w:rPr>
              <w:t>Type de développement possible</w:t>
            </w:r>
          </w:p>
        </w:tc>
        <w:tc>
          <w:tcPr>
            <w:tcW w:w="1701" w:type="dxa"/>
            <w:shd w:val="clear" w:color="auto" w:fill="00703C"/>
            <w:vAlign w:val="center"/>
          </w:tcPr>
          <w:p w:rsidR="00DC3AF1" w:rsidRPr="00753ED9" w:rsidRDefault="00DC3AF1" w:rsidP="00DC3AF1">
            <w:pPr>
              <w:jc w:val="center"/>
              <w:rPr>
                <w:rFonts w:ascii="Times New Roman" w:hAnsi="Times New Roman" w:cs="Times New Roman"/>
                <w:b/>
                <w:color w:val="FFFFFF" w:themeColor="background1"/>
              </w:rPr>
            </w:pPr>
            <w:r w:rsidRPr="00753ED9">
              <w:rPr>
                <w:rFonts w:ascii="Times New Roman" w:hAnsi="Times New Roman" w:cs="Times New Roman"/>
                <w:b/>
                <w:color w:val="FFFFFF" w:themeColor="background1"/>
              </w:rPr>
              <w:t>Compétiteurs</w:t>
            </w:r>
          </w:p>
        </w:tc>
      </w:tr>
      <w:tr w:rsidR="00DC3AF1" w:rsidRPr="00D82B2F" w:rsidTr="00753ED9">
        <w:trPr>
          <w:jc w:val="center"/>
        </w:trPr>
        <w:tc>
          <w:tcPr>
            <w:tcW w:w="1625" w:type="dxa"/>
            <w:shd w:val="clear" w:color="auto" w:fill="C4960C"/>
            <w:vAlign w:val="center"/>
          </w:tcPr>
          <w:p w:rsidR="00DC3AF1" w:rsidRPr="00DC3AF1" w:rsidRDefault="00DC3AF1" w:rsidP="00DC3AF1">
            <w:pPr>
              <w:jc w:val="center"/>
              <w:rPr>
                <w:rFonts w:ascii="Times New Roman" w:hAnsi="Times New Roman" w:cs="Times New Roman"/>
                <w:b/>
              </w:rPr>
            </w:pPr>
          </w:p>
          <w:p w:rsidR="00DC3AF1" w:rsidRPr="00DC3AF1" w:rsidRDefault="00DC3AF1" w:rsidP="00DC3AF1">
            <w:pPr>
              <w:jc w:val="center"/>
              <w:rPr>
                <w:rFonts w:ascii="Times New Roman" w:hAnsi="Times New Roman" w:cs="Times New Roman"/>
                <w:b/>
              </w:rPr>
            </w:pPr>
            <w:r w:rsidRPr="00DC3AF1">
              <w:rPr>
                <w:rFonts w:ascii="Times New Roman" w:hAnsi="Times New Roman" w:cs="Times New Roman"/>
                <w:b/>
              </w:rPr>
              <w:t>Vie culturelle, sociale et sportive</w:t>
            </w:r>
          </w:p>
        </w:tc>
        <w:tc>
          <w:tcPr>
            <w:tcW w:w="2126" w:type="dxa"/>
          </w:tcPr>
          <w:p w:rsidR="00DC3AF1" w:rsidRPr="00DC3AF1" w:rsidRDefault="00DC3AF1" w:rsidP="00540A65">
            <w:pPr>
              <w:pStyle w:val="Paragraphedeliste"/>
              <w:numPr>
                <w:ilvl w:val="0"/>
                <w:numId w:val="23"/>
              </w:numPr>
              <w:spacing w:after="200"/>
              <w:ind w:left="175" w:hanging="142"/>
              <w:rPr>
                <w:rFonts w:ascii="Times New Roman" w:hAnsi="Times New Roman" w:cs="Times New Roman"/>
              </w:rPr>
            </w:pPr>
            <w:r w:rsidRPr="00DC3AF1">
              <w:rPr>
                <w:rFonts w:ascii="Times New Roman" w:hAnsi="Times New Roman" w:cs="Times New Roman"/>
              </w:rPr>
              <w:t>Centre de l'activité physique et sportive (CAPS)</w:t>
            </w:r>
          </w:p>
          <w:p w:rsidR="00DC3AF1" w:rsidRPr="00DC3AF1" w:rsidRDefault="00DC3AF1" w:rsidP="00540A65">
            <w:pPr>
              <w:pStyle w:val="Paragraphedeliste"/>
              <w:numPr>
                <w:ilvl w:val="0"/>
                <w:numId w:val="23"/>
              </w:numPr>
              <w:spacing w:after="200"/>
              <w:ind w:left="175" w:hanging="142"/>
              <w:rPr>
                <w:rFonts w:ascii="Times New Roman" w:hAnsi="Times New Roman" w:cs="Times New Roman"/>
              </w:rPr>
            </w:pPr>
            <w:r w:rsidRPr="00DC3AF1">
              <w:rPr>
                <w:rFonts w:ascii="Times New Roman" w:hAnsi="Times New Roman" w:cs="Times New Roman"/>
              </w:rPr>
              <w:t>Industrie de l’activité physique.</w:t>
            </w:r>
          </w:p>
        </w:tc>
        <w:tc>
          <w:tcPr>
            <w:tcW w:w="4451" w:type="dxa"/>
          </w:tcPr>
          <w:p w:rsidR="00DC3AF1" w:rsidRPr="00D82B2F" w:rsidRDefault="00DC3AF1" w:rsidP="00DC3AF1">
            <w:pPr>
              <w:rPr>
                <w:rFonts w:ascii="Times New Roman" w:hAnsi="Times New Roman" w:cs="Times New Roman"/>
              </w:rPr>
            </w:pPr>
            <w:r w:rsidRPr="00D82B2F">
              <w:rPr>
                <w:rFonts w:ascii="Times New Roman" w:hAnsi="Times New Roman" w:cs="Times New Roman"/>
              </w:rPr>
              <w:t xml:space="preserve">Ouvrir de nouvelles succursales CAPS en Mauricie (par exemple </w:t>
            </w:r>
            <w:proofErr w:type="spellStart"/>
            <w:r w:rsidRPr="00D82B2F">
              <w:rPr>
                <w:rFonts w:ascii="Times New Roman" w:hAnsi="Times New Roman" w:cs="Times New Roman"/>
              </w:rPr>
              <w:t>Louiseville</w:t>
            </w:r>
            <w:proofErr w:type="spellEnd"/>
            <w:r w:rsidRPr="00D82B2F">
              <w:rPr>
                <w:rFonts w:ascii="Times New Roman" w:hAnsi="Times New Roman" w:cs="Times New Roman"/>
              </w:rPr>
              <w:t xml:space="preserve">, Shawinigan, </w:t>
            </w:r>
            <w:proofErr w:type="spellStart"/>
            <w:r w:rsidRPr="00D82B2F">
              <w:rPr>
                <w:rFonts w:ascii="Times New Roman" w:hAnsi="Times New Roman" w:cs="Times New Roman"/>
              </w:rPr>
              <w:t>Bécancour</w:t>
            </w:r>
            <w:proofErr w:type="spellEnd"/>
            <w:r w:rsidRPr="00D82B2F">
              <w:rPr>
                <w:rFonts w:ascii="Times New Roman" w:hAnsi="Times New Roman" w:cs="Times New Roman"/>
              </w:rPr>
              <w:t>) selon l’état du marché et y intégrer les étudiants gradués et en formation.</w:t>
            </w:r>
          </w:p>
        </w:tc>
        <w:tc>
          <w:tcPr>
            <w:tcW w:w="1701" w:type="dxa"/>
          </w:tcPr>
          <w:p w:rsidR="00DC3AF1" w:rsidRPr="00D82B2F" w:rsidRDefault="00DC3AF1" w:rsidP="00DC3AF1">
            <w:pPr>
              <w:rPr>
                <w:rFonts w:ascii="Times New Roman" w:hAnsi="Times New Roman" w:cs="Times New Roman"/>
              </w:rPr>
            </w:pPr>
            <w:r w:rsidRPr="00D82B2F">
              <w:rPr>
                <w:rFonts w:ascii="Times New Roman" w:hAnsi="Times New Roman" w:cs="Times New Roman"/>
              </w:rPr>
              <w:t>Tout centre sportif et d’entraînement de la Mauricie.</w:t>
            </w:r>
          </w:p>
        </w:tc>
      </w:tr>
      <w:tr w:rsidR="00DC3AF1" w:rsidRPr="00D82B2F" w:rsidTr="00753ED9">
        <w:trPr>
          <w:jc w:val="center"/>
        </w:trPr>
        <w:tc>
          <w:tcPr>
            <w:tcW w:w="1625" w:type="dxa"/>
            <w:shd w:val="clear" w:color="auto" w:fill="C4960C"/>
            <w:vAlign w:val="center"/>
          </w:tcPr>
          <w:p w:rsidR="00DC3AF1" w:rsidRPr="00DC3AF1" w:rsidRDefault="00DC3AF1" w:rsidP="00DC3AF1">
            <w:pPr>
              <w:spacing w:after="200"/>
              <w:jc w:val="center"/>
              <w:rPr>
                <w:rFonts w:ascii="Times New Roman" w:hAnsi="Times New Roman" w:cs="Times New Roman"/>
                <w:b/>
              </w:rPr>
            </w:pPr>
          </w:p>
          <w:p w:rsidR="00DC3AF1" w:rsidRPr="00DC3AF1" w:rsidRDefault="00DC3AF1" w:rsidP="00DC3AF1">
            <w:pPr>
              <w:spacing w:after="200"/>
              <w:jc w:val="center"/>
              <w:rPr>
                <w:rFonts w:ascii="Times New Roman" w:hAnsi="Times New Roman" w:cs="Times New Roman"/>
                <w:b/>
              </w:rPr>
            </w:pPr>
            <w:r w:rsidRPr="00DC3AF1">
              <w:rPr>
                <w:rFonts w:ascii="Times New Roman" w:hAnsi="Times New Roman" w:cs="Times New Roman"/>
                <w:b/>
              </w:rPr>
              <w:t>Cliniques de santé universitaires</w:t>
            </w:r>
          </w:p>
          <w:p w:rsidR="00DC3AF1" w:rsidRPr="00DC3AF1" w:rsidRDefault="00DC3AF1" w:rsidP="00DC3AF1">
            <w:pPr>
              <w:jc w:val="center"/>
              <w:rPr>
                <w:rFonts w:ascii="Times New Roman" w:hAnsi="Times New Roman" w:cs="Times New Roman"/>
                <w:b/>
              </w:rPr>
            </w:pPr>
          </w:p>
        </w:tc>
        <w:tc>
          <w:tcPr>
            <w:tcW w:w="2126" w:type="dxa"/>
            <w:shd w:val="clear" w:color="auto" w:fill="auto"/>
          </w:tcPr>
          <w:p w:rsidR="00DC3AF1" w:rsidRPr="00DC3AF1" w:rsidRDefault="00DC3AF1" w:rsidP="00540A65">
            <w:pPr>
              <w:pStyle w:val="Paragraphedeliste"/>
              <w:numPr>
                <w:ilvl w:val="0"/>
                <w:numId w:val="23"/>
              </w:numPr>
              <w:spacing w:after="200"/>
              <w:ind w:left="175" w:hanging="175"/>
              <w:rPr>
                <w:rFonts w:ascii="Times New Roman" w:hAnsi="Times New Roman" w:cs="Times New Roman"/>
              </w:rPr>
            </w:pPr>
            <w:r w:rsidRPr="00DC3AF1">
              <w:rPr>
                <w:rFonts w:ascii="Times New Roman" w:hAnsi="Times New Roman" w:cs="Times New Roman"/>
              </w:rPr>
              <w:t>Ensemble des cliniques de santé de l’UQTR.</w:t>
            </w:r>
          </w:p>
          <w:p w:rsidR="00DC3AF1" w:rsidRPr="00DC3AF1" w:rsidRDefault="00DC3AF1" w:rsidP="00540A65">
            <w:pPr>
              <w:pStyle w:val="Paragraphedeliste"/>
              <w:numPr>
                <w:ilvl w:val="0"/>
                <w:numId w:val="23"/>
              </w:numPr>
              <w:spacing w:after="200"/>
              <w:ind w:left="175" w:hanging="175"/>
              <w:rPr>
                <w:rFonts w:ascii="Times New Roman" w:hAnsi="Times New Roman" w:cs="Times New Roman"/>
              </w:rPr>
            </w:pPr>
            <w:r w:rsidRPr="00DC3AF1">
              <w:rPr>
                <w:rFonts w:ascii="Times New Roman" w:hAnsi="Times New Roman" w:cs="Times New Roman"/>
              </w:rPr>
              <w:t>Industrie des services de santé à la population.</w:t>
            </w:r>
          </w:p>
        </w:tc>
        <w:tc>
          <w:tcPr>
            <w:tcW w:w="4451" w:type="dxa"/>
          </w:tcPr>
          <w:p w:rsidR="00DC3AF1" w:rsidRPr="00D82B2F" w:rsidRDefault="00DC3AF1" w:rsidP="00DC3AF1">
            <w:pPr>
              <w:rPr>
                <w:rFonts w:ascii="Times New Roman" w:hAnsi="Times New Roman" w:cs="Times New Roman"/>
              </w:rPr>
            </w:pPr>
            <w:r w:rsidRPr="00D82B2F">
              <w:rPr>
                <w:rFonts w:ascii="Times New Roman" w:hAnsi="Times New Roman" w:cs="Times New Roman"/>
              </w:rPr>
              <w:t>Développer l’ampleur des services à la communauté en ouvrant des centres de services santé en Mauricie.</w:t>
            </w:r>
          </w:p>
        </w:tc>
        <w:tc>
          <w:tcPr>
            <w:tcW w:w="1701" w:type="dxa"/>
          </w:tcPr>
          <w:p w:rsidR="00DC3AF1" w:rsidRPr="00D82B2F" w:rsidRDefault="00DC3AF1" w:rsidP="00DC3AF1">
            <w:pPr>
              <w:rPr>
                <w:rFonts w:ascii="Times New Roman" w:hAnsi="Times New Roman" w:cs="Times New Roman"/>
              </w:rPr>
            </w:pPr>
            <w:r w:rsidRPr="00D82B2F">
              <w:rPr>
                <w:rFonts w:ascii="Times New Roman" w:hAnsi="Times New Roman" w:cs="Times New Roman"/>
              </w:rPr>
              <w:t>CSSS et GMA de la Mauricie.</w:t>
            </w:r>
          </w:p>
        </w:tc>
      </w:tr>
      <w:tr w:rsidR="00DC3AF1" w:rsidRPr="00D82B2F" w:rsidTr="00753ED9">
        <w:trPr>
          <w:jc w:val="center"/>
        </w:trPr>
        <w:tc>
          <w:tcPr>
            <w:tcW w:w="1625" w:type="dxa"/>
            <w:vMerge w:val="restart"/>
            <w:shd w:val="clear" w:color="auto" w:fill="C4960C"/>
            <w:vAlign w:val="center"/>
          </w:tcPr>
          <w:p w:rsidR="00DC3AF1" w:rsidRPr="00DC3AF1" w:rsidRDefault="00DC3AF1" w:rsidP="00DC3AF1">
            <w:pPr>
              <w:jc w:val="center"/>
              <w:rPr>
                <w:rFonts w:ascii="Times New Roman" w:hAnsi="Times New Roman" w:cs="Times New Roman"/>
                <w:b/>
              </w:rPr>
            </w:pPr>
            <w:r w:rsidRPr="00DC3AF1">
              <w:rPr>
                <w:rFonts w:ascii="Times New Roman" w:hAnsi="Times New Roman" w:cs="Times New Roman"/>
                <w:b/>
              </w:rPr>
              <w:t>Services et unités en lien avec l'UQTR</w:t>
            </w:r>
          </w:p>
        </w:tc>
        <w:tc>
          <w:tcPr>
            <w:tcW w:w="2126" w:type="dxa"/>
          </w:tcPr>
          <w:p w:rsidR="00DC3AF1" w:rsidRPr="00DC3AF1" w:rsidRDefault="00DC3AF1" w:rsidP="00540A65">
            <w:pPr>
              <w:pStyle w:val="Paragraphedeliste"/>
              <w:numPr>
                <w:ilvl w:val="0"/>
                <w:numId w:val="23"/>
              </w:numPr>
              <w:spacing w:after="200"/>
              <w:ind w:left="175" w:hanging="142"/>
              <w:rPr>
                <w:rFonts w:ascii="Times New Roman" w:hAnsi="Times New Roman" w:cs="Times New Roman"/>
              </w:rPr>
            </w:pPr>
            <w:r w:rsidRPr="00DC3AF1">
              <w:rPr>
                <w:rFonts w:ascii="Times New Roman" w:hAnsi="Times New Roman" w:cs="Times New Roman"/>
              </w:rPr>
              <w:t>Orientation scolaire et professionnelle</w:t>
            </w:r>
          </w:p>
          <w:p w:rsidR="00DC3AF1" w:rsidRPr="00DC3AF1" w:rsidRDefault="00DC3AF1" w:rsidP="00540A65">
            <w:pPr>
              <w:pStyle w:val="Paragraphedeliste"/>
              <w:numPr>
                <w:ilvl w:val="0"/>
                <w:numId w:val="23"/>
              </w:numPr>
              <w:spacing w:after="200"/>
              <w:ind w:left="175" w:hanging="142"/>
              <w:rPr>
                <w:rFonts w:ascii="Times New Roman" w:hAnsi="Times New Roman" w:cs="Times New Roman"/>
              </w:rPr>
            </w:pPr>
            <w:r w:rsidRPr="00DC3AF1">
              <w:rPr>
                <w:rFonts w:ascii="Times New Roman" w:hAnsi="Times New Roman" w:cs="Times New Roman"/>
              </w:rPr>
              <w:t>Industrie des services d’orientation professionnels.</w:t>
            </w:r>
          </w:p>
        </w:tc>
        <w:tc>
          <w:tcPr>
            <w:tcW w:w="4451" w:type="dxa"/>
          </w:tcPr>
          <w:p w:rsidR="00DC3AF1" w:rsidRPr="00D82B2F" w:rsidRDefault="00DC3AF1" w:rsidP="00DC3AF1">
            <w:pPr>
              <w:rPr>
                <w:rFonts w:ascii="Times New Roman" w:hAnsi="Times New Roman" w:cs="Times New Roman"/>
              </w:rPr>
            </w:pPr>
            <w:r w:rsidRPr="00D82B2F">
              <w:rPr>
                <w:rFonts w:ascii="Times New Roman" w:hAnsi="Times New Roman" w:cs="Times New Roman"/>
              </w:rPr>
              <w:t>Ouvrir au grand public en offrant des sessions de groupe.</w:t>
            </w:r>
          </w:p>
        </w:tc>
        <w:tc>
          <w:tcPr>
            <w:tcW w:w="1701" w:type="dxa"/>
          </w:tcPr>
          <w:p w:rsidR="00DC3AF1" w:rsidRPr="00D82B2F" w:rsidRDefault="00DC3AF1" w:rsidP="00DC3AF1">
            <w:pPr>
              <w:rPr>
                <w:rFonts w:ascii="Times New Roman" w:hAnsi="Times New Roman" w:cs="Times New Roman"/>
              </w:rPr>
            </w:pPr>
            <w:r w:rsidRPr="00D82B2F">
              <w:rPr>
                <w:rFonts w:ascii="Times New Roman" w:hAnsi="Times New Roman" w:cs="Times New Roman"/>
              </w:rPr>
              <w:t>OSBL (par exemple Sprint, Carrefour jeunesse emploi)</w:t>
            </w:r>
          </w:p>
        </w:tc>
      </w:tr>
      <w:tr w:rsidR="00DC3AF1" w:rsidRPr="00D82B2F" w:rsidTr="00753ED9">
        <w:trPr>
          <w:jc w:val="center"/>
        </w:trPr>
        <w:tc>
          <w:tcPr>
            <w:tcW w:w="1625" w:type="dxa"/>
            <w:vMerge/>
            <w:shd w:val="clear" w:color="auto" w:fill="C4960C"/>
          </w:tcPr>
          <w:p w:rsidR="00DC3AF1" w:rsidRPr="00D82B2F" w:rsidRDefault="00DC3AF1" w:rsidP="00A83EA8">
            <w:pPr>
              <w:ind w:left="708"/>
              <w:jc w:val="both"/>
              <w:rPr>
                <w:rFonts w:ascii="Times New Roman" w:hAnsi="Times New Roman" w:cs="Times New Roman"/>
              </w:rPr>
            </w:pPr>
          </w:p>
        </w:tc>
        <w:tc>
          <w:tcPr>
            <w:tcW w:w="2126" w:type="dxa"/>
          </w:tcPr>
          <w:p w:rsidR="00DC3AF1" w:rsidRPr="00DC3AF1" w:rsidRDefault="00DC3AF1" w:rsidP="00540A65">
            <w:pPr>
              <w:pStyle w:val="Paragraphedeliste"/>
              <w:numPr>
                <w:ilvl w:val="0"/>
                <w:numId w:val="23"/>
              </w:numPr>
              <w:spacing w:after="200"/>
              <w:ind w:left="175" w:hanging="142"/>
              <w:rPr>
                <w:rFonts w:ascii="Times New Roman" w:hAnsi="Times New Roman" w:cs="Times New Roman"/>
              </w:rPr>
            </w:pPr>
            <w:r w:rsidRPr="00DC3AF1">
              <w:rPr>
                <w:rFonts w:ascii="Times New Roman" w:hAnsi="Times New Roman" w:cs="Times New Roman"/>
              </w:rPr>
              <w:t>Service d'aide aux devoirs pour élèves du primaire et secondaire</w:t>
            </w:r>
          </w:p>
          <w:p w:rsidR="00DC3AF1" w:rsidRPr="00DC3AF1" w:rsidRDefault="00DC3AF1" w:rsidP="00540A65">
            <w:pPr>
              <w:pStyle w:val="Paragraphedeliste"/>
              <w:numPr>
                <w:ilvl w:val="0"/>
                <w:numId w:val="23"/>
              </w:numPr>
              <w:spacing w:after="200"/>
              <w:ind w:left="175" w:hanging="142"/>
              <w:rPr>
                <w:rFonts w:ascii="Times New Roman" w:hAnsi="Times New Roman" w:cs="Times New Roman"/>
              </w:rPr>
            </w:pPr>
            <w:r w:rsidRPr="00DC3AF1">
              <w:rPr>
                <w:rFonts w:ascii="Times New Roman" w:hAnsi="Times New Roman" w:cs="Times New Roman"/>
              </w:rPr>
              <w:t>Industrie de l’éducation scolaire.</w:t>
            </w:r>
          </w:p>
        </w:tc>
        <w:tc>
          <w:tcPr>
            <w:tcW w:w="4451" w:type="dxa"/>
          </w:tcPr>
          <w:p w:rsidR="00DC3AF1" w:rsidRPr="00D82B2F" w:rsidRDefault="00DC3AF1" w:rsidP="00DC3AF1">
            <w:pPr>
              <w:rPr>
                <w:rFonts w:ascii="Times New Roman" w:hAnsi="Times New Roman" w:cs="Times New Roman"/>
              </w:rPr>
            </w:pPr>
            <w:r w:rsidRPr="00D82B2F">
              <w:rPr>
                <w:rFonts w:ascii="Times New Roman" w:hAnsi="Times New Roman" w:cs="Times New Roman"/>
              </w:rPr>
              <w:t>Ouvrir au grand public en offrant des services d’aide aux devoirs à domicile ou à l’UQTR par les étudiants en enseignement au primaire, secondaire et adaptation scolaire. Adopter la même approche que pour le mentorat académique offert aux étudiants de l’UQTR</w:t>
            </w:r>
            <w:r w:rsidRPr="00D82B2F">
              <w:rPr>
                <w:rStyle w:val="Appelnotedebasdep"/>
                <w:rFonts w:cs="Times New Roman"/>
              </w:rPr>
              <w:footnoteReference w:id="104"/>
            </w:r>
            <w:r w:rsidRPr="00D82B2F">
              <w:rPr>
                <w:rFonts w:ascii="Times New Roman" w:hAnsi="Times New Roman" w:cs="Times New Roman"/>
              </w:rPr>
              <w:t>.</w:t>
            </w:r>
          </w:p>
        </w:tc>
        <w:tc>
          <w:tcPr>
            <w:tcW w:w="1701" w:type="dxa"/>
          </w:tcPr>
          <w:p w:rsidR="00DC3AF1" w:rsidRPr="00D82B2F" w:rsidRDefault="00DC3AF1" w:rsidP="00DC3AF1">
            <w:pPr>
              <w:rPr>
                <w:rFonts w:ascii="Times New Roman" w:hAnsi="Times New Roman" w:cs="Times New Roman"/>
              </w:rPr>
            </w:pPr>
            <w:r w:rsidRPr="00D82B2F">
              <w:rPr>
                <w:rFonts w:ascii="Times New Roman" w:hAnsi="Times New Roman" w:cs="Times New Roman"/>
              </w:rPr>
              <w:t>Particuliers offrant des services d’aide aux devoirs.</w:t>
            </w:r>
          </w:p>
        </w:tc>
      </w:tr>
    </w:tbl>
    <w:p w:rsidR="00DC3AF1" w:rsidRDefault="00DC3AF1" w:rsidP="00DC3AF1">
      <w:pPr>
        <w:spacing w:after="200" w:line="360" w:lineRule="auto"/>
        <w:jc w:val="both"/>
        <w:rPr>
          <w:rFonts w:ascii="Times New Roman" w:hAnsi="Times New Roman" w:cs="Times New Roman"/>
        </w:rPr>
      </w:pPr>
    </w:p>
    <w:p w:rsidR="008E134A" w:rsidRDefault="008E134A">
      <w:pPr>
        <w:rPr>
          <w:rFonts w:ascii="Times New Roman" w:hAnsi="Times New Roman" w:cs="Times New Roman"/>
          <w:b/>
          <w:sz w:val="24"/>
          <w:szCs w:val="24"/>
        </w:rPr>
      </w:pPr>
    </w:p>
    <w:p w:rsidR="00DC3AF1" w:rsidRPr="008E134A" w:rsidRDefault="00DC3AF1" w:rsidP="00540A65">
      <w:pPr>
        <w:pStyle w:val="Paragraphedeliste"/>
        <w:numPr>
          <w:ilvl w:val="0"/>
          <w:numId w:val="24"/>
        </w:numPr>
        <w:spacing w:after="200" w:line="360" w:lineRule="auto"/>
        <w:jc w:val="both"/>
        <w:rPr>
          <w:rFonts w:ascii="Times New Roman" w:hAnsi="Times New Roman" w:cs="Times New Roman"/>
          <w:b/>
          <w:sz w:val="24"/>
          <w:szCs w:val="24"/>
        </w:rPr>
      </w:pPr>
      <w:r w:rsidRPr="008E134A">
        <w:rPr>
          <w:rFonts w:ascii="Times New Roman" w:hAnsi="Times New Roman" w:cs="Times New Roman"/>
          <w:b/>
          <w:sz w:val="24"/>
          <w:szCs w:val="24"/>
        </w:rPr>
        <w:lastRenderedPageBreak/>
        <w:t>Développer les bureaux de sélection de l’École internationale de français (ÉIF) afin de favoriser la venue d’étudiants internationaux à l’UQTR, pour la poursuite d’études universitaires en français.</w:t>
      </w:r>
    </w:p>
    <w:p w:rsidR="00DC3AF1" w:rsidRPr="008E134A" w:rsidRDefault="00DC3AF1" w:rsidP="00DC3AF1">
      <w:pPr>
        <w:spacing w:line="360" w:lineRule="auto"/>
        <w:ind w:firstLine="708"/>
        <w:jc w:val="both"/>
        <w:rPr>
          <w:rFonts w:ascii="Times New Roman" w:hAnsi="Times New Roman" w:cs="Times New Roman"/>
          <w:sz w:val="24"/>
          <w:szCs w:val="24"/>
        </w:rPr>
      </w:pPr>
      <w:r w:rsidRPr="008E134A">
        <w:rPr>
          <w:rFonts w:ascii="Times New Roman" w:hAnsi="Times New Roman" w:cs="Times New Roman"/>
          <w:sz w:val="24"/>
          <w:szCs w:val="24"/>
        </w:rPr>
        <w:t>En favorisant l’accessibilité à la formation universitaire aux étudiants internationaux, l’intégration de ceux-ci en sol québécois est favorisée, ce qui bénéficie au développement des régions du Québec tout en rehaussant la population universitaire de l’UQTR. L’université peut donc compter sur deux outils pour augmenter sa population étudiante, soit le recrutement intra-provincial et international. Par cette stratégie, l’UQTR multiplie son bassin potentiel d’étudiants. Il va de soi que nous recommandons qu’une telle stratégie soit maximisée en Chine, mais également initiée envers des pays stratégiques, comme le Brésil, la Russie, l’Inde et l’Afrique dans son ensemble</w:t>
      </w:r>
      <w:r w:rsidRPr="008E134A">
        <w:rPr>
          <w:rStyle w:val="Appelnotedebasdep"/>
          <w:rFonts w:ascii="Times New Roman" w:hAnsi="Times New Roman" w:cs="Times New Roman"/>
          <w:sz w:val="24"/>
          <w:szCs w:val="24"/>
        </w:rPr>
        <w:footnoteReference w:id="105"/>
      </w:r>
      <w:r w:rsidRPr="008E134A">
        <w:rPr>
          <w:rFonts w:ascii="Times New Roman" w:hAnsi="Times New Roman" w:cs="Times New Roman"/>
          <w:sz w:val="24"/>
          <w:szCs w:val="24"/>
        </w:rPr>
        <w:t>.</w:t>
      </w:r>
    </w:p>
    <w:p w:rsidR="00DC3AF1" w:rsidRPr="008E134A" w:rsidRDefault="00DC3AF1" w:rsidP="00DC3AF1">
      <w:pPr>
        <w:spacing w:line="360" w:lineRule="auto"/>
        <w:jc w:val="both"/>
        <w:rPr>
          <w:rFonts w:ascii="Times New Roman" w:hAnsi="Times New Roman" w:cs="Times New Roman"/>
          <w:b/>
          <w:sz w:val="24"/>
          <w:szCs w:val="24"/>
        </w:rPr>
      </w:pPr>
    </w:p>
    <w:p w:rsidR="00DC3AF1" w:rsidRPr="008E134A" w:rsidRDefault="00DC3AF1" w:rsidP="00540A65">
      <w:pPr>
        <w:pStyle w:val="Paragraphedeliste"/>
        <w:numPr>
          <w:ilvl w:val="0"/>
          <w:numId w:val="24"/>
        </w:numPr>
        <w:spacing w:line="360" w:lineRule="auto"/>
        <w:jc w:val="both"/>
        <w:rPr>
          <w:rFonts w:ascii="Times New Roman" w:hAnsi="Times New Roman" w:cs="Times New Roman"/>
          <w:b/>
          <w:sz w:val="24"/>
          <w:szCs w:val="24"/>
        </w:rPr>
      </w:pPr>
      <w:r w:rsidRPr="008E134A">
        <w:rPr>
          <w:rFonts w:ascii="Times New Roman" w:hAnsi="Times New Roman" w:cs="Times New Roman"/>
          <w:b/>
          <w:sz w:val="24"/>
          <w:szCs w:val="24"/>
        </w:rPr>
        <w:t>Favoriser l’implantation des technologies éducatives au sein de l’UQTR</w:t>
      </w:r>
    </w:p>
    <w:p w:rsidR="00DC3AF1" w:rsidRPr="008E134A" w:rsidRDefault="00DC3AF1" w:rsidP="00DC3AF1">
      <w:pPr>
        <w:spacing w:line="360" w:lineRule="auto"/>
        <w:ind w:firstLine="708"/>
        <w:jc w:val="both"/>
        <w:rPr>
          <w:rFonts w:ascii="Times New Roman" w:hAnsi="Times New Roman" w:cs="Times New Roman"/>
          <w:sz w:val="24"/>
          <w:szCs w:val="24"/>
        </w:rPr>
      </w:pPr>
      <w:r w:rsidRPr="008E134A">
        <w:rPr>
          <w:rFonts w:ascii="Times New Roman" w:hAnsi="Times New Roman" w:cs="Times New Roman"/>
          <w:sz w:val="24"/>
          <w:szCs w:val="24"/>
        </w:rPr>
        <w:t>Afin de suivre les nouvelles tendances dans l’éducation, l’UQTR devrait miser davantage sur les nouvelles technologies. En effet, nous croyons que le fait d’offrir plus de cours en lignes et de meilleures qualités permettrait de mieux rejoindre la clientèle qui est de plus en plus mobile. Aussi, l’utilisation de tableaux interactifs pourrait permettre de susciter plus d’intérêt pour ceux qui choisissent d’assister aux cours magistraux traditionnels. Par le fait même, l’enregistrement vidéo des cours offerts à l’école pourrait permettre aux étudiants de pouvoirs consulter ultérieurement la matière enseignée en classe, comme il se fait dans d’autres universités. Concrètement, étant donné que les étudiants travaillent de plus en plus, faire en sorte qu’ils aient au moins un ou deux cours en ligne par session augmenterait certainement leur satisfaction et attirerait plus d’étudiants sur la liste d’inscriptions.</w:t>
      </w:r>
    </w:p>
    <w:p w:rsidR="00DC3AF1" w:rsidRPr="008E134A" w:rsidRDefault="00DC3AF1" w:rsidP="00DC3AF1">
      <w:pPr>
        <w:spacing w:line="360" w:lineRule="auto"/>
        <w:jc w:val="both"/>
        <w:rPr>
          <w:rFonts w:ascii="Times New Roman" w:hAnsi="Times New Roman" w:cs="Times New Roman"/>
          <w:sz w:val="24"/>
          <w:szCs w:val="24"/>
        </w:rPr>
      </w:pPr>
    </w:p>
    <w:p w:rsidR="008E134A" w:rsidRDefault="008E134A" w:rsidP="00DC3AF1">
      <w:pPr>
        <w:spacing w:after="200" w:line="360" w:lineRule="auto"/>
        <w:jc w:val="both"/>
        <w:rPr>
          <w:rFonts w:ascii="Times New Roman" w:hAnsi="Times New Roman" w:cs="Times New Roman"/>
          <w:b/>
          <w:sz w:val="24"/>
          <w:szCs w:val="24"/>
        </w:rPr>
      </w:pPr>
    </w:p>
    <w:p w:rsidR="008E134A" w:rsidRDefault="008E134A" w:rsidP="00DC3AF1">
      <w:pPr>
        <w:spacing w:after="200" w:line="360" w:lineRule="auto"/>
        <w:jc w:val="both"/>
        <w:rPr>
          <w:rFonts w:ascii="Times New Roman" w:hAnsi="Times New Roman" w:cs="Times New Roman"/>
          <w:b/>
          <w:sz w:val="24"/>
          <w:szCs w:val="24"/>
        </w:rPr>
      </w:pPr>
    </w:p>
    <w:p w:rsidR="00DC3AF1" w:rsidRPr="008E134A" w:rsidRDefault="00DC3AF1" w:rsidP="00540A65">
      <w:pPr>
        <w:pStyle w:val="Paragraphedeliste"/>
        <w:numPr>
          <w:ilvl w:val="0"/>
          <w:numId w:val="24"/>
        </w:numPr>
        <w:spacing w:after="200" w:line="360" w:lineRule="auto"/>
        <w:jc w:val="both"/>
        <w:rPr>
          <w:rFonts w:ascii="Times New Roman" w:hAnsi="Times New Roman" w:cs="Times New Roman"/>
          <w:b/>
          <w:sz w:val="24"/>
          <w:szCs w:val="24"/>
        </w:rPr>
      </w:pPr>
      <w:r w:rsidRPr="008E134A">
        <w:rPr>
          <w:rFonts w:ascii="Times New Roman" w:hAnsi="Times New Roman" w:cs="Times New Roman"/>
          <w:b/>
          <w:sz w:val="24"/>
          <w:szCs w:val="24"/>
        </w:rPr>
        <w:lastRenderedPageBreak/>
        <w:t>Améliorer la visibilité et la promotion de l’UQTR</w:t>
      </w:r>
    </w:p>
    <w:p w:rsidR="00DC3AF1" w:rsidRPr="008E134A" w:rsidRDefault="00DC3AF1" w:rsidP="00DC3AF1">
      <w:pPr>
        <w:spacing w:after="200" w:line="360" w:lineRule="auto"/>
        <w:ind w:firstLine="708"/>
        <w:jc w:val="both"/>
        <w:rPr>
          <w:rFonts w:ascii="Times New Roman" w:hAnsi="Times New Roman" w:cs="Times New Roman"/>
          <w:sz w:val="24"/>
          <w:szCs w:val="24"/>
        </w:rPr>
      </w:pPr>
      <w:r w:rsidRPr="008E134A">
        <w:rPr>
          <w:rFonts w:ascii="Times New Roman" w:hAnsi="Times New Roman" w:cs="Times New Roman"/>
          <w:sz w:val="24"/>
          <w:szCs w:val="24"/>
        </w:rPr>
        <w:t>À notre avis, l’UQTR se doit aussi de promouvoir au maximum la nouvelle école des sciences de la gestion. Sans quoi, l’École risque d’être moins reconnue, car peu visible. Augmenter sa visibilité ne peut qu’accroître l’intérêt des étudiants à venir y étudier, puis accroître l’intérêt des professeurs étranger et renommés à y travailler. Dans le même ordre d’idées, nous croyons que mettre plus d’accent sur le marketing entourant la marque «UQTR» pourrait permettre d’attirer plus d’étudiants. Manifestement, offrir plusieurs produits dérivés aux couleurs de l’UQTR pourrait rendre celle-ci plus visible, donc plus attrayante aux yeux de certains étudiants et apporter une visibilité à l’extérieur de la région.</w:t>
      </w:r>
    </w:p>
    <w:p w:rsidR="00DC3AF1" w:rsidRPr="008E134A" w:rsidRDefault="00DC3AF1" w:rsidP="00540A65">
      <w:pPr>
        <w:pStyle w:val="Paragraphedeliste"/>
        <w:numPr>
          <w:ilvl w:val="0"/>
          <w:numId w:val="24"/>
        </w:numPr>
        <w:spacing w:after="200" w:line="360" w:lineRule="auto"/>
        <w:jc w:val="both"/>
        <w:rPr>
          <w:rFonts w:ascii="Times New Roman" w:hAnsi="Times New Roman" w:cs="Times New Roman"/>
          <w:b/>
          <w:sz w:val="24"/>
          <w:szCs w:val="24"/>
        </w:rPr>
      </w:pPr>
      <w:r w:rsidRPr="008E134A">
        <w:rPr>
          <w:rFonts w:ascii="Times New Roman" w:hAnsi="Times New Roman" w:cs="Times New Roman"/>
          <w:b/>
          <w:sz w:val="24"/>
          <w:szCs w:val="24"/>
        </w:rPr>
        <w:t>Favoriser l’impact régional de l’UQTR</w:t>
      </w:r>
    </w:p>
    <w:p w:rsidR="00DC3AF1" w:rsidRPr="008E134A" w:rsidRDefault="00DC3AF1" w:rsidP="00DC3AF1">
      <w:pPr>
        <w:spacing w:after="200" w:line="360" w:lineRule="auto"/>
        <w:ind w:firstLine="708"/>
        <w:jc w:val="both"/>
        <w:rPr>
          <w:rFonts w:ascii="Times New Roman" w:hAnsi="Times New Roman" w:cs="Times New Roman"/>
          <w:sz w:val="24"/>
          <w:szCs w:val="24"/>
        </w:rPr>
      </w:pPr>
      <w:r w:rsidRPr="008E134A">
        <w:rPr>
          <w:rFonts w:ascii="Times New Roman" w:hAnsi="Times New Roman" w:cs="Times New Roman"/>
          <w:sz w:val="24"/>
          <w:szCs w:val="24"/>
        </w:rPr>
        <w:t xml:space="preserve">Dans l’optique de faire progresser économiquement la région de Trois-Rivières, il serait intéressant que l’UQTR mette plus à profit les compétences qui lui sont propres. Certaines recherches effectuées par les différentes chaires et instituts de recherche pourraient donc être consacrées à des moyens d’améliorer directement ou indirectement les perspectives d’emplois à Trois-Rivières comme le fait déjà le </w:t>
      </w:r>
      <w:r w:rsidRPr="008E134A">
        <w:rPr>
          <w:rFonts w:ascii="Times New Roman" w:hAnsi="Times New Roman" w:cs="Times New Roman"/>
          <w:i/>
          <w:sz w:val="24"/>
          <w:szCs w:val="24"/>
        </w:rPr>
        <w:t xml:space="preserve">Centre de recherche sur les matériaux </w:t>
      </w:r>
      <w:proofErr w:type="spellStart"/>
      <w:r w:rsidRPr="008E134A">
        <w:rPr>
          <w:rFonts w:ascii="Times New Roman" w:hAnsi="Times New Roman" w:cs="Times New Roman"/>
          <w:i/>
          <w:sz w:val="24"/>
          <w:szCs w:val="24"/>
        </w:rPr>
        <w:t>lignocellulolistiques</w:t>
      </w:r>
      <w:proofErr w:type="spellEnd"/>
      <w:r w:rsidRPr="008E134A">
        <w:rPr>
          <w:rFonts w:ascii="Times New Roman" w:hAnsi="Times New Roman" w:cs="Times New Roman"/>
          <w:sz w:val="24"/>
          <w:szCs w:val="24"/>
        </w:rPr>
        <w:t xml:space="preserve"> en exécutant des recherches sur les pâtes et papiers, une industrie névralgique à Trois-Rivières. </w:t>
      </w:r>
    </w:p>
    <w:p w:rsidR="00DC3AF1" w:rsidRPr="008E134A" w:rsidRDefault="00DC3AF1" w:rsidP="00DC3AF1">
      <w:pPr>
        <w:spacing w:line="360" w:lineRule="auto"/>
        <w:ind w:firstLine="708"/>
        <w:jc w:val="both"/>
        <w:rPr>
          <w:rFonts w:ascii="Times New Roman" w:hAnsi="Times New Roman" w:cs="Times New Roman"/>
          <w:sz w:val="24"/>
          <w:szCs w:val="24"/>
        </w:rPr>
      </w:pPr>
      <w:r w:rsidRPr="008E134A">
        <w:rPr>
          <w:rFonts w:ascii="Times New Roman" w:hAnsi="Times New Roman" w:cs="Times New Roman"/>
          <w:sz w:val="24"/>
          <w:szCs w:val="24"/>
        </w:rPr>
        <w:t xml:space="preserve">De plus, le partenariat est une valeur importante pour l’UQTR. Elle tente par des projets, telles les PICOM, de travailler de concert avec la communauté régionale. L’emphase sur les projets de partenariat avec des entreprises ou des activités de la Mauricie pourrait être  mise de l’avant. Par exemple, les PICOM pourraient être promu davantage auprès de la population étudiante. Non seulement les étudiants pourraient mettre en pratique leur apprentissage, mais ils pourraient participer et même améliorer la vie régionale. Afficher les couleurs de l’université dans la ville ou la faire participer </w:t>
      </w:r>
      <w:r w:rsidR="00AC55AF">
        <w:rPr>
          <w:rFonts w:ascii="Times New Roman" w:hAnsi="Times New Roman" w:cs="Times New Roman"/>
          <w:sz w:val="24"/>
          <w:szCs w:val="24"/>
        </w:rPr>
        <w:t xml:space="preserve">de manière plus prononcée </w:t>
      </w:r>
      <w:r w:rsidRPr="008E134A">
        <w:rPr>
          <w:rFonts w:ascii="Times New Roman" w:hAnsi="Times New Roman" w:cs="Times New Roman"/>
          <w:sz w:val="24"/>
          <w:szCs w:val="24"/>
        </w:rPr>
        <w:t xml:space="preserve">à des évènements tels le </w:t>
      </w:r>
      <w:proofErr w:type="spellStart"/>
      <w:r w:rsidRPr="008E134A">
        <w:rPr>
          <w:rFonts w:ascii="Times New Roman" w:hAnsi="Times New Roman" w:cs="Times New Roman"/>
          <w:sz w:val="24"/>
          <w:szCs w:val="24"/>
        </w:rPr>
        <w:t>Festivoix</w:t>
      </w:r>
      <w:proofErr w:type="spellEnd"/>
      <w:r w:rsidRPr="008E134A">
        <w:rPr>
          <w:rFonts w:ascii="Times New Roman" w:hAnsi="Times New Roman" w:cs="Times New Roman"/>
          <w:sz w:val="24"/>
          <w:szCs w:val="24"/>
        </w:rPr>
        <w:t xml:space="preserve"> ou le GP3R, pourrait être notamment un bon moyen de fusionner la connaissance des étudiants avec des activités qui font l’image de la ville de Trois-Rivières. Ces exemples de partenariat pourraient bonifier l’image de marque de l’UQTR et rendre la Mauricie fière de son université.</w:t>
      </w:r>
    </w:p>
    <w:p w:rsidR="00DC3AF1" w:rsidRDefault="00A9103C" w:rsidP="004D7BC8">
      <w:pPr>
        <w:pStyle w:val="Titre1"/>
      </w:pPr>
      <w:bookmarkStart w:id="60" w:name="_Toc417486272"/>
      <w:r w:rsidRPr="008E134A">
        <w:lastRenderedPageBreak/>
        <w:t>CONCLUSION</w:t>
      </w:r>
      <w:bookmarkEnd w:id="60"/>
    </w:p>
    <w:p w:rsidR="004D7BC8" w:rsidRPr="004D7BC8" w:rsidRDefault="004D7BC8" w:rsidP="004D7BC8"/>
    <w:p w:rsidR="00DC3AF1" w:rsidRPr="008E134A" w:rsidRDefault="00DC3AF1" w:rsidP="00DC3AF1">
      <w:pPr>
        <w:spacing w:after="200" w:line="360" w:lineRule="auto"/>
        <w:jc w:val="both"/>
        <w:rPr>
          <w:rFonts w:ascii="Times New Roman" w:hAnsi="Times New Roman" w:cs="Times New Roman"/>
          <w:sz w:val="24"/>
          <w:szCs w:val="24"/>
        </w:rPr>
      </w:pPr>
      <w:r w:rsidRPr="008E134A">
        <w:rPr>
          <w:rFonts w:ascii="Times New Roman" w:hAnsi="Times New Roman" w:cs="Times New Roman"/>
          <w:sz w:val="24"/>
          <w:szCs w:val="24"/>
        </w:rPr>
        <w:t xml:space="preserve"> </w:t>
      </w:r>
      <w:r w:rsidRPr="008E134A">
        <w:rPr>
          <w:rFonts w:ascii="Times New Roman" w:hAnsi="Times New Roman" w:cs="Times New Roman"/>
          <w:sz w:val="24"/>
          <w:szCs w:val="24"/>
        </w:rPr>
        <w:tab/>
        <w:t xml:space="preserve">À titre de conclusion, nous tenons à mentionner que nous sommes convaincus que les recommandations proposées contribueraient à la croissance numérique de l’UQTR tout en améliorant ses activités de façon significative. En effet, une révision du plan stratégique, un rehaussement de la réputation de L’UQTR, l’implantation de technologies éducatives et l’amélioration de sa visibilité contribueraient à communiquer une image remarquable de cette université de région. Le fait de favoriser l’impact régional et de développer les bureaux de sélection de l’ÉIF à l’international améliorerait le contexte de vie économique en région mauricienne tout en y injectant une dose bénéfique de diversité culturelle, qui profite toujours au contexte économique et social d’une région. Toutefois, malgré tout ce </w:t>
      </w:r>
      <w:r w:rsidR="009756AF">
        <w:rPr>
          <w:rFonts w:ascii="Times New Roman" w:hAnsi="Times New Roman" w:cs="Times New Roman"/>
          <w:sz w:val="24"/>
          <w:szCs w:val="24"/>
        </w:rPr>
        <w:t>qui a déjà été mentionné</w:t>
      </w:r>
      <w:r w:rsidRPr="008E134A">
        <w:rPr>
          <w:rFonts w:ascii="Times New Roman" w:hAnsi="Times New Roman" w:cs="Times New Roman"/>
          <w:sz w:val="24"/>
          <w:szCs w:val="24"/>
        </w:rPr>
        <w:t>, une question demeure, que nous ne pouvons répondre dans le cadre de ce travail, mais que d’autres sont encouragés à approfondir : Est-ce que l’UQTR doit mettre plus d’effort sur la recherche, sur la qualité d’enseignement ou sur les deux domaines académiques afin d’atteindre l’excellence au 21</w:t>
      </w:r>
      <w:r w:rsidRPr="008E134A">
        <w:rPr>
          <w:rFonts w:ascii="Times New Roman" w:hAnsi="Times New Roman" w:cs="Times New Roman"/>
          <w:sz w:val="24"/>
          <w:szCs w:val="24"/>
          <w:vertAlign w:val="superscript"/>
        </w:rPr>
        <w:t>ème</w:t>
      </w:r>
      <w:r w:rsidR="000404CA">
        <w:rPr>
          <w:rFonts w:ascii="Times New Roman" w:hAnsi="Times New Roman" w:cs="Times New Roman"/>
          <w:sz w:val="24"/>
          <w:szCs w:val="24"/>
        </w:rPr>
        <w:t xml:space="preserve"> siècle ?</w:t>
      </w:r>
    </w:p>
    <w:p w:rsidR="000D0609" w:rsidRPr="008E134A" w:rsidRDefault="000D0609" w:rsidP="000D0609">
      <w:pPr>
        <w:pStyle w:val="Titre1"/>
        <w:rPr>
          <w:rFonts w:ascii="Times New Roman" w:hAnsi="Times New Roman" w:cs="Times New Roman"/>
          <w:color w:val="auto"/>
          <w:sz w:val="24"/>
          <w:szCs w:val="24"/>
        </w:rPr>
      </w:pPr>
    </w:p>
    <w:p w:rsidR="00D93DEA" w:rsidRDefault="00D93DEA" w:rsidP="004D7BC8">
      <w:pPr>
        <w:pStyle w:val="Titre1"/>
        <w:sectPr w:rsidR="00D93DEA" w:rsidSect="005C7BD2">
          <w:pgSz w:w="12240" w:h="15840"/>
          <w:pgMar w:top="1440" w:right="1800" w:bottom="1440" w:left="1800" w:header="708" w:footer="708" w:gutter="0"/>
          <w:cols w:space="708"/>
          <w:docGrid w:linePitch="360"/>
        </w:sectPr>
      </w:pPr>
    </w:p>
    <w:p w:rsidR="000D0609" w:rsidRPr="004D7BC8" w:rsidRDefault="00A9103C" w:rsidP="004D7BC8">
      <w:pPr>
        <w:pStyle w:val="Titre1"/>
      </w:pPr>
      <w:bookmarkStart w:id="61" w:name="_Toc417486273"/>
      <w:r w:rsidRPr="004D7BC8">
        <w:lastRenderedPageBreak/>
        <w:t>BIBLIOGRAPHIE</w:t>
      </w:r>
      <w:bookmarkEnd w:id="61"/>
    </w:p>
    <w:p w:rsidR="005235D6" w:rsidRPr="004274B3" w:rsidRDefault="005235D6" w:rsidP="00B75FB8">
      <w:pPr>
        <w:pStyle w:val="Notedebasdepage"/>
        <w:jc w:val="both"/>
        <w:rPr>
          <w:rFonts w:cs="Times New Roman"/>
          <w:b/>
          <w:sz w:val="24"/>
          <w:szCs w:val="24"/>
        </w:rPr>
      </w:pPr>
    </w:p>
    <w:p w:rsidR="00AC2A83" w:rsidRDefault="00AC2A83" w:rsidP="00B75FB8">
      <w:pPr>
        <w:pStyle w:val="Notedebasdepage"/>
        <w:jc w:val="both"/>
        <w:rPr>
          <w:rFonts w:cs="Times New Roman"/>
          <w:b/>
          <w:sz w:val="24"/>
          <w:szCs w:val="24"/>
        </w:rPr>
      </w:pPr>
      <w:r>
        <w:rPr>
          <w:rFonts w:cs="Times New Roman"/>
          <w:b/>
          <w:sz w:val="24"/>
          <w:szCs w:val="24"/>
        </w:rPr>
        <w:t>Notes de cours</w:t>
      </w:r>
    </w:p>
    <w:p w:rsidR="00AC2A83" w:rsidRDefault="00AC2A83" w:rsidP="00B75FB8">
      <w:pPr>
        <w:pStyle w:val="Notedebasdepage"/>
        <w:jc w:val="both"/>
        <w:rPr>
          <w:rFonts w:cs="Times New Roman"/>
          <w:b/>
          <w:sz w:val="24"/>
          <w:szCs w:val="24"/>
        </w:rPr>
      </w:pPr>
    </w:p>
    <w:p w:rsidR="00AC2A83" w:rsidRPr="00942C60" w:rsidRDefault="00AC2A83" w:rsidP="00AC2A83">
      <w:pPr>
        <w:pStyle w:val="Notedebasdepage"/>
        <w:jc w:val="both"/>
        <w:rPr>
          <w:rFonts w:cs="Times New Roman"/>
          <w:sz w:val="24"/>
          <w:szCs w:val="24"/>
        </w:rPr>
      </w:pPr>
      <w:proofErr w:type="spellStart"/>
      <w:r w:rsidRPr="00942C60">
        <w:rPr>
          <w:rFonts w:cs="Times New Roman"/>
          <w:sz w:val="24"/>
          <w:szCs w:val="24"/>
        </w:rPr>
        <w:t>Sarkis</w:t>
      </w:r>
      <w:proofErr w:type="spellEnd"/>
      <w:r w:rsidRPr="00942C60">
        <w:rPr>
          <w:rFonts w:cs="Times New Roman"/>
          <w:sz w:val="24"/>
          <w:szCs w:val="24"/>
        </w:rPr>
        <w:t xml:space="preserve">, Hani. (2012).  </w:t>
      </w:r>
      <w:r w:rsidRPr="00942C60">
        <w:rPr>
          <w:rFonts w:cs="Times New Roman"/>
          <w:i/>
          <w:sz w:val="24"/>
          <w:szCs w:val="24"/>
        </w:rPr>
        <w:t>L’environnement de l’entreprise (diaporama Powerpoint)</w:t>
      </w:r>
      <w:r w:rsidRPr="00942C60">
        <w:rPr>
          <w:rFonts w:cs="Times New Roman"/>
          <w:sz w:val="24"/>
          <w:szCs w:val="24"/>
        </w:rPr>
        <w:t>.</w:t>
      </w:r>
    </w:p>
    <w:p w:rsidR="00AC2A83" w:rsidRDefault="00AC2A83" w:rsidP="00B75FB8">
      <w:pPr>
        <w:pStyle w:val="Notedebasdepage"/>
        <w:jc w:val="both"/>
        <w:rPr>
          <w:rFonts w:cs="Times New Roman"/>
          <w:b/>
          <w:sz w:val="24"/>
          <w:szCs w:val="24"/>
        </w:rPr>
      </w:pPr>
    </w:p>
    <w:p w:rsidR="00B75FB8" w:rsidRPr="004274B3" w:rsidRDefault="00B75FB8" w:rsidP="00B75FB8">
      <w:pPr>
        <w:pStyle w:val="Notedebasdepage"/>
        <w:jc w:val="both"/>
        <w:rPr>
          <w:rFonts w:cs="Times New Roman"/>
          <w:b/>
          <w:sz w:val="24"/>
          <w:szCs w:val="24"/>
        </w:rPr>
      </w:pPr>
      <w:r w:rsidRPr="004274B3">
        <w:rPr>
          <w:rFonts w:cs="Times New Roman"/>
          <w:b/>
          <w:sz w:val="24"/>
          <w:szCs w:val="24"/>
        </w:rPr>
        <w:t>Volume</w:t>
      </w:r>
    </w:p>
    <w:p w:rsidR="00B75FB8" w:rsidRPr="004274B3" w:rsidRDefault="00B75FB8" w:rsidP="00B75FB8">
      <w:pPr>
        <w:pStyle w:val="Notedebasdepage"/>
        <w:jc w:val="both"/>
        <w:rPr>
          <w:rFonts w:cs="Times New Roman"/>
          <w:b/>
          <w:sz w:val="24"/>
          <w:szCs w:val="24"/>
        </w:rPr>
      </w:pPr>
    </w:p>
    <w:p w:rsidR="00B75FB8" w:rsidRPr="004274B3" w:rsidRDefault="00B75FB8" w:rsidP="00B75FB8">
      <w:pPr>
        <w:pStyle w:val="Notedebasdepage"/>
        <w:ind w:left="1134" w:hanging="1134"/>
        <w:jc w:val="both"/>
        <w:rPr>
          <w:rFonts w:cs="Times New Roman"/>
          <w:sz w:val="24"/>
          <w:szCs w:val="24"/>
          <w:lang w:val="en-CA"/>
        </w:rPr>
      </w:pPr>
      <w:r w:rsidRPr="004274B3">
        <w:rPr>
          <w:rFonts w:cs="Times New Roman"/>
          <w:sz w:val="24"/>
          <w:szCs w:val="24"/>
        </w:rPr>
        <w:t xml:space="preserve">Johnson, G., </w:t>
      </w:r>
      <w:proofErr w:type="spellStart"/>
      <w:r w:rsidRPr="004274B3">
        <w:rPr>
          <w:rFonts w:cs="Times New Roman"/>
          <w:sz w:val="24"/>
          <w:szCs w:val="24"/>
        </w:rPr>
        <w:t>Scholes</w:t>
      </w:r>
      <w:proofErr w:type="spellEnd"/>
      <w:r w:rsidRPr="004274B3">
        <w:rPr>
          <w:rFonts w:cs="Times New Roman"/>
          <w:sz w:val="24"/>
          <w:szCs w:val="24"/>
        </w:rPr>
        <w:t xml:space="preserve">, K., </w:t>
      </w:r>
      <w:proofErr w:type="spellStart"/>
      <w:r w:rsidRPr="004274B3">
        <w:rPr>
          <w:rFonts w:cs="Times New Roman"/>
          <w:sz w:val="24"/>
          <w:szCs w:val="24"/>
        </w:rPr>
        <w:t>Whittington</w:t>
      </w:r>
      <w:proofErr w:type="spellEnd"/>
      <w:r w:rsidRPr="004274B3">
        <w:rPr>
          <w:rFonts w:cs="Times New Roman"/>
          <w:sz w:val="24"/>
          <w:szCs w:val="24"/>
        </w:rPr>
        <w:t xml:space="preserve">, R. et F. </w:t>
      </w:r>
      <w:proofErr w:type="spellStart"/>
      <w:r w:rsidRPr="004274B3">
        <w:rPr>
          <w:rFonts w:cs="Times New Roman"/>
          <w:sz w:val="24"/>
          <w:szCs w:val="24"/>
        </w:rPr>
        <w:t>Fréry</w:t>
      </w:r>
      <w:proofErr w:type="spellEnd"/>
      <w:r w:rsidRPr="004274B3">
        <w:rPr>
          <w:rFonts w:cs="Times New Roman"/>
          <w:sz w:val="24"/>
          <w:szCs w:val="24"/>
        </w:rPr>
        <w:t xml:space="preserve"> (2011). </w:t>
      </w:r>
      <w:r w:rsidRPr="00B75FB8">
        <w:rPr>
          <w:rFonts w:cs="Times New Roman"/>
          <w:i/>
          <w:iCs/>
          <w:sz w:val="24"/>
          <w:szCs w:val="24"/>
        </w:rPr>
        <w:t>Stratégique, 9e édition</w:t>
      </w:r>
      <w:r w:rsidRPr="00B75FB8">
        <w:rPr>
          <w:rFonts w:cs="Times New Roman"/>
          <w:sz w:val="24"/>
          <w:szCs w:val="24"/>
        </w:rPr>
        <w:t xml:space="preserve">. </w:t>
      </w:r>
      <w:r w:rsidRPr="004274B3">
        <w:rPr>
          <w:rFonts w:cs="Times New Roman"/>
          <w:sz w:val="24"/>
          <w:szCs w:val="24"/>
          <w:lang w:val="en-CA"/>
        </w:rPr>
        <w:t xml:space="preserve">Pearson </w:t>
      </w:r>
      <w:proofErr w:type="spellStart"/>
      <w:r w:rsidRPr="004274B3">
        <w:rPr>
          <w:rFonts w:cs="Times New Roman"/>
          <w:sz w:val="24"/>
          <w:szCs w:val="24"/>
          <w:lang w:val="en-CA"/>
        </w:rPr>
        <w:t>Éducation</w:t>
      </w:r>
      <w:proofErr w:type="spellEnd"/>
      <w:r w:rsidRPr="004274B3">
        <w:rPr>
          <w:rFonts w:cs="Times New Roman"/>
          <w:sz w:val="24"/>
          <w:szCs w:val="24"/>
          <w:lang w:val="en-CA"/>
        </w:rPr>
        <w:t>, France.</w:t>
      </w:r>
    </w:p>
    <w:p w:rsidR="00B75FB8" w:rsidRPr="004274B3" w:rsidRDefault="00B75FB8" w:rsidP="00B75FB8">
      <w:pPr>
        <w:pStyle w:val="Notedebasdepage"/>
        <w:jc w:val="both"/>
        <w:rPr>
          <w:rFonts w:cs="Times New Roman"/>
          <w:b/>
          <w:sz w:val="24"/>
          <w:szCs w:val="24"/>
          <w:lang w:val="en-CA"/>
        </w:rPr>
      </w:pPr>
    </w:p>
    <w:p w:rsidR="00B75FB8" w:rsidRPr="004274B3" w:rsidRDefault="00B75FB8" w:rsidP="00B75FB8">
      <w:pPr>
        <w:pStyle w:val="Notedebasdepage"/>
        <w:jc w:val="both"/>
        <w:rPr>
          <w:rFonts w:cs="Times New Roman"/>
          <w:b/>
          <w:sz w:val="24"/>
          <w:szCs w:val="24"/>
          <w:lang w:val="en-CA"/>
        </w:rPr>
      </w:pPr>
      <w:r w:rsidRPr="004274B3">
        <w:rPr>
          <w:rFonts w:cs="Times New Roman"/>
          <w:b/>
          <w:sz w:val="24"/>
          <w:szCs w:val="24"/>
          <w:lang w:val="en-CA"/>
        </w:rPr>
        <w:t>Internet</w:t>
      </w:r>
    </w:p>
    <w:p w:rsidR="00B75FB8" w:rsidRPr="004274B3" w:rsidRDefault="00B75FB8" w:rsidP="00B75FB8">
      <w:pPr>
        <w:pStyle w:val="Notedebasdepage"/>
        <w:jc w:val="both"/>
        <w:rPr>
          <w:rFonts w:cs="Times New Roman"/>
          <w:sz w:val="24"/>
          <w:szCs w:val="24"/>
          <w:lang w:val="en-CA"/>
        </w:rPr>
      </w:pPr>
    </w:p>
    <w:p w:rsidR="005409AA" w:rsidRPr="00942C60" w:rsidRDefault="005409AA" w:rsidP="007734AB">
      <w:pPr>
        <w:spacing w:line="240" w:lineRule="auto"/>
        <w:ind w:left="1134" w:hanging="1134"/>
        <w:jc w:val="both"/>
        <w:rPr>
          <w:rFonts w:ascii="Times New Roman" w:hAnsi="Times New Roman" w:cs="Times New Roman"/>
          <w:sz w:val="24"/>
          <w:szCs w:val="24"/>
        </w:rPr>
      </w:pPr>
      <w:proofErr w:type="gramStart"/>
      <w:r w:rsidRPr="00942C60">
        <w:rPr>
          <w:rFonts w:ascii="Times New Roman" w:hAnsi="Times New Roman" w:cs="Times New Roman"/>
          <w:sz w:val="24"/>
          <w:szCs w:val="24"/>
          <w:lang w:val="en-CA"/>
        </w:rPr>
        <w:t>2015 University Web Ranking.</w:t>
      </w:r>
      <w:proofErr w:type="gramEnd"/>
      <w:r w:rsidRPr="00942C60">
        <w:rPr>
          <w:rFonts w:ascii="Times New Roman" w:hAnsi="Times New Roman" w:cs="Times New Roman"/>
          <w:sz w:val="24"/>
          <w:szCs w:val="24"/>
          <w:lang w:val="en-CA"/>
        </w:rPr>
        <w:t xml:space="preserve"> </w:t>
      </w:r>
      <w:proofErr w:type="gramStart"/>
      <w:r w:rsidRPr="00942C60">
        <w:rPr>
          <w:rFonts w:ascii="Times New Roman" w:hAnsi="Times New Roman" w:cs="Times New Roman"/>
          <w:sz w:val="24"/>
          <w:szCs w:val="24"/>
          <w:lang w:val="en-CA"/>
        </w:rPr>
        <w:t>Universities in Canada.</w:t>
      </w:r>
      <w:proofErr w:type="gramEnd"/>
      <w:r w:rsidRPr="00942C60">
        <w:rPr>
          <w:rFonts w:ascii="Times New Roman" w:hAnsi="Times New Roman" w:cs="Times New Roman"/>
          <w:sz w:val="24"/>
          <w:szCs w:val="24"/>
          <w:lang w:val="en-CA"/>
        </w:rPr>
        <w:t xml:space="preserve"> </w:t>
      </w:r>
      <w:r w:rsidRPr="00942C60">
        <w:rPr>
          <w:rFonts w:ascii="Times New Roman" w:hAnsi="Times New Roman" w:cs="Times New Roman"/>
          <w:sz w:val="24"/>
          <w:szCs w:val="24"/>
        </w:rPr>
        <w:t xml:space="preserve">[En ligne] </w:t>
      </w:r>
      <w:hyperlink r:id="rId80" w:history="1">
        <w:r w:rsidRPr="00942C60">
          <w:rPr>
            <w:rStyle w:val="Lienhypertexte"/>
            <w:rFonts w:ascii="Times New Roman" w:hAnsi="Times New Roman" w:cs="Times New Roman"/>
            <w:color w:val="auto"/>
            <w:sz w:val="24"/>
            <w:szCs w:val="24"/>
          </w:rPr>
          <w:t>www.4icu.org/ca/</w:t>
        </w:r>
      </w:hyperlink>
      <w:r w:rsidRPr="00942C60">
        <w:rPr>
          <w:rFonts w:ascii="Times New Roman" w:hAnsi="Times New Roman" w:cs="Times New Roman"/>
          <w:sz w:val="24"/>
          <w:szCs w:val="24"/>
        </w:rPr>
        <w:t xml:space="preserve"> </w:t>
      </w:r>
      <w:r w:rsidRPr="00942C60">
        <w:rPr>
          <w:rFonts w:ascii="Times New Roman" w:hAnsi="Times New Roman" w:cs="Times New Roman"/>
          <w:sz w:val="24"/>
          <w:szCs w:val="24"/>
        </w:rPr>
        <w:tab/>
        <w:t>(page consultée le 7 mars 2015).</w:t>
      </w:r>
    </w:p>
    <w:p w:rsidR="005409AA" w:rsidRPr="00942C60" w:rsidRDefault="005409AA" w:rsidP="007734AB">
      <w:pPr>
        <w:pStyle w:val="Notedebasdepage"/>
        <w:ind w:left="1134" w:hanging="1134"/>
        <w:jc w:val="both"/>
        <w:rPr>
          <w:rFonts w:cs="Times New Roman"/>
          <w:sz w:val="24"/>
          <w:szCs w:val="24"/>
        </w:rPr>
      </w:pPr>
    </w:p>
    <w:p w:rsidR="005409AA" w:rsidRPr="00942C60" w:rsidRDefault="005409AA" w:rsidP="007734AB">
      <w:pPr>
        <w:pStyle w:val="Notedebasdepage"/>
        <w:ind w:left="1134" w:hanging="1134"/>
        <w:jc w:val="both"/>
        <w:rPr>
          <w:rFonts w:cs="Times New Roman"/>
          <w:sz w:val="24"/>
          <w:szCs w:val="24"/>
        </w:rPr>
      </w:pPr>
      <w:proofErr w:type="gramStart"/>
      <w:r w:rsidRPr="00942C60">
        <w:rPr>
          <w:rFonts w:cs="Times New Roman"/>
          <w:sz w:val="24"/>
          <w:szCs w:val="24"/>
          <w:lang w:val="en-CA"/>
        </w:rPr>
        <w:t>Association of Universities and Colleges of Canada (2011).</w:t>
      </w:r>
      <w:proofErr w:type="gramEnd"/>
      <w:r w:rsidRPr="00942C60">
        <w:rPr>
          <w:rFonts w:cs="Times New Roman"/>
          <w:sz w:val="24"/>
          <w:szCs w:val="24"/>
          <w:lang w:val="en-CA"/>
        </w:rPr>
        <w:t xml:space="preserve"> </w:t>
      </w:r>
      <w:proofErr w:type="gramStart"/>
      <w:r w:rsidRPr="00942C60">
        <w:rPr>
          <w:rFonts w:cs="Times New Roman"/>
          <w:i/>
          <w:sz w:val="24"/>
          <w:szCs w:val="24"/>
          <w:lang w:val="en-CA"/>
        </w:rPr>
        <w:t xml:space="preserve">Trends in Higher Education </w:t>
      </w:r>
      <w:r w:rsidRPr="00942C60">
        <w:rPr>
          <w:rFonts w:cs="Times New Roman"/>
          <w:i/>
          <w:sz w:val="24"/>
          <w:szCs w:val="24"/>
          <w:lang w:val="en-CA"/>
        </w:rPr>
        <w:tab/>
        <w:t>Volume 1 – Enrolment</w:t>
      </w:r>
      <w:r w:rsidRPr="00942C60">
        <w:rPr>
          <w:rFonts w:cs="Times New Roman"/>
          <w:sz w:val="24"/>
          <w:szCs w:val="24"/>
          <w:lang w:val="en-CA"/>
        </w:rPr>
        <w:t>.</w:t>
      </w:r>
      <w:proofErr w:type="gramEnd"/>
      <w:r w:rsidRPr="00942C60">
        <w:rPr>
          <w:rFonts w:cs="Times New Roman"/>
          <w:sz w:val="24"/>
          <w:szCs w:val="24"/>
          <w:lang w:val="en-CA"/>
        </w:rPr>
        <w:t xml:space="preserve"> </w:t>
      </w:r>
      <w:r w:rsidRPr="00942C60">
        <w:rPr>
          <w:rFonts w:cs="Times New Roman"/>
          <w:sz w:val="24"/>
          <w:szCs w:val="24"/>
        </w:rPr>
        <w:t xml:space="preserve">[En ligne] </w:t>
      </w:r>
      <w:hyperlink r:id="rId81" w:history="1">
        <w:r w:rsidRPr="00942C60">
          <w:rPr>
            <w:rStyle w:val="Lienhypertexte"/>
            <w:rFonts w:cs="Times New Roman"/>
            <w:color w:val="auto"/>
            <w:sz w:val="24"/>
            <w:szCs w:val="24"/>
          </w:rPr>
          <w:t>http://www.aucc.ca/wp-</w:t>
        </w:r>
        <w:r w:rsidRPr="00942C60">
          <w:rPr>
            <w:rStyle w:val="Lienhypertexte"/>
            <w:rFonts w:cs="Times New Roman"/>
            <w:color w:val="auto"/>
            <w:sz w:val="24"/>
            <w:szCs w:val="24"/>
            <w:u w:val="none"/>
          </w:rPr>
          <w:tab/>
        </w:r>
        <w:r w:rsidRPr="00942C60">
          <w:rPr>
            <w:rStyle w:val="Lienhypertexte"/>
            <w:rFonts w:cs="Times New Roman"/>
            <w:color w:val="auto"/>
            <w:sz w:val="24"/>
            <w:szCs w:val="24"/>
          </w:rPr>
          <w:t>content/</w:t>
        </w:r>
        <w:proofErr w:type="spellStart"/>
        <w:r w:rsidRPr="00942C60">
          <w:rPr>
            <w:rStyle w:val="Lienhypertexte"/>
            <w:rFonts w:cs="Times New Roman"/>
            <w:color w:val="auto"/>
            <w:sz w:val="24"/>
            <w:szCs w:val="24"/>
          </w:rPr>
          <w:t>uploads</w:t>
        </w:r>
        <w:proofErr w:type="spellEnd"/>
        <w:r w:rsidRPr="00942C60">
          <w:rPr>
            <w:rStyle w:val="Lienhypertexte"/>
            <w:rFonts w:cs="Times New Roman"/>
            <w:color w:val="auto"/>
            <w:sz w:val="24"/>
            <w:szCs w:val="24"/>
          </w:rPr>
          <w:t>/2011/05/trends-2011-vol1-enrolment-e.pdf</w:t>
        </w:r>
      </w:hyperlink>
      <w:r w:rsidRPr="00942C60">
        <w:rPr>
          <w:rFonts w:cs="Times New Roman"/>
          <w:sz w:val="24"/>
          <w:szCs w:val="24"/>
        </w:rPr>
        <w:t>.  (p.15.)</w:t>
      </w:r>
    </w:p>
    <w:p w:rsidR="005409AA" w:rsidRPr="00942C60" w:rsidRDefault="005409AA" w:rsidP="007734AB">
      <w:pPr>
        <w:spacing w:line="240" w:lineRule="auto"/>
        <w:ind w:left="1134" w:hanging="1134"/>
        <w:jc w:val="both"/>
        <w:rPr>
          <w:rFonts w:ascii="Times New Roman" w:hAnsi="Times New Roman" w:cs="Times New Roman"/>
          <w:sz w:val="24"/>
          <w:szCs w:val="24"/>
        </w:rPr>
      </w:pPr>
    </w:p>
    <w:p w:rsidR="005409AA" w:rsidRPr="00942C60" w:rsidRDefault="005409AA" w:rsidP="007734AB">
      <w:pPr>
        <w:spacing w:line="240" w:lineRule="auto"/>
        <w:ind w:left="1134" w:hanging="1134"/>
        <w:jc w:val="both"/>
        <w:rPr>
          <w:rFonts w:ascii="Times New Roman" w:hAnsi="Times New Roman" w:cs="Times New Roman"/>
          <w:sz w:val="24"/>
          <w:szCs w:val="24"/>
        </w:rPr>
      </w:pPr>
      <w:r w:rsidRPr="00942C60">
        <w:rPr>
          <w:rFonts w:ascii="Times New Roman" w:hAnsi="Times New Roman" w:cs="Times New Roman"/>
          <w:sz w:val="24"/>
          <w:szCs w:val="24"/>
        </w:rPr>
        <w:t xml:space="preserve">Assurance et santé – clinique de physiothérapie. </w:t>
      </w:r>
      <w:r w:rsidRPr="00942C60">
        <w:rPr>
          <w:rFonts w:ascii="Times New Roman" w:hAnsi="Times New Roman" w:cs="Times New Roman"/>
          <w:i/>
          <w:sz w:val="24"/>
          <w:szCs w:val="24"/>
        </w:rPr>
        <w:t>Clinique de physiothérapie de Trois-</w:t>
      </w:r>
      <w:r w:rsidRPr="00942C60">
        <w:rPr>
          <w:rFonts w:ascii="Times New Roman" w:hAnsi="Times New Roman" w:cs="Times New Roman"/>
          <w:i/>
          <w:sz w:val="24"/>
          <w:szCs w:val="24"/>
        </w:rPr>
        <w:tab/>
        <w:t>Rivières</w:t>
      </w:r>
      <w:r w:rsidRPr="00942C60">
        <w:rPr>
          <w:rFonts w:ascii="Times New Roman" w:hAnsi="Times New Roman" w:cs="Times New Roman"/>
          <w:sz w:val="24"/>
          <w:szCs w:val="24"/>
        </w:rPr>
        <w:t xml:space="preserve">. [En ligne] </w:t>
      </w:r>
      <w:hyperlink r:id="rId82" w:history="1">
        <w:r w:rsidRPr="00942C60">
          <w:rPr>
            <w:rStyle w:val="Lienhypertexte"/>
            <w:rFonts w:ascii="Times New Roman" w:hAnsi="Times New Roman" w:cs="Times New Roman"/>
            <w:color w:val="auto"/>
            <w:sz w:val="24"/>
            <w:szCs w:val="24"/>
          </w:rPr>
          <w:t>http://www.uqtr.ca/etudiant/cliniquephysiotherapie.shtml</w:t>
        </w:r>
      </w:hyperlink>
      <w:r w:rsidRPr="00942C60">
        <w:rPr>
          <w:rFonts w:ascii="Times New Roman" w:hAnsi="Times New Roman" w:cs="Times New Roman"/>
          <w:sz w:val="24"/>
          <w:szCs w:val="24"/>
        </w:rPr>
        <w:t xml:space="preserve"> </w:t>
      </w:r>
      <w:r w:rsidRPr="00942C60">
        <w:rPr>
          <w:rFonts w:ascii="Times New Roman" w:hAnsi="Times New Roman" w:cs="Times New Roman"/>
          <w:sz w:val="24"/>
          <w:szCs w:val="24"/>
        </w:rPr>
        <w:tab/>
        <w:t>(page consultée le 27 mars 2015).</w:t>
      </w:r>
    </w:p>
    <w:p w:rsidR="005409AA" w:rsidRPr="00942C60" w:rsidRDefault="005409AA" w:rsidP="007734AB">
      <w:pPr>
        <w:spacing w:line="240" w:lineRule="auto"/>
        <w:ind w:left="1134" w:hanging="1134"/>
        <w:jc w:val="both"/>
        <w:rPr>
          <w:rFonts w:ascii="Times New Roman" w:hAnsi="Times New Roman" w:cs="Times New Roman"/>
          <w:sz w:val="24"/>
          <w:szCs w:val="24"/>
        </w:rPr>
      </w:pPr>
    </w:p>
    <w:p w:rsidR="005409AA" w:rsidRPr="00942C60" w:rsidRDefault="005409AA" w:rsidP="007734AB">
      <w:pPr>
        <w:spacing w:line="240" w:lineRule="auto"/>
        <w:ind w:left="1134" w:hanging="1134"/>
        <w:jc w:val="both"/>
        <w:rPr>
          <w:rFonts w:ascii="Times New Roman" w:hAnsi="Times New Roman" w:cs="Times New Roman"/>
          <w:sz w:val="24"/>
          <w:szCs w:val="24"/>
        </w:rPr>
      </w:pPr>
      <w:r w:rsidRPr="00942C60">
        <w:rPr>
          <w:rFonts w:ascii="Times New Roman" w:hAnsi="Times New Roman" w:cs="Times New Roman"/>
          <w:sz w:val="24"/>
          <w:szCs w:val="24"/>
        </w:rPr>
        <w:t xml:space="preserve">Blog Entête. (2014). </w:t>
      </w:r>
      <w:r w:rsidRPr="00942C60">
        <w:rPr>
          <w:rFonts w:ascii="Times New Roman" w:hAnsi="Times New Roman" w:cs="Times New Roman"/>
          <w:i/>
          <w:sz w:val="24"/>
          <w:szCs w:val="24"/>
        </w:rPr>
        <w:t xml:space="preserve">L’UQTR enregistre une hausse de sa population étudiante pour la </w:t>
      </w:r>
      <w:r w:rsidRPr="00942C60">
        <w:rPr>
          <w:rFonts w:ascii="Times New Roman" w:hAnsi="Times New Roman" w:cs="Times New Roman"/>
          <w:i/>
          <w:sz w:val="24"/>
          <w:szCs w:val="24"/>
        </w:rPr>
        <w:tab/>
        <w:t>session hiver 2014.</w:t>
      </w:r>
      <w:r w:rsidRPr="00942C60">
        <w:rPr>
          <w:rFonts w:ascii="Times New Roman" w:hAnsi="Times New Roman" w:cs="Times New Roman"/>
          <w:sz w:val="24"/>
          <w:szCs w:val="24"/>
        </w:rPr>
        <w:t xml:space="preserve"> [En ligne] </w:t>
      </w:r>
      <w:hyperlink r:id="rId83" w:history="1">
        <w:r w:rsidRPr="00942C60">
          <w:rPr>
            <w:rStyle w:val="Lienhypertexte"/>
            <w:rFonts w:ascii="Times New Roman" w:hAnsi="Times New Roman" w:cs="Times New Roman"/>
            <w:color w:val="auto"/>
            <w:sz w:val="24"/>
            <w:szCs w:val="24"/>
          </w:rPr>
          <w:t>http://blogue.uqtr.ca/2014/01/27/luqtr-enregistre-</w:t>
        </w:r>
        <w:r w:rsidRPr="00942C60">
          <w:rPr>
            <w:rStyle w:val="Lienhypertexte"/>
            <w:rFonts w:ascii="Times New Roman" w:hAnsi="Times New Roman" w:cs="Times New Roman"/>
            <w:color w:val="auto"/>
            <w:sz w:val="24"/>
            <w:szCs w:val="24"/>
            <w:u w:val="none"/>
          </w:rPr>
          <w:tab/>
        </w:r>
        <w:r w:rsidRPr="00942C60">
          <w:rPr>
            <w:rStyle w:val="Lienhypertexte"/>
            <w:rFonts w:ascii="Times New Roman" w:hAnsi="Times New Roman" w:cs="Times New Roman"/>
            <w:color w:val="auto"/>
            <w:sz w:val="24"/>
            <w:szCs w:val="24"/>
          </w:rPr>
          <w:t>hausse-population-</w:t>
        </w:r>
        <w:proofErr w:type="spellStart"/>
        <w:r w:rsidRPr="00942C60">
          <w:rPr>
            <w:rStyle w:val="Lienhypertexte"/>
            <w:rFonts w:ascii="Times New Roman" w:hAnsi="Times New Roman" w:cs="Times New Roman"/>
            <w:color w:val="auto"/>
            <w:sz w:val="24"/>
            <w:szCs w:val="24"/>
          </w:rPr>
          <w:t>etudiante</w:t>
        </w:r>
        <w:proofErr w:type="spellEnd"/>
        <w:r w:rsidRPr="00942C60">
          <w:rPr>
            <w:rStyle w:val="Lienhypertexte"/>
            <w:rFonts w:ascii="Times New Roman" w:hAnsi="Times New Roman" w:cs="Times New Roman"/>
            <w:color w:val="auto"/>
            <w:sz w:val="24"/>
            <w:szCs w:val="24"/>
          </w:rPr>
          <w:t>-session-hiver-2014/</w:t>
        </w:r>
      </w:hyperlink>
    </w:p>
    <w:p w:rsidR="005409AA" w:rsidRPr="00942C60" w:rsidRDefault="005409AA" w:rsidP="007734AB">
      <w:pPr>
        <w:spacing w:line="240" w:lineRule="auto"/>
        <w:ind w:left="1134" w:hanging="1134"/>
        <w:jc w:val="both"/>
        <w:rPr>
          <w:rStyle w:val="Lienhypertexte"/>
          <w:rFonts w:ascii="Times New Roman" w:hAnsi="Times New Roman" w:cs="Times New Roman"/>
          <w:color w:val="auto"/>
          <w:sz w:val="24"/>
          <w:szCs w:val="24"/>
        </w:rPr>
      </w:pPr>
    </w:p>
    <w:p w:rsidR="005409AA" w:rsidRPr="00942C60" w:rsidRDefault="005409AA" w:rsidP="007734AB">
      <w:pPr>
        <w:spacing w:line="240" w:lineRule="auto"/>
        <w:ind w:left="1134" w:hanging="1134"/>
        <w:jc w:val="both"/>
        <w:rPr>
          <w:rFonts w:ascii="Times New Roman" w:hAnsi="Times New Roman" w:cs="Times New Roman"/>
          <w:sz w:val="24"/>
          <w:szCs w:val="24"/>
        </w:rPr>
      </w:pPr>
      <w:r w:rsidRPr="00942C60">
        <w:rPr>
          <w:rFonts w:ascii="Times New Roman" w:hAnsi="Times New Roman" w:cs="Times New Roman"/>
          <w:sz w:val="24"/>
          <w:szCs w:val="24"/>
        </w:rPr>
        <w:t xml:space="preserve">Clinique </w:t>
      </w:r>
      <w:proofErr w:type="spellStart"/>
      <w:r w:rsidRPr="00942C60">
        <w:rPr>
          <w:rFonts w:ascii="Times New Roman" w:hAnsi="Times New Roman" w:cs="Times New Roman"/>
          <w:sz w:val="24"/>
          <w:szCs w:val="24"/>
        </w:rPr>
        <w:t>podiatrique</w:t>
      </w:r>
      <w:proofErr w:type="spellEnd"/>
      <w:r w:rsidRPr="00942C60">
        <w:rPr>
          <w:rFonts w:ascii="Times New Roman" w:hAnsi="Times New Roman" w:cs="Times New Roman"/>
          <w:sz w:val="24"/>
          <w:szCs w:val="24"/>
        </w:rPr>
        <w:t xml:space="preserve"> de l’UQTR. (2014). </w:t>
      </w:r>
      <w:r w:rsidRPr="00942C60">
        <w:rPr>
          <w:rFonts w:ascii="Times New Roman" w:hAnsi="Times New Roman" w:cs="Times New Roman"/>
          <w:i/>
          <w:sz w:val="24"/>
          <w:szCs w:val="24"/>
        </w:rPr>
        <w:t>Tarifs</w:t>
      </w:r>
      <w:r w:rsidRPr="00942C60">
        <w:rPr>
          <w:rFonts w:ascii="Times New Roman" w:hAnsi="Times New Roman" w:cs="Times New Roman"/>
          <w:sz w:val="24"/>
          <w:szCs w:val="24"/>
        </w:rPr>
        <w:t xml:space="preserve">. [En ligne] </w:t>
      </w:r>
      <w:r w:rsidRPr="00942C60">
        <w:rPr>
          <w:rFonts w:ascii="Times New Roman" w:hAnsi="Times New Roman" w:cs="Times New Roman"/>
          <w:sz w:val="24"/>
          <w:szCs w:val="24"/>
        </w:rPr>
        <w:tab/>
      </w:r>
      <w:hyperlink r:id="rId84" w:history="1">
        <w:r w:rsidRPr="00942C60">
          <w:rPr>
            <w:rStyle w:val="Lienhypertexte"/>
            <w:rFonts w:ascii="Times New Roman" w:hAnsi="Times New Roman" w:cs="Times New Roman"/>
            <w:color w:val="auto"/>
            <w:sz w:val="24"/>
            <w:szCs w:val="24"/>
          </w:rPr>
          <w:t>https://oraprdnt.uqtr.uquebec.ca/pls/public/gscw031?owa_no_site=513&amp;owa_no_</w:t>
        </w:r>
        <w:r w:rsidRPr="00942C60">
          <w:rPr>
            <w:rStyle w:val="Lienhypertexte"/>
            <w:rFonts w:ascii="Times New Roman" w:hAnsi="Times New Roman" w:cs="Times New Roman"/>
            <w:color w:val="auto"/>
            <w:sz w:val="24"/>
            <w:szCs w:val="24"/>
            <w:u w:val="none"/>
          </w:rPr>
          <w:tab/>
        </w:r>
        <w:r w:rsidRPr="00942C60">
          <w:rPr>
            <w:rStyle w:val="Lienhypertexte"/>
            <w:rFonts w:ascii="Times New Roman" w:hAnsi="Times New Roman" w:cs="Times New Roman"/>
            <w:color w:val="auto"/>
            <w:sz w:val="24"/>
            <w:szCs w:val="24"/>
          </w:rPr>
          <w:t>fiche=30&amp;</w:t>
        </w:r>
        <w:proofErr w:type="spellStart"/>
        <w:r w:rsidRPr="00942C60">
          <w:rPr>
            <w:rStyle w:val="Lienhypertexte"/>
            <w:rFonts w:ascii="Times New Roman" w:hAnsi="Times New Roman" w:cs="Times New Roman"/>
            <w:color w:val="auto"/>
            <w:sz w:val="24"/>
            <w:szCs w:val="24"/>
          </w:rPr>
          <w:t>owa_apercu</w:t>
        </w:r>
        <w:proofErr w:type="spellEnd"/>
        <w:r w:rsidRPr="00942C60">
          <w:rPr>
            <w:rStyle w:val="Lienhypertexte"/>
            <w:rFonts w:ascii="Times New Roman" w:hAnsi="Times New Roman" w:cs="Times New Roman"/>
            <w:color w:val="auto"/>
            <w:sz w:val="24"/>
            <w:szCs w:val="24"/>
          </w:rPr>
          <w:t>=N&amp;</w:t>
        </w:r>
        <w:proofErr w:type="spellStart"/>
        <w:r w:rsidRPr="00942C60">
          <w:rPr>
            <w:rStyle w:val="Lienhypertexte"/>
            <w:rFonts w:ascii="Times New Roman" w:hAnsi="Times New Roman" w:cs="Times New Roman"/>
            <w:color w:val="auto"/>
            <w:sz w:val="24"/>
            <w:szCs w:val="24"/>
          </w:rPr>
          <w:t>owa_imprimable</w:t>
        </w:r>
        <w:proofErr w:type="spellEnd"/>
        <w:r w:rsidRPr="00942C60">
          <w:rPr>
            <w:rStyle w:val="Lienhypertexte"/>
            <w:rFonts w:ascii="Times New Roman" w:hAnsi="Times New Roman" w:cs="Times New Roman"/>
            <w:color w:val="auto"/>
            <w:sz w:val="24"/>
            <w:szCs w:val="24"/>
          </w:rPr>
          <w:t>=N&amp;</w:t>
        </w:r>
        <w:proofErr w:type="spellStart"/>
        <w:r w:rsidRPr="00942C60">
          <w:rPr>
            <w:rStyle w:val="Lienhypertexte"/>
            <w:rFonts w:ascii="Times New Roman" w:hAnsi="Times New Roman" w:cs="Times New Roman"/>
            <w:color w:val="auto"/>
            <w:sz w:val="24"/>
            <w:szCs w:val="24"/>
          </w:rPr>
          <w:t>owa_bottin</w:t>
        </w:r>
        <w:proofErr w:type="spellEnd"/>
      </w:hyperlink>
      <w:r w:rsidRPr="00942C60">
        <w:rPr>
          <w:rFonts w:ascii="Times New Roman" w:hAnsi="Times New Roman" w:cs="Times New Roman"/>
          <w:sz w:val="24"/>
          <w:szCs w:val="24"/>
        </w:rPr>
        <w:t>=)</w:t>
      </w:r>
    </w:p>
    <w:p w:rsidR="005409AA" w:rsidRPr="00942C60" w:rsidRDefault="005409AA" w:rsidP="007734AB">
      <w:pPr>
        <w:pStyle w:val="Notedebasdepage"/>
        <w:ind w:left="1134" w:hanging="1134"/>
        <w:jc w:val="both"/>
        <w:rPr>
          <w:rFonts w:cs="Times New Roman"/>
          <w:sz w:val="24"/>
          <w:szCs w:val="24"/>
        </w:rPr>
      </w:pPr>
    </w:p>
    <w:p w:rsidR="005409AA" w:rsidRPr="00942C60" w:rsidRDefault="005409AA" w:rsidP="007734AB">
      <w:pPr>
        <w:pStyle w:val="Notedebasdepage"/>
        <w:ind w:left="1134" w:hanging="1134"/>
        <w:jc w:val="both"/>
        <w:rPr>
          <w:rFonts w:cs="Times New Roman"/>
          <w:sz w:val="24"/>
          <w:szCs w:val="24"/>
        </w:rPr>
      </w:pPr>
      <w:r w:rsidRPr="00942C60">
        <w:rPr>
          <w:rFonts w:cs="Times New Roman"/>
          <w:sz w:val="24"/>
          <w:szCs w:val="24"/>
        </w:rPr>
        <w:t xml:space="preserve">Comité sénatorial permanent des affaires sociales, sciences et technologie. (2012). </w:t>
      </w:r>
      <w:r w:rsidRPr="00942C60">
        <w:rPr>
          <w:rFonts w:cs="Times New Roman"/>
          <w:sz w:val="24"/>
          <w:szCs w:val="24"/>
        </w:rPr>
        <w:tab/>
      </w:r>
      <w:r w:rsidRPr="00942C60">
        <w:rPr>
          <w:rFonts w:cs="Times New Roman"/>
          <w:i/>
          <w:sz w:val="24"/>
          <w:szCs w:val="24"/>
        </w:rPr>
        <w:t>Surmonter les obstacles aux études postsecondaires au Canada</w:t>
      </w:r>
      <w:r w:rsidRPr="00942C60">
        <w:rPr>
          <w:rFonts w:cs="Times New Roman"/>
          <w:sz w:val="24"/>
          <w:szCs w:val="24"/>
        </w:rPr>
        <w:t xml:space="preserve">. [En ligne] </w:t>
      </w:r>
      <w:r w:rsidRPr="00942C60">
        <w:rPr>
          <w:rFonts w:cs="Times New Roman"/>
          <w:sz w:val="24"/>
          <w:szCs w:val="24"/>
        </w:rPr>
        <w:tab/>
      </w:r>
      <w:hyperlink r:id="rId85" w:history="1">
        <w:r w:rsidRPr="00942C60">
          <w:rPr>
            <w:rStyle w:val="Lienhypertexte"/>
            <w:rFonts w:cs="Times New Roman"/>
            <w:color w:val="auto"/>
            <w:sz w:val="24"/>
            <w:szCs w:val="24"/>
          </w:rPr>
          <w:t>http://www.parl.gc.ca/content/sen/committee/411/soci/dpk_pse/recommend-f.htm</w:t>
        </w:r>
      </w:hyperlink>
    </w:p>
    <w:p w:rsidR="005409AA" w:rsidRPr="00942C60" w:rsidRDefault="005409AA" w:rsidP="007734AB">
      <w:pPr>
        <w:pStyle w:val="Notedebasdepage"/>
        <w:ind w:left="1134" w:hanging="1134"/>
        <w:jc w:val="both"/>
        <w:rPr>
          <w:rFonts w:cs="Times New Roman"/>
          <w:sz w:val="24"/>
          <w:szCs w:val="24"/>
          <w:lang w:val="fr-FR"/>
        </w:rPr>
      </w:pPr>
    </w:p>
    <w:p w:rsidR="005409AA" w:rsidRPr="00942C60" w:rsidRDefault="005409AA" w:rsidP="007734AB">
      <w:pPr>
        <w:pStyle w:val="Notedebasdepage"/>
        <w:ind w:left="1134" w:hanging="1134"/>
        <w:jc w:val="both"/>
        <w:rPr>
          <w:rFonts w:cs="Times New Roman"/>
          <w:sz w:val="24"/>
          <w:szCs w:val="24"/>
        </w:rPr>
      </w:pPr>
    </w:p>
    <w:p w:rsidR="005409AA" w:rsidRPr="00942C60" w:rsidRDefault="005409AA" w:rsidP="007734AB">
      <w:pPr>
        <w:spacing w:line="240" w:lineRule="auto"/>
        <w:ind w:left="1134" w:hanging="1134"/>
        <w:jc w:val="both"/>
        <w:rPr>
          <w:rFonts w:ascii="Times New Roman" w:hAnsi="Times New Roman" w:cs="Times New Roman"/>
          <w:sz w:val="24"/>
          <w:szCs w:val="24"/>
        </w:rPr>
      </w:pPr>
      <w:r w:rsidRPr="00942C60">
        <w:rPr>
          <w:rFonts w:ascii="Times New Roman" w:hAnsi="Times New Roman" w:cs="Times New Roman"/>
          <w:sz w:val="24"/>
          <w:szCs w:val="24"/>
        </w:rPr>
        <w:lastRenderedPageBreak/>
        <w:t xml:space="preserve">Conseil des relations interculturelles. (2011). </w:t>
      </w:r>
      <w:r w:rsidRPr="00942C60">
        <w:rPr>
          <w:rFonts w:ascii="Times New Roman" w:hAnsi="Times New Roman" w:cs="Times New Roman"/>
          <w:i/>
          <w:sz w:val="24"/>
          <w:szCs w:val="24"/>
        </w:rPr>
        <w:t xml:space="preserve">Planification de l’immigration 2012-2015: </w:t>
      </w:r>
      <w:r w:rsidRPr="00942C60">
        <w:rPr>
          <w:rFonts w:ascii="Times New Roman" w:hAnsi="Times New Roman" w:cs="Times New Roman"/>
          <w:i/>
          <w:sz w:val="24"/>
          <w:szCs w:val="24"/>
        </w:rPr>
        <w:tab/>
        <w:t xml:space="preserve">mieux arrimer l’immigration au développement économique et social du </w:t>
      </w:r>
      <w:r w:rsidRPr="00942C60">
        <w:rPr>
          <w:rFonts w:ascii="Times New Roman" w:hAnsi="Times New Roman" w:cs="Times New Roman"/>
          <w:i/>
          <w:sz w:val="24"/>
          <w:szCs w:val="24"/>
        </w:rPr>
        <w:tab/>
        <w:t>Québec</w:t>
      </w:r>
      <w:r w:rsidRPr="00942C60">
        <w:rPr>
          <w:rFonts w:ascii="Times New Roman" w:hAnsi="Times New Roman" w:cs="Times New Roman"/>
          <w:sz w:val="24"/>
          <w:szCs w:val="24"/>
        </w:rPr>
        <w:t xml:space="preserve">. </w:t>
      </w:r>
      <w:r w:rsidRPr="00942C60">
        <w:rPr>
          <w:rFonts w:ascii="Times New Roman" w:hAnsi="Times New Roman" w:cs="Times New Roman"/>
          <w:sz w:val="24"/>
          <w:szCs w:val="24"/>
        </w:rPr>
        <w:tab/>
        <w:t xml:space="preserve">[En ligne]. </w:t>
      </w:r>
      <w:hyperlink r:id="rId86" w:history="1">
        <w:r w:rsidRPr="00942C60">
          <w:rPr>
            <w:rStyle w:val="Lienhypertexte"/>
            <w:rFonts w:ascii="Times New Roman" w:hAnsi="Times New Roman" w:cs="Times New Roman"/>
            <w:color w:val="auto"/>
            <w:sz w:val="24"/>
            <w:szCs w:val="24"/>
          </w:rPr>
          <w:t>http://www.midi.gouv.qc.ca/publications/fr/cri/immigration-</w:t>
        </w:r>
        <w:r w:rsidRPr="00942C60">
          <w:rPr>
            <w:rStyle w:val="Lienhypertexte"/>
            <w:rFonts w:ascii="Times New Roman" w:hAnsi="Times New Roman" w:cs="Times New Roman"/>
            <w:color w:val="auto"/>
            <w:sz w:val="24"/>
            <w:szCs w:val="24"/>
            <w:u w:val="none"/>
          </w:rPr>
          <w:tab/>
        </w:r>
        <w:r w:rsidRPr="00942C60">
          <w:rPr>
            <w:rStyle w:val="Lienhypertexte"/>
            <w:rFonts w:ascii="Times New Roman" w:hAnsi="Times New Roman" w:cs="Times New Roman"/>
            <w:color w:val="auto"/>
            <w:sz w:val="24"/>
            <w:szCs w:val="24"/>
          </w:rPr>
          <w:t>planification/Memoire-planification-immigration-20122015.pdf</w:t>
        </w:r>
      </w:hyperlink>
      <w:r w:rsidRPr="00942C60">
        <w:rPr>
          <w:rFonts w:ascii="Times New Roman" w:hAnsi="Times New Roman" w:cs="Times New Roman"/>
          <w:sz w:val="24"/>
          <w:szCs w:val="24"/>
        </w:rPr>
        <w:t xml:space="preserve">  (p.9).</w:t>
      </w:r>
    </w:p>
    <w:p w:rsidR="005409AA" w:rsidRPr="00942C60" w:rsidRDefault="005409AA" w:rsidP="007734AB">
      <w:pPr>
        <w:pStyle w:val="Notedebasdepage"/>
        <w:ind w:left="1134" w:hanging="1134"/>
        <w:jc w:val="both"/>
        <w:rPr>
          <w:rFonts w:cs="Times New Roman"/>
          <w:sz w:val="24"/>
          <w:szCs w:val="24"/>
        </w:rPr>
      </w:pPr>
    </w:p>
    <w:p w:rsidR="005409AA" w:rsidRPr="00942C60" w:rsidRDefault="005409AA" w:rsidP="007734AB">
      <w:pPr>
        <w:pStyle w:val="Notedebasdepage"/>
        <w:ind w:left="1134" w:hanging="1134"/>
        <w:jc w:val="both"/>
        <w:rPr>
          <w:rFonts w:cs="Times New Roman"/>
          <w:sz w:val="24"/>
          <w:szCs w:val="24"/>
        </w:rPr>
      </w:pPr>
      <w:r w:rsidRPr="00942C60">
        <w:rPr>
          <w:rFonts w:cs="Times New Roman"/>
          <w:sz w:val="24"/>
          <w:szCs w:val="24"/>
        </w:rPr>
        <w:t xml:space="preserve">Conseil du statut de la femme. (2004). </w:t>
      </w:r>
      <w:r w:rsidRPr="00942C60">
        <w:rPr>
          <w:rFonts w:cs="Times New Roman"/>
          <w:i/>
          <w:sz w:val="24"/>
          <w:szCs w:val="24"/>
        </w:rPr>
        <w:t xml:space="preserve">Étudiante et mère : un double défi; Les conditions </w:t>
      </w:r>
      <w:r w:rsidRPr="00942C60">
        <w:rPr>
          <w:rFonts w:cs="Times New Roman"/>
          <w:i/>
          <w:sz w:val="24"/>
          <w:szCs w:val="24"/>
        </w:rPr>
        <w:tab/>
        <w:t>de vie et les besoins des mères étudiantes</w:t>
      </w:r>
      <w:r w:rsidRPr="00942C60">
        <w:rPr>
          <w:rFonts w:cs="Times New Roman"/>
          <w:sz w:val="24"/>
          <w:szCs w:val="24"/>
        </w:rPr>
        <w:t xml:space="preserve">. (p. 31). [En ligne] </w:t>
      </w:r>
      <w:r w:rsidRPr="00942C60">
        <w:rPr>
          <w:rFonts w:cs="Times New Roman"/>
          <w:sz w:val="24"/>
          <w:szCs w:val="24"/>
        </w:rPr>
        <w:tab/>
      </w:r>
      <w:hyperlink r:id="rId87" w:history="1">
        <w:r w:rsidRPr="00942C60">
          <w:rPr>
            <w:rStyle w:val="Lienhypertexte"/>
            <w:rFonts w:cs="Times New Roman"/>
            <w:color w:val="auto"/>
            <w:sz w:val="24"/>
            <w:szCs w:val="24"/>
          </w:rPr>
          <w:t>http://collections.banq.qc.ca/ark:/52327/bs52187</w:t>
        </w:r>
      </w:hyperlink>
    </w:p>
    <w:p w:rsidR="005409AA" w:rsidRPr="00942C60" w:rsidRDefault="005409AA" w:rsidP="007734AB">
      <w:pPr>
        <w:pStyle w:val="Notedebasdepage"/>
        <w:ind w:left="1134" w:hanging="1134"/>
        <w:jc w:val="both"/>
        <w:rPr>
          <w:rFonts w:cs="Times New Roman"/>
          <w:sz w:val="24"/>
          <w:szCs w:val="24"/>
        </w:rPr>
      </w:pPr>
    </w:p>
    <w:p w:rsidR="005409AA" w:rsidRPr="00942C60" w:rsidRDefault="005409AA" w:rsidP="007734AB">
      <w:pPr>
        <w:pStyle w:val="Notedebasdepage"/>
        <w:ind w:left="1134" w:hanging="1134"/>
        <w:jc w:val="both"/>
        <w:rPr>
          <w:rFonts w:cs="Times New Roman"/>
          <w:sz w:val="24"/>
          <w:szCs w:val="24"/>
        </w:rPr>
      </w:pPr>
      <w:r w:rsidRPr="00942C60">
        <w:rPr>
          <w:rFonts w:cs="Times New Roman"/>
          <w:sz w:val="24"/>
          <w:szCs w:val="24"/>
        </w:rPr>
        <w:t xml:space="preserve">Conseil du statut de la femme. (2004). </w:t>
      </w:r>
      <w:r w:rsidRPr="00942C60">
        <w:rPr>
          <w:rFonts w:cs="Times New Roman"/>
          <w:i/>
          <w:sz w:val="24"/>
          <w:szCs w:val="24"/>
        </w:rPr>
        <w:t xml:space="preserve">Étudiante et mère : un double défi; Les conditions </w:t>
      </w:r>
      <w:r w:rsidRPr="00942C60">
        <w:rPr>
          <w:rFonts w:cs="Times New Roman"/>
          <w:i/>
          <w:sz w:val="24"/>
          <w:szCs w:val="24"/>
        </w:rPr>
        <w:tab/>
        <w:t>de vie et les besoins des mères étudiantes</w:t>
      </w:r>
      <w:r w:rsidRPr="00942C60">
        <w:rPr>
          <w:rFonts w:cs="Times New Roman"/>
          <w:sz w:val="24"/>
          <w:szCs w:val="24"/>
        </w:rPr>
        <w:t xml:space="preserve">. [En ligne] </w:t>
      </w:r>
      <w:r w:rsidRPr="00942C60">
        <w:rPr>
          <w:rFonts w:cs="Times New Roman"/>
          <w:sz w:val="24"/>
          <w:szCs w:val="24"/>
        </w:rPr>
        <w:tab/>
      </w:r>
      <w:hyperlink r:id="rId88" w:history="1">
        <w:r w:rsidRPr="00942C60">
          <w:rPr>
            <w:rStyle w:val="Lienhypertexte"/>
            <w:rFonts w:cs="Times New Roman"/>
            <w:color w:val="auto"/>
            <w:sz w:val="24"/>
            <w:szCs w:val="24"/>
          </w:rPr>
          <w:t>http://collections.banq.qc.ca/ark:/52327/bs52187</w:t>
        </w:r>
      </w:hyperlink>
      <w:r w:rsidRPr="00942C60">
        <w:rPr>
          <w:rFonts w:cs="Times New Roman"/>
          <w:sz w:val="24"/>
          <w:szCs w:val="24"/>
        </w:rPr>
        <w:t>. (p.31).</w:t>
      </w:r>
    </w:p>
    <w:p w:rsidR="005409AA" w:rsidRPr="00942C60" w:rsidRDefault="005409AA" w:rsidP="007734AB">
      <w:pPr>
        <w:spacing w:line="240" w:lineRule="auto"/>
        <w:ind w:left="1134" w:hanging="1134"/>
        <w:jc w:val="both"/>
        <w:rPr>
          <w:rFonts w:ascii="Times New Roman" w:hAnsi="Times New Roman" w:cs="Times New Roman"/>
          <w:sz w:val="24"/>
          <w:szCs w:val="24"/>
        </w:rPr>
      </w:pPr>
    </w:p>
    <w:p w:rsidR="005409AA" w:rsidRPr="005409AA" w:rsidRDefault="005409AA" w:rsidP="007734AB">
      <w:pPr>
        <w:pStyle w:val="Notedebasdepage"/>
        <w:ind w:left="1134" w:hanging="1134"/>
        <w:jc w:val="both"/>
        <w:rPr>
          <w:rFonts w:cs="Times New Roman"/>
          <w:sz w:val="24"/>
          <w:szCs w:val="24"/>
        </w:rPr>
      </w:pPr>
      <w:proofErr w:type="spellStart"/>
      <w:r w:rsidRPr="00942C60">
        <w:rPr>
          <w:rFonts w:cs="Times New Roman"/>
          <w:sz w:val="24"/>
          <w:szCs w:val="24"/>
        </w:rPr>
        <w:t>Deltab</w:t>
      </w:r>
      <w:proofErr w:type="spellEnd"/>
      <w:r w:rsidRPr="00942C60">
        <w:rPr>
          <w:rFonts w:cs="Times New Roman"/>
          <w:sz w:val="24"/>
          <w:szCs w:val="24"/>
        </w:rPr>
        <w:t xml:space="preserve">. Établissements d'enseignement - de la craie au DEL! [En ligne] </w:t>
      </w:r>
      <w:r w:rsidRPr="00942C60">
        <w:rPr>
          <w:rFonts w:cs="Times New Roman"/>
          <w:sz w:val="24"/>
          <w:szCs w:val="24"/>
        </w:rPr>
        <w:tab/>
      </w:r>
      <w:hyperlink r:id="rId89" w:history="1">
        <w:r w:rsidRPr="00942C60">
          <w:rPr>
            <w:rStyle w:val="Lienhypertexte"/>
            <w:rFonts w:cs="Times New Roman"/>
            <w:color w:val="auto"/>
            <w:sz w:val="24"/>
            <w:szCs w:val="24"/>
          </w:rPr>
          <w:t>http://www.deltab.ca/solutions/etablissements-enseignement.html</w:t>
        </w:r>
      </w:hyperlink>
      <w:r w:rsidRPr="00942C60">
        <w:rPr>
          <w:rFonts w:cs="Times New Roman"/>
          <w:sz w:val="24"/>
          <w:szCs w:val="24"/>
        </w:rPr>
        <w:t xml:space="preserve">. </w:t>
      </w:r>
      <w:r w:rsidRPr="005409AA">
        <w:rPr>
          <w:rFonts w:cs="Times New Roman"/>
          <w:sz w:val="24"/>
          <w:szCs w:val="24"/>
        </w:rPr>
        <w:t>(</w:t>
      </w:r>
      <w:proofErr w:type="gramStart"/>
      <w:r w:rsidRPr="005409AA">
        <w:rPr>
          <w:rFonts w:cs="Times New Roman"/>
          <w:sz w:val="24"/>
          <w:szCs w:val="24"/>
        </w:rPr>
        <w:t>page</w:t>
      </w:r>
      <w:proofErr w:type="gramEnd"/>
      <w:r w:rsidRPr="005409AA">
        <w:rPr>
          <w:rFonts w:cs="Times New Roman"/>
          <w:sz w:val="24"/>
          <w:szCs w:val="24"/>
        </w:rPr>
        <w:t xml:space="preserve"> consultée </w:t>
      </w:r>
      <w:r w:rsidRPr="005409AA">
        <w:rPr>
          <w:rFonts w:cs="Times New Roman"/>
          <w:sz w:val="24"/>
          <w:szCs w:val="24"/>
        </w:rPr>
        <w:tab/>
        <w:t>le 7 mars 2015).</w:t>
      </w:r>
    </w:p>
    <w:p w:rsidR="005409AA" w:rsidRPr="00942C60" w:rsidRDefault="005409AA" w:rsidP="007734AB">
      <w:pPr>
        <w:spacing w:line="240" w:lineRule="auto"/>
        <w:ind w:left="1134" w:hanging="1134"/>
        <w:jc w:val="both"/>
        <w:rPr>
          <w:rFonts w:ascii="Times New Roman" w:hAnsi="Times New Roman" w:cs="Times New Roman"/>
          <w:sz w:val="24"/>
          <w:szCs w:val="24"/>
        </w:rPr>
      </w:pPr>
    </w:p>
    <w:p w:rsidR="005409AA" w:rsidRDefault="005409AA" w:rsidP="007734AB">
      <w:pPr>
        <w:pStyle w:val="Notedebasdepage"/>
        <w:ind w:left="1134" w:hanging="1134"/>
        <w:jc w:val="both"/>
        <w:rPr>
          <w:rFonts w:cs="Times New Roman"/>
          <w:sz w:val="24"/>
          <w:szCs w:val="24"/>
        </w:rPr>
      </w:pPr>
      <w:proofErr w:type="spellStart"/>
      <w:r w:rsidRPr="00942C60">
        <w:rPr>
          <w:rFonts w:cs="Times New Roman"/>
          <w:sz w:val="24"/>
          <w:szCs w:val="24"/>
        </w:rPr>
        <w:t>Descoteaux</w:t>
      </w:r>
      <w:proofErr w:type="spellEnd"/>
      <w:r w:rsidRPr="00942C60">
        <w:rPr>
          <w:rFonts w:cs="Times New Roman"/>
          <w:sz w:val="24"/>
          <w:szCs w:val="24"/>
        </w:rPr>
        <w:t xml:space="preserve">, F. (28 janvier 2013) «La population étudiante de l’UQTR en hausse à tous les cycles » </w:t>
      </w:r>
      <w:r w:rsidRPr="00942C60">
        <w:rPr>
          <w:rFonts w:cs="Times New Roman"/>
          <w:i/>
          <w:sz w:val="24"/>
          <w:szCs w:val="24"/>
        </w:rPr>
        <w:t>En tête. Nouvelles à l’UQTR</w:t>
      </w:r>
      <w:r w:rsidRPr="00942C60">
        <w:rPr>
          <w:rFonts w:cs="Times New Roman"/>
          <w:sz w:val="24"/>
          <w:szCs w:val="24"/>
        </w:rPr>
        <w:t xml:space="preserve"> [En ligne] </w:t>
      </w:r>
      <w:hyperlink r:id="rId90" w:history="1">
        <w:r w:rsidRPr="00942C60">
          <w:rPr>
            <w:rStyle w:val="Lienhypertexte"/>
            <w:rFonts w:cs="Times New Roman"/>
            <w:color w:val="auto"/>
            <w:sz w:val="24"/>
            <w:szCs w:val="24"/>
          </w:rPr>
          <w:t>http://blogue.uqtr.ca/2013/01/28/la-population-etudiante-de-luqtr-en-hausse-a-tous-les-cycles/</w:t>
        </w:r>
      </w:hyperlink>
      <w:r w:rsidRPr="00942C60">
        <w:rPr>
          <w:rFonts w:cs="Times New Roman"/>
          <w:sz w:val="24"/>
          <w:szCs w:val="24"/>
        </w:rPr>
        <w:t xml:space="preserve"> (Page consultée le 16 février 2015)</w:t>
      </w:r>
    </w:p>
    <w:p w:rsidR="00FE46A0" w:rsidRPr="00942C60" w:rsidRDefault="00FE46A0" w:rsidP="007734AB">
      <w:pPr>
        <w:pStyle w:val="Notedebasdepage"/>
        <w:ind w:left="1134" w:hanging="1134"/>
        <w:jc w:val="both"/>
        <w:rPr>
          <w:rFonts w:cs="Times New Roman"/>
          <w:sz w:val="24"/>
          <w:szCs w:val="24"/>
        </w:rPr>
      </w:pPr>
    </w:p>
    <w:p w:rsidR="00FE46A0" w:rsidRPr="003307D4" w:rsidRDefault="00FE46A0" w:rsidP="007734AB">
      <w:pPr>
        <w:ind w:left="1134" w:hanging="1134"/>
        <w:rPr>
          <w:rFonts w:ascii="Times New Roman" w:hAnsi="Times New Roman" w:cs="Times New Roman"/>
          <w:sz w:val="24"/>
          <w:szCs w:val="24"/>
        </w:rPr>
      </w:pPr>
      <w:r w:rsidRPr="003307D4">
        <w:rPr>
          <w:rFonts w:ascii="Times New Roman" w:hAnsi="Times New Roman" w:cs="Times New Roman"/>
          <w:sz w:val="24"/>
          <w:szCs w:val="24"/>
        </w:rPr>
        <w:t xml:space="preserve">En tête nouvelles UQTR </w:t>
      </w:r>
      <w:r w:rsidRPr="003307D4">
        <w:rPr>
          <w:rFonts w:ascii="Times New Roman" w:hAnsi="Times New Roman" w:cs="Times New Roman"/>
          <w:i/>
          <w:sz w:val="24"/>
          <w:szCs w:val="24"/>
        </w:rPr>
        <w:t xml:space="preserve">Hausse de la population étudiante </w:t>
      </w:r>
      <w:r w:rsidRPr="003307D4">
        <w:rPr>
          <w:rFonts w:ascii="Times New Roman" w:hAnsi="Times New Roman" w:cs="Times New Roman"/>
          <w:sz w:val="24"/>
          <w:szCs w:val="24"/>
        </w:rPr>
        <w:t xml:space="preserve">[En ligne] </w:t>
      </w:r>
      <w:hyperlink r:id="rId91" w:history="1">
        <w:r w:rsidRPr="00FE46A0">
          <w:rPr>
            <w:rStyle w:val="Lienhypertexte"/>
            <w:rFonts w:ascii="Times New Roman" w:hAnsi="Times New Roman" w:cs="Times New Roman"/>
            <w:color w:val="auto"/>
            <w:sz w:val="24"/>
            <w:szCs w:val="24"/>
          </w:rPr>
          <w:t>http://blogue.uqtr.ca/2015/01/23/hausse-population-etudiante-luqtr-au-trimestre-dhiver/</w:t>
        </w:r>
      </w:hyperlink>
      <w:r w:rsidRPr="003307D4">
        <w:rPr>
          <w:rFonts w:ascii="Times New Roman" w:hAnsi="Times New Roman" w:cs="Times New Roman"/>
          <w:sz w:val="24"/>
          <w:szCs w:val="24"/>
        </w:rPr>
        <w:t xml:space="preserve"> (Page consultée le 15 mars 2015)</w:t>
      </w:r>
    </w:p>
    <w:p w:rsidR="005409AA" w:rsidRPr="00942C60" w:rsidRDefault="005409AA" w:rsidP="007734AB">
      <w:pPr>
        <w:spacing w:line="240" w:lineRule="auto"/>
        <w:ind w:left="1134" w:hanging="1134"/>
        <w:jc w:val="both"/>
        <w:rPr>
          <w:rFonts w:ascii="Times New Roman" w:hAnsi="Times New Roman" w:cs="Times New Roman"/>
          <w:sz w:val="24"/>
          <w:szCs w:val="24"/>
        </w:rPr>
      </w:pPr>
    </w:p>
    <w:p w:rsidR="005409AA" w:rsidRPr="00942C60" w:rsidRDefault="005409AA" w:rsidP="007734AB">
      <w:pPr>
        <w:pStyle w:val="Notedebasdepage"/>
        <w:ind w:left="1134" w:hanging="1134"/>
        <w:jc w:val="both"/>
        <w:rPr>
          <w:rStyle w:val="Lienhypertexte"/>
          <w:rFonts w:cs="Times New Roman"/>
          <w:color w:val="auto"/>
          <w:sz w:val="24"/>
          <w:szCs w:val="24"/>
        </w:rPr>
      </w:pPr>
      <w:proofErr w:type="gramStart"/>
      <w:r w:rsidRPr="00942C60">
        <w:rPr>
          <w:rFonts w:cs="Times New Roman"/>
          <w:sz w:val="24"/>
          <w:szCs w:val="24"/>
          <w:lang w:val="en-CA"/>
        </w:rPr>
        <w:t>ERIC Institute of Education Sciences.</w:t>
      </w:r>
      <w:proofErr w:type="gramEnd"/>
      <w:r w:rsidRPr="00942C60">
        <w:rPr>
          <w:rFonts w:cs="Times New Roman"/>
          <w:sz w:val="24"/>
          <w:szCs w:val="24"/>
          <w:lang w:val="en-CA"/>
        </w:rPr>
        <w:t xml:space="preserve"> (2005). </w:t>
      </w:r>
      <w:r w:rsidRPr="00942C60">
        <w:rPr>
          <w:rFonts w:cs="Times New Roman"/>
          <w:i/>
          <w:sz w:val="24"/>
          <w:szCs w:val="24"/>
          <w:lang w:val="en-CA"/>
        </w:rPr>
        <w:t xml:space="preserve">Fostering Personal &amp; Social </w:t>
      </w:r>
      <w:r w:rsidRPr="00942C60">
        <w:rPr>
          <w:rFonts w:cs="Times New Roman"/>
          <w:i/>
          <w:sz w:val="24"/>
          <w:szCs w:val="24"/>
          <w:lang w:val="en-CA"/>
        </w:rPr>
        <w:tab/>
        <w:t>Responsibility on College &amp; University Campuses</w:t>
      </w:r>
      <w:r w:rsidRPr="00942C60">
        <w:rPr>
          <w:rFonts w:cs="Times New Roman"/>
          <w:sz w:val="24"/>
          <w:szCs w:val="24"/>
          <w:lang w:val="en-CA"/>
        </w:rPr>
        <w:t xml:space="preserve">. </w:t>
      </w:r>
      <w:r w:rsidRPr="00942C60">
        <w:rPr>
          <w:rFonts w:cs="Times New Roman"/>
          <w:sz w:val="24"/>
          <w:szCs w:val="24"/>
        </w:rPr>
        <w:t xml:space="preserve">[En ligne]  </w:t>
      </w:r>
      <w:r w:rsidRPr="00942C60">
        <w:rPr>
          <w:rFonts w:cs="Times New Roman"/>
          <w:sz w:val="24"/>
          <w:szCs w:val="24"/>
        </w:rPr>
        <w:tab/>
      </w:r>
      <w:hyperlink r:id="rId92" w:history="1">
        <w:r w:rsidRPr="00942C60">
          <w:rPr>
            <w:rStyle w:val="Lienhypertexte"/>
            <w:rFonts w:cs="Times New Roman"/>
            <w:color w:val="auto"/>
            <w:sz w:val="24"/>
            <w:szCs w:val="24"/>
          </w:rPr>
          <w:t>http://eric.ed.gov/?id=EJ720378</w:t>
        </w:r>
      </w:hyperlink>
    </w:p>
    <w:p w:rsidR="005409AA" w:rsidRPr="00942C60" w:rsidRDefault="005409AA" w:rsidP="007734AB">
      <w:pPr>
        <w:spacing w:line="240" w:lineRule="auto"/>
        <w:ind w:left="1134" w:hanging="1134"/>
        <w:jc w:val="both"/>
        <w:rPr>
          <w:rFonts w:ascii="Times New Roman" w:hAnsi="Times New Roman" w:cs="Times New Roman"/>
          <w:sz w:val="24"/>
          <w:szCs w:val="24"/>
        </w:rPr>
      </w:pPr>
    </w:p>
    <w:p w:rsidR="005409AA" w:rsidRPr="00942C60" w:rsidRDefault="005409AA" w:rsidP="007734AB">
      <w:pPr>
        <w:spacing w:line="240" w:lineRule="auto"/>
        <w:ind w:left="1134" w:hanging="1134"/>
        <w:jc w:val="both"/>
        <w:rPr>
          <w:rFonts w:ascii="Times New Roman" w:hAnsi="Times New Roman" w:cs="Times New Roman"/>
          <w:sz w:val="24"/>
          <w:szCs w:val="24"/>
        </w:rPr>
      </w:pPr>
      <w:r w:rsidRPr="00942C60">
        <w:rPr>
          <w:rFonts w:ascii="Times New Roman" w:hAnsi="Times New Roman" w:cs="Times New Roman"/>
          <w:sz w:val="24"/>
          <w:szCs w:val="24"/>
        </w:rPr>
        <w:t xml:space="preserve">Fédération étudiante universitaire du Québec. (2015). </w:t>
      </w:r>
      <w:r w:rsidRPr="00942C60">
        <w:rPr>
          <w:rFonts w:ascii="Times New Roman" w:hAnsi="Times New Roman" w:cs="Times New Roman"/>
          <w:i/>
          <w:sz w:val="24"/>
          <w:szCs w:val="24"/>
        </w:rPr>
        <w:t>Les coupures dans les universités</w:t>
      </w:r>
      <w:r w:rsidRPr="00942C60">
        <w:rPr>
          <w:rFonts w:ascii="Times New Roman" w:hAnsi="Times New Roman" w:cs="Times New Roman"/>
          <w:sz w:val="24"/>
          <w:szCs w:val="24"/>
        </w:rPr>
        <w:t xml:space="preserve">. </w:t>
      </w:r>
      <w:r w:rsidRPr="00942C60">
        <w:rPr>
          <w:rFonts w:ascii="Times New Roman" w:hAnsi="Times New Roman" w:cs="Times New Roman"/>
          <w:sz w:val="24"/>
          <w:szCs w:val="24"/>
        </w:rPr>
        <w:tab/>
        <w:t xml:space="preserve">[En ligne] </w:t>
      </w:r>
      <w:hyperlink r:id="rId93" w:history="1">
        <w:r w:rsidRPr="00942C60">
          <w:rPr>
            <w:rStyle w:val="Lienhypertexte"/>
            <w:rFonts w:ascii="Times New Roman" w:hAnsi="Times New Roman" w:cs="Times New Roman"/>
            <w:color w:val="auto"/>
            <w:sz w:val="24"/>
            <w:szCs w:val="24"/>
          </w:rPr>
          <w:t>http://feuq.qc.ca/site/pourleducation/coupes-dans-les-cegeps-et-les-</w:t>
        </w:r>
        <w:r w:rsidRPr="00942C60">
          <w:rPr>
            <w:rStyle w:val="Lienhypertexte"/>
            <w:rFonts w:ascii="Times New Roman" w:hAnsi="Times New Roman" w:cs="Times New Roman"/>
            <w:color w:val="auto"/>
            <w:sz w:val="24"/>
            <w:szCs w:val="24"/>
            <w:u w:val="none"/>
          </w:rPr>
          <w:tab/>
        </w:r>
        <w:proofErr w:type="spellStart"/>
        <w:r w:rsidRPr="00942C60">
          <w:rPr>
            <w:rStyle w:val="Lienhypertexte"/>
            <w:rFonts w:ascii="Times New Roman" w:hAnsi="Times New Roman" w:cs="Times New Roman"/>
            <w:color w:val="auto"/>
            <w:sz w:val="24"/>
            <w:szCs w:val="24"/>
          </w:rPr>
          <w:t>universites</w:t>
        </w:r>
        <w:proofErr w:type="spellEnd"/>
        <w:r w:rsidRPr="00942C60">
          <w:rPr>
            <w:rStyle w:val="Lienhypertexte"/>
            <w:rFonts w:ascii="Times New Roman" w:hAnsi="Times New Roman" w:cs="Times New Roman"/>
            <w:color w:val="auto"/>
            <w:sz w:val="24"/>
            <w:szCs w:val="24"/>
          </w:rPr>
          <w:t>/</w:t>
        </w:r>
      </w:hyperlink>
    </w:p>
    <w:p w:rsidR="005409AA" w:rsidRPr="00942C60" w:rsidRDefault="005409AA" w:rsidP="007734AB">
      <w:pPr>
        <w:spacing w:line="240" w:lineRule="auto"/>
        <w:ind w:left="1134" w:hanging="1134"/>
        <w:jc w:val="both"/>
        <w:rPr>
          <w:rFonts w:ascii="Times New Roman" w:hAnsi="Times New Roman" w:cs="Times New Roman"/>
          <w:sz w:val="24"/>
          <w:szCs w:val="24"/>
        </w:rPr>
      </w:pPr>
    </w:p>
    <w:p w:rsidR="005409AA" w:rsidRDefault="005409AA" w:rsidP="007734AB">
      <w:pPr>
        <w:spacing w:line="240" w:lineRule="auto"/>
        <w:ind w:left="1134" w:hanging="1134"/>
        <w:jc w:val="both"/>
        <w:rPr>
          <w:rFonts w:ascii="Times New Roman" w:hAnsi="Times New Roman" w:cs="Times New Roman"/>
          <w:sz w:val="24"/>
          <w:szCs w:val="24"/>
        </w:rPr>
      </w:pPr>
      <w:r w:rsidRPr="00942C60">
        <w:rPr>
          <w:rFonts w:ascii="Times New Roman" w:hAnsi="Times New Roman" w:cs="Times New Roman"/>
          <w:sz w:val="24"/>
          <w:szCs w:val="24"/>
        </w:rPr>
        <w:t xml:space="preserve">Formation sur mesure. </w:t>
      </w:r>
      <w:r w:rsidRPr="00942C60">
        <w:rPr>
          <w:rFonts w:ascii="Times New Roman" w:hAnsi="Times New Roman" w:cs="Times New Roman"/>
          <w:i/>
          <w:sz w:val="24"/>
          <w:szCs w:val="24"/>
        </w:rPr>
        <w:t xml:space="preserve">Leadership ou l’art de diriger. </w:t>
      </w:r>
      <w:r w:rsidRPr="00942C60">
        <w:rPr>
          <w:rFonts w:ascii="Times New Roman" w:hAnsi="Times New Roman" w:cs="Times New Roman"/>
          <w:sz w:val="24"/>
          <w:szCs w:val="24"/>
        </w:rPr>
        <w:t>[En ligne]</w:t>
      </w:r>
      <w:r w:rsidRPr="00942C60">
        <w:rPr>
          <w:rFonts w:ascii="Times New Roman" w:hAnsi="Times New Roman" w:cs="Times New Roman"/>
          <w:i/>
          <w:sz w:val="24"/>
          <w:szCs w:val="24"/>
        </w:rPr>
        <w:t xml:space="preserve"> </w:t>
      </w:r>
      <w:r w:rsidRPr="00942C60">
        <w:rPr>
          <w:rFonts w:ascii="Times New Roman" w:hAnsi="Times New Roman" w:cs="Times New Roman"/>
          <w:i/>
          <w:sz w:val="24"/>
          <w:szCs w:val="24"/>
        </w:rPr>
        <w:tab/>
      </w:r>
      <w:r w:rsidRPr="00942C60">
        <w:rPr>
          <w:rFonts w:ascii="Times New Roman" w:hAnsi="Times New Roman" w:cs="Times New Roman"/>
          <w:sz w:val="24"/>
          <w:szCs w:val="24"/>
        </w:rPr>
        <w:t>oraprdnt.uqtr.uquebec.ca/pls/public/docs/GSC3137/F1940070319_Leadership_ou</w:t>
      </w:r>
      <w:r w:rsidRPr="00942C60">
        <w:rPr>
          <w:rFonts w:ascii="Times New Roman" w:hAnsi="Times New Roman" w:cs="Times New Roman"/>
          <w:sz w:val="24"/>
          <w:szCs w:val="24"/>
        </w:rPr>
        <w:tab/>
        <w:t>_l_art_de_diriger.pdf (page consultée le 4 avril 2015).</w:t>
      </w:r>
    </w:p>
    <w:p w:rsidR="007734AB" w:rsidRPr="00942C60" w:rsidRDefault="007734AB" w:rsidP="007734AB">
      <w:pPr>
        <w:spacing w:line="240" w:lineRule="auto"/>
        <w:ind w:left="1134" w:hanging="1134"/>
        <w:jc w:val="both"/>
        <w:rPr>
          <w:rFonts w:ascii="Times New Roman" w:hAnsi="Times New Roman" w:cs="Times New Roman"/>
          <w:sz w:val="24"/>
          <w:szCs w:val="24"/>
        </w:rPr>
      </w:pPr>
    </w:p>
    <w:p w:rsidR="00FE46A0" w:rsidRPr="003307D4" w:rsidRDefault="00FE46A0" w:rsidP="007734AB">
      <w:pPr>
        <w:pStyle w:val="Notedebasdepage"/>
        <w:ind w:left="1134" w:hanging="1134"/>
        <w:rPr>
          <w:rFonts w:cs="Times New Roman"/>
          <w:sz w:val="24"/>
          <w:szCs w:val="24"/>
        </w:rPr>
      </w:pPr>
      <w:r w:rsidRPr="003307D4">
        <w:rPr>
          <w:rFonts w:cs="Times New Roman"/>
          <w:sz w:val="24"/>
          <w:szCs w:val="24"/>
        </w:rPr>
        <w:lastRenderedPageBreak/>
        <w:t xml:space="preserve">Gouvernement du Québec </w:t>
      </w:r>
      <w:r w:rsidRPr="003307D4">
        <w:rPr>
          <w:rFonts w:cs="Times New Roman"/>
          <w:i/>
          <w:sz w:val="24"/>
          <w:szCs w:val="24"/>
        </w:rPr>
        <w:t>Enseignement supérieur pour tous-</w:t>
      </w:r>
      <w:r w:rsidRPr="003307D4">
        <w:rPr>
          <w:rFonts w:cs="Times New Roman"/>
          <w:sz w:val="24"/>
          <w:szCs w:val="24"/>
        </w:rPr>
        <w:t>http://www.mesrs.gouv.qc.ca/fileadmin/administration/librairies/documents/sommet/Fascicule_2_-_Recherche_et_collaboration.pdf (Page consultée le 8 avril 2015)</w:t>
      </w:r>
    </w:p>
    <w:p w:rsidR="005409AA" w:rsidRPr="00942C60" w:rsidRDefault="005409AA" w:rsidP="007734AB">
      <w:pPr>
        <w:spacing w:line="240" w:lineRule="auto"/>
        <w:ind w:left="1134" w:hanging="1134"/>
        <w:jc w:val="both"/>
        <w:rPr>
          <w:rFonts w:ascii="Times New Roman" w:hAnsi="Times New Roman" w:cs="Times New Roman"/>
          <w:sz w:val="24"/>
          <w:szCs w:val="24"/>
        </w:rPr>
      </w:pPr>
    </w:p>
    <w:p w:rsidR="005409AA" w:rsidRPr="00942C60" w:rsidRDefault="005409AA" w:rsidP="007734AB">
      <w:pPr>
        <w:spacing w:after="0" w:line="240" w:lineRule="auto"/>
        <w:ind w:left="1134" w:hanging="1134"/>
        <w:jc w:val="both"/>
        <w:rPr>
          <w:rFonts w:ascii="Times New Roman" w:hAnsi="Times New Roman" w:cs="Times New Roman"/>
          <w:sz w:val="24"/>
          <w:szCs w:val="24"/>
        </w:rPr>
      </w:pPr>
      <w:r w:rsidRPr="00942C60">
        <w:rPr>
          <w:rFonts w:ascii="Times New Roman" w:hAnsi="Times New Roman" w:cs="Times New Roman"/>
          <w:sz w:val="24"/>
          <w:szCs w:val="24"/>
        </w:rPr>
        <w:t>Gou</w:t>
      </w:r>
      <w:r w:rsidR="00EB5348">
        <w:rPr>
          <w:rFonts w:ascii="Times New Roman" w:hAnsi="Times New Roman" w:cs="Times New Roman"/>
          <w:sz w:val="24"/>
          <w:szCs w:val="24"/>
        </w:rPr>
        <w:t xml:space="preserve">vernement. </w:t>
      </w:r>
      <w:r w:rsidRPr="00942C60">
        <w:rPr>
          <w:rFonts w:ascii="Times New Roman" w:hAnsi="Times New Roman" w:cs="Times New Roman"/>
          <w:sz w:val="24"/>
          <w:szCs w:val="24"/>
        </w:rPr>
        <w:t>Liste des</w:t>
      </w:r>
      <w:r w:rsidR="00EB5348">
        <w:rPr>
          <w:rFonts w:ascii="Times New Roman" w:hAnsi="Times New Roman" w:cs="Times New Roman"/>
          <w:sz w:val="24"/>
          <w:szCs w:val="24"/>
        </w:rPr>
        <w:t xml:space="preserve"> établissements </w:t>
      </w:r>
      <w:proofErr w:type="gramStart"/>
      <w:r w:rsidR="00EB5348">
        <w:rPr>
          <w:rFonts w:ascii="Times New Roman" w:hAnsi="Times New Roman" w:cs="Times New Roman"/>
          <w:sz w:val="24"/>
          <w:szCs w:val="24"/>
        </w:rPr>
        <w:t>universitaires </w:t>
      </w:r>
      <w:r w:rsidRPr="00942C60">
        <w:rPr>
          <w:rFonts w:ascii="Times New Roman" w:hAnsi="Times New Roman" w:cs="Times New Roman"/>
          <w:sz w:val="24"/>
          <w:szCs w:val="24"/>
        </w:rPr>
        <w:t>,</w:t>
      </w:r>
      <w:proofErr w:type="gramEnd"/>
      <w:r w:rsidRPr="00942C60">
        <w:rPr>
          <w:rFonts w:ascii="Times New Roman" w:hAnsi="Times New Roman" w:cs="Times New Roman"/>
          <w:sz w:val="24"/>
          <w:szCs w:val="24"/>
        </w:rPr>
        <w:t xml:space="preserve"> </w:t>
      </w:r>
      <w:r w:rsidRPr="00942C60">
        <w:rPr>
          <w:rFonts w:ascii="Times New Roman" w:hAnsi="Times New Roman" w:cs="Times New Roman"/>
          <w:i/>
          <w:sz w:val="24"/>
          <w:szCs w:val="24"/>
        </w:rPr>
        <w:t>Enseignement supérieur, Recherche et Science du Québec</w:t>
      </w:r>
      <w:r w:rsidRPr="00942C60">
        <w:rPr>
          <w:rFonts w:ascii="Times New Roman" w:hAnsi="Times New Roman" w:cs="Times New Roman"/>
          <w:sz w:val="24"/>
          <w:szCs w:val="24"/>
        </w:rPr>
        <w:t>.  [En ligne] http://www.mesrs.gouv.qc.ca/etudiants-universitaire/admission-a-luniversite/liste-des-etablissements-universitaires/ (Page consultée le 16 février 2015)</w:t>
      </w:r>
    </w:p>
    <w:p w:rsidR="005409AA" w:rsidRDefault="005409AA" w:rsidP="007734AB">
      <w:pPr>
        <w:spacing w:line="240" w:lineRule="auto"/>
        <w:ind w:left="1134" w:hanging="1134"/>
        <w:jc w:val="both"/>
        <w:rPr>
          <w:rFonts w:ascii="Times New Roman" w:hAnsi="Times New Roman" w:cs="Times New Roman"/>
          <w:sz w:val="24"/>
          <w:szCs w:val="24"/>
        </w:rPr>
      </w:pPr>
    </w:p>
    <w:p w:rsidR="00CE6905" w:rsidRPr="003307D4" w:rsidRDefault="0044593C" w:rsidP="007734AB">
      <w:pPr>
        <w:pStyle w:val="Notedebasdepage"/>
        <w:ind w:left="1134" w:hanging="1134"/>
        <w:rPr>
          <w:rFonts w:cs="Times New Roman"/>
          <w:sz w:val="24"/>
          <w:szCs w:val="24"/>
        </w:rPr>
      </w:pPr>
      <w:r>
        <w:rPr>
          <w:rFonts w:cs="Times New Roman"/>
          <w:sz w:val="24"/>
          <w:szCs w:val="24"/>
        </w:rPr>
        <w:t>Gouvernement</w:t>
      </w:r>
      <w:r w:rsidR="00CE6905">
        <w:rPr>
          <w:rFonts w:cs="Times New Roman"/>
          <w:sz w:val="24"/>
          <w:szCs w:val="24"/>
        </w:rPr>
        <w:t xml:space="preserve">. </w:t>
      </w:r>
      <w:r>
        <w:rPr>
          <w:rFonts w:cs="Times New Roman"/>
          <w:sz w:val="24"/>
          <w:szCs w:val="24"/>
        </w:rPr>
        <w:t xml:space="preserve"> </w:t>
      </w:r>
      <w:r w:rsidR="00CE6905" w:rsidRPr="003307D4">
        <w:rPr>
          <w:rFonts w:cs="Times New Roman"/>
          <w:i/>
          <w:sz w:val="24"/>
          <w:szCs w:val="24"/>
        </w:rPr>
        <w:t>Loi sur les établissements d’enseignement de niveau universitaire </w:t>
      </w:r>
      <w:r w:rsidR="00CE6905" w:rsidRPr="003307D4">
        <w:rPr>
          <w:rFonts w:cs="Times New Roman"/>
          <w:sz w:val="24"/>
          <w:szCs w:val="24"/>
        </w:rPr>
        <w:t xml:space="preserve">[En ligne] </w:t>
      </w:r>
      <w:r w:rsidR="00CE6905" w:rsidRPr="00CE6905">
        <w:rPr>
          <w:rFonts w:cs="Times New Roman"/>
          <w:sz w:val="24"/>
          <w:szCs w:val="24"/>
        </w:rPr>
        <w:t> </w:t>
      </w:r>
      <w:hyperlink r:id="rId94" w:history="1">
        <w:r w:rsidR="00CE6905" w:rsidRPr="00CE6905">
          <w:rPr>
            <w:rStyle w:val="Lienhypertexte"/>
            <w:rFonts w:cs="Times New Roman"/>
            <w:color w:val="auto"/>
            <w:sz w:val="24"/>
            <w:szCs w:val="24"/>
          </w:rPr>
          <w:t xml:space="preserve">http://www2.publicationsduquebec.gouv.qc.ca/dynamicSearch/telecharge.php?type=2&amp;file=/E_14_1/E14_1.html </w:t>
        </w:r>
        <w:r w:rsidR="00CE6905" w:rsidRPr="00CE6905">
          <w:rPr>
            <w:rStyle w:val="Lienhypertexte"/>
            <w:rFonts w:cs="Times New Roman"/>
            <w:color w:val="auto"/>
            <w:sz w:val="24"/>
            <w:szCs w:val="24"/>
            <w:u w:val="none"/>
          </w:rPr>
          <w:t>(Page</w:t>
        </w:r>
      </w:hyperlink>
      <w:r w:rsidR="00CE6905" w:rsidRPr="003307D4">
        <w:rPr>
          <w:rFonts w:cs="Times New Roman"/>
          <w:sz w:val="24"/>
          <w:szCs w:val="24"/>
        </w:rPr>
        <w:t xml:space="preserve"> consultée le 15 février 2015)</w:t>
      </w:r>
    </w:p>
    <w:p w:rsidR="005409AA" w:rsidRDefault="005409AA" w:rsidP="007734AB">
      <w:pPr>
        <w:spacing w:line="240" w:lineRule="auto"/>
        <w:ind w:left="1134" w:hanging="1134"/>
        <w:jc w:val="both"/>
        <w:rPr>
          <w:rFonts w:ascii="Times New Roman" w:hAnsi="Times New Roman" w:cs="Times New Roman"/>
          <w:sz w:val="24"/>
          <w:szCs w:val="24"/>
        </w:rPr>
      </w:pPr>
    </w:p>
    <w:p w:rsidR="00FE46A0" w:rsidRDefault="00FE46A0" w:rsidP="007734AB">
      <w:pPr>
        <w:ind w:left="1134" w:hanging="1134"/>
        <w:rPr>
          <w:rFonts w:ascii="Times New Roman" w:hAnsi="Times New Roman" w:cs="Times New Roman"/>
          <w:sz w:val="24"/>
          <w:szCs w:val="24"/>
        </w:rPr>
      </w:pPr>
      <w:r w:rsidRPr="00FE46A0">
        <w:rPr>
          <w:rFonts w:ascii="Times New Roman" w:hAnsi="Times New Roman" w:cs="Times New Roman"/>
          <w:sz w:val="24"/>
          <w:szCs w:val="24"/>
        </w:rPr>
        <w:t>Gouvernement. «</w:t>
      </w:r>
      <w:r w:rsidRPr="00FE46A0">
        <w:rPr>
          <w:rFonts w:ascii="Times New Roman" w:hAnsi="Times New Roman" w:cs="Times New Roman"/>
          <w:i/>
          <w:sz w:val="24"/>
          <w:szCs w:val="24"/>
        </w:rPr>
        <w:t>Prévisions de l’effectif étudiant</w:t>
      </w:r>
      <w:r w:rsidRPr="00FE46A0">
        <w:rPr>
          <w:rFonts w:ascii="Times New Roman" w:hAnsi="Times New Roman" w:cs="Times New Roman"/>
          <w:sz w:val="24"/>
          <w:szCs w:val="24"/>
        </w:rPr>
        <w:t xml:space="preserve"> » </w:t>
      </w:r>
      <w:hyperlink r:id="rId95" w:history="1">
        <w:r w:rsidRPr="00FE46A0">
          <w:rPr>
            <w:rStyle w:val="Lienhypertexte"/>
            <w:rFonts w:ascii="Times New Roman" w:hAnsi="Times New Roman" w:cs="Times New Roman"/>
            <w:color w:val="auto"/>
            <w:sz w:val="24"/>
            <w:szCs w:val="24"/>
          </w:rPr>
          <w:t>http://www.mesrs.gouv.qc.ca/universites/personnel-duniversite/statistiques-etudes-et-rapports/previsions-de-leffectif-etudiant-a-luniversite-previsions-de-2014-a-2028/</w:t>
        </w:r>
      </w:hyperlink>
      <w:r w:rsidRPr="00FE46A0">
        <w:rPr>
          <w:rFonts w:ascii="Times New Roman" w:hAnsi="Times New Roman" w:cs="Times New Roman"/>
          <w:sz w:val="24"/>
          <w:szCs w:val="24"/>
        </w:rPr>
        <w:t xml:space="preserve"> (Page consulté le 27 mars 2015)</w:t>
      </w:r>
    </w:p>
    <w:p w:rsidR="007734AB" w:rsidRPr="00FE46A0" w:rsidRDefault="007734AB" w:rsidP="007734AB">
      <w:pPr>
        <w:ind w:left="1134" w:hanging="1134"/>
        <w:rPr>
          <w:rFonts w:ascii="Times New Roman" w:hAnsi="Times New Roman" w:cs="Times New Roman"/>
          <w:sz w:val="24"/>
          <w:szCs w:val="24"/>
        </w:rPr>
      </w:pPr>
    </w:p>
    <w:p w:rsidR="00FE46A0" w:rsidRDefault="00FE46A0" w:rsidP="007734AB">
      <w:pPr>
        <w:ind w:left="1134" w:hanging="1134"/>
        <w:rPr>
          <w:rFonts w:ascii="Times New Roman" w:hAnsi="Times New Roman" w:cs="Times New Roman"/>
          <w:sz w:val="24"/>
          <w:szCs w:val="24"/>
        </w:rPr>
      </w:pPr>
      <w:r w:rsidRPr="00FE46A0">
        <w:rPr>
          <w:rFonts w:ascii="Times New Roman" w:hAnsi="Times New Roman" w:cs="Times New Roman"/>
          <w:sz w:val="24"/>
          <w:szCs w:val="24"/>
        </w:rPr>
        <w:t>Gouvernement : « </w:t>
      </w:r>
      <w:r w:rsidRPr="00FE46A0">
        <w:rPr>
          <w:rFonts w:ascii="Times New Roman" w:hAnsi="Times New Roman" w:cs="Times New Roman"/>
          <w:i/>
          <w:sz w:val="24"/>
          <w:szCs w:val="24"/>
        </w:rPr>
        <w:t>Service rendu à la communauté par régions</w:t>
      </w:r>
      <w:r w:rsidRPr="00FE46A0">
        <w:rPr>
          <w:rFonts w:ascii="Times New Roman" w:hAnsi="Times New Roman" w:cs="Times New Roman"/>
          <w:sz w:val="24"/>
          <w:szCs w:val="24"/>
        </w:rPr>
        <w:t xml:space="preserve"> » </w:t>
      </w:r>
      <w:hyperlink r:id="rId96" w:history="1">
        <w:r w:rsidRPr="00FE46A0">
          <w:rPr>
            <w:rStyle w:val="Lienhypertexte"/>
            <w:rFonts w:ascii="Times New Roman" w:hAnsi="Times New Roman" w:cs="Times New Roman"/>
            <w:color w:val="auto"/>
            <w:sz w:val="24"/>
            <w:szCs w:val="24"/>
          </w:rPr>
          <w:t>http://www.statcan.gc.ca/</w:t>
        </w:r>
      </w:hyperlink>
      <w:r w:rsidRPr="00FE46A0">
        <w:rPr>
          <w:rFonts w:ascii="Times New Roman" w:hAnsi="Times New Roman" w:cs="Times New Roman"/>
          <w:sz w:val="24"/>
          <w:szCs w:val="24"/>
        </w:rPr>
        <w:t xml:space="preserve"> (consulté le 28 mars 2015)</w:t>
      </w:r>
    </w:p>
    <w:p w:rsidR="007734AB" w:rsidRPr="00FE46A0" w:rsidRDefault="007734AB" w:rsidP="007734AB">
      <w:pPr>
        <w:ind w:left="1134" w:hanging="1134"/>
        <w:rPr>
          <w:rFonts w:ascii="Times New Roman" w:hAnsi="Times New Roman" w:cs="Times New Roman"/>
          <w:sz w:val="24"/>
          <w:szCs w:val="24"/>
        </w:rPr>
      </w:pPr>
    </w:p>
    <w:p w:rsidR="00FE46A0" w:rsidRPr="003307D4" w:rsidRDefault="00FE46A0" w:rsidP="007734AB">
      <w:pPr>
        <w:ind w:left="1134" w:hanging="1134"/>
        <w:rPr>
          <w:rFonts w:ascii="Times New Roman" w:hAnsi="Times New Roman" w:cs="Times New Roman"/>
          <w:sz w:val="24"/>
          <w:szCs w:val="24"/>
        </w:rPr>
      </w:pPr>
      <w:r w:rsidRPr="003307D4">
        <w:rPr>
          <w:rFonts w:ascii="Times New Roman" w:hAnsi="Times New Roman" w:cs="Times New Roman"/>
          <w:sz w:val="24"/>
          <w:szCs w:val="24"/>
        </w:rPr>
        <w:t>Gouvernement du Canada – Chaires de recherches du Canada- http://www.chairs-chaires.gc.ca/about_us-a_notre_sujet/index-fra.aspx# (page consultée le 11 avril 2015)</w:t>
      </w:r>
    </w:p>
    <w:p w:rsidR="005409AA" w:rsidRPr="00942C60" w:rsidRDefault="005409AA" w:rsidP="007734AB">
      <w:pPr>
        <w:spacing w:line="240" w:lineRule="auto"/>
        <w:ind w:left="1134" w:hanging="1134"/>
        <w:jc w:val="both"/>
        <w:rPr>
          <w:rFonts w:ascii="Times New Roman" w:hAnsi="Times New Roman" w:cs="Times New Roman"/>
          <w:sz w:val="24"/>
          <w:szCs w:val="24"/>
        </w:rPr>
      </w:pPr>
    </w:p>
    <w:p w:rsidR="005409AA" w:rsidRDefault="005409AA" w:rsidP="007734AB">
      <w:pPr>
        <w:pStyle w:val="Notedebasdepage"/>
        <w:ind w:left="1134" w:hanging="1134"/>
        <w:jc w:val="both"/>
        <w:rPr>
          <w:rFonts w:cs="Times New Roman"/>
          <w:sz w:val="24"/>
          <w:szCs w:val="24"/>
        </w:rPr>
      </w:pPr>
      <w:proofErr w:type="spellStart"/>
      <w:r w:rsidRPr="00942C60">
        <w:rPr>
          <w:rFonts w:cs="Times New Roman"/>
          <w:sz w:val="24"/>
          <w:szCs w:val="24"/>
        </w:rPr>
        <w:t>Hinse</w:t>
      </w:r>
      <w:proofErr w:type="spellEnd"/>
      <w:r w:rsidRPr="00942C60">
        <w:rPr>
          <w:rFonts w:cs="Times New Roman"/>
          <w:sz w:val="24"/>
          <w:szCs w:val="24"/>
        </w:rPr>
        <w:t xml:space="preserve">, Jean-François. (2014). L’École internationale de français de l’UQTR ouvre un </w:t>
      </w:r>
      <w:r w:rsidRPr="00942C60">
        <w:rPr>
          <w:rFonts w:cs="Times New Roman"/>
          <w:sz w:val="24"/>
          <w:szCs w:val="24"/>
        </w:rPr>
        <w:tab/>
        <w:t xml:space="preserve">bureau de sélection en Chine. [En ligne] </w:t>
      </w:r>
      <w:r w:rsidRPr="00942C60">
        <w:rPr>
          <w:rFonts w:cs="Times New Roman"/>
          <w:sz w:val="24"/>
          <w:szCs w:val="24"/>
        </w:rPr>
        <w:tab/>
      </w:r>
      <w:hyperlink r:id="rId97" w:history="1">
        <w:r w:rsidRPr="00942C60">
          <w:rPr>
            <w:rStyle w:val="Lienhypertexte"/>
            <w:rFonts w:cs="Times New Roman"/>
            <w:color w:val="auto"/>
            <w:sz w:val="24"/>
            <w:szCs w:val="24"/>
          </w:rPr>
          <w:t>http://www.uqtr.ca/media/Comm2014/Novembre/141112_Comm.Ouv.bur.EIF.en.</w:t>
        </w:r>
        <w:r w:rsidRPr="00942C60">
          <w:rPr>
            <w:rStyle w:val="Lienhypertexte"/>
            <w:rFonts w:cs="Times New Roman"/>
            <w:color w:val="auto"/>
            <w:sz w:val="24"/>
            <w:szCs w:val="24"/>
            <w:u w:val="none"/>
          </w:rPr>
          <w:tab/>
        </w:r>
        <w:r w:rsidRPr="00942C60">
          <w:rPr>
            <w:rStyle w:val="Lienhypertexte"/>
            <w:rFonts w:cs="Times New Roman"/>
            <w:color w:val="auto"/>
            <w:sz w:val="24"/>
            <w:szCs w:val="24"/>
          </w:rPr>
          <w:t>Chine.pdf</w:t>
        </w:r>
      </w:hyperlink>
      <w:r w:rsidRPr="00942C60">
        <w:rPr>
          <w:rFonts w:cs="Times New Roman"/>
          <w:sz w:val="24"/>
          <w:szCs w:val="24"/>
        </w:rPr>
        <w:t xml:space="preserve"> </w:t>
      </w:r>
    </w:p>
    <w:p w:rsidR="00FE46A0" w:rsidRDefault="00FE46A0" w:rsidP="007734AB">
      <w:pPr>
        <w:pStyle w:val="Notedebasdepage"/>
        <w:ind w:left="1134" w:hanging="1134"/>
        <w:jc w:val="both"/>
        <w:rPr>
          <w:rFonts w:cs="Times New Roman"/>
          <w:sz w:val="24"/>
          <w:szCs w:val="24"/>
        </w:rPr>
      </w:pPr>
    </w:p>
    <w:p w:rsidR="00FE46A0" w:rsidRPr="00FE46A0" w:rsidRDefault="00FE46A0" w:rsidP="007734AB">
      <w:pPr>
        <w:ind w:left="1134" w:hanging="1134"/>
        <w:rPr>
          <w:rFonts w:ascii="Times New Roman" w:hAnsi="Times New Roman" w:cs="Times New Roman"/>
          <w:sz w:val="24"/>
          <w:szCs w:val="24"/>
        </w:rPr>
      </w:pPr>
      <w:proofErr w:type="spellStart"/>
      <w:r w:rsidRPr="00FE46A0">
        <w:rPr>
          <w:rFonts w:ascii="Times New Roman" w:hAnsi="Times New Roman" w:cs="Times New Roman"/>
          <w:sz w:val="24"/>
          <w:szCs w:val="24"/>
        </w:rPr>
        <w:t>Human</w:t>
      </w:r>
      <w:proofErr w:type="spellEnd"/>
      <w:r w:rsidRPr="00FE46A0">
        <w:rPr>
          <w:rFonts w:ascii="Times New Roman" w:hAnsi="Times New Roman" w:cs="Times New Roman"/>
          <w:sz w:val="24"/>
          <w:szCs w:val="24"/>
        </w:rPr>
        <w:t xml:space="preserve"> Consulting Groupe </w:t>
      </w:r>
      <w:r w:rsidRPr="00FE46A0">
        <w:rPr>
          <w:rFonts w:ascii="Times New Roman" w:hAnsi="Times New Roman" w:cs="Times New Roman"/>
          <w:i/>
          <w:sz w:val="24"/>
          <w:szCs w:val="24"/>
        </w:rPr>
        <w:t xml:space="preserve">Palmarès 2014 de la relation client </w:t>
      </w:r>
      <w:r w:rsidRPr="00FE46A0">
        <w:rPr>
          <w:rFonts w:ascii="Times New Roman" w:hAnsi="Times New Roman" w:cs="Times New Roman"/>
          <w:sz w:val="24"/>
          <w:szCs w:val="24"/>
        </w:rPr>
        <w:t xml:space="preserve"> [En ligne]  </w:t>
      </w:r>
      <w:hyperlink r:id="rId98" w:history="1">
        <w:r w:rsidRPr="00FE46A0">
          <w:rPr>
            <w:rStyle w:val="Lienhypertexte"/>
            <w:rFonts w:ascii="Times New Roman" w:hAnsi="Times New Roman" w:cs="Times New Roman"/>
            <w:color w:val="auto"/>
            <w:sz w:val="24"/>
            <w:szCs w:val="24"/>
          </w:rPr>
          <w:t>http://www.hcgfrance.com/</w:t>
        </w:r>
      </w:hyperlink>
      <w:r w:rsidRPr="00FE46A0">
        <w:rPr>
          <w:rFonts w:ascii="Times New Roman" w:hAnsi="Times New Roman" w:cs="Times New Roman"/>
          <w:sz w:val="24"/>
          <w:szCs w:val="24"/>
        </w:rPr>
        <w:t xml:space="preserve"> (Page consultée le 15 mars 2015)</w:t>
      </w:r>
    </w:p>
    <w:p w:rsidR="0044593C" w:rsidRDefault="0044593C" w:rsidP="007734AB">
      <w:pPr>
        <w:pStyle w:val="Notedebasdepage"/>
        <w:ind w:left="1134" w:hanging="1134"/>
        <w:jc w:val="both"/>
        <w:rPr>
          <w:rFonts w:cs="Times New Roman"/>
          <w:sz w:val="24"/>
          <w:szCs w:val="24"/>
        </w:rPr>
      </w:pPr>
    </w:p>
    <w:p w:rsidR="0044593C" w:rsidRPr="003307D4" w:rsidRDefault="0044593C" w:rsidP="007734AB">
      <w:pPr>
        <w:ind w:left="1134" w:hanging="1134"/>
        <w:rPr>
          <w:rFonts w:ascii="Times New Roman" w:hAnsi="Times New Roman" w:cs="Times New Roman"/>
          <w:sz w:val="24"/>
          <w:szCs w:val="24"/>
        </w:rPr>
      </w:pPr>
      <w:r w:rsidRPr="003307D4">
        <w:rPr>
          <w:rFonts w:ascii="Times New Roman" w:hAnsi="Times New Roman" w:cs="Times New Roman"/>
          <w:sz w:val="24"/>
          <w:szCs w:val="24"/>
        </w:rPr>
        <w:t xml:space="preserve">Ici Radio-Canada </w:t>
      </w:r>
      <w:r w:rsidRPr="003307D4">
        <w:rPr>
          <w:rFonts w:ascii="Times New Roman" w:hAnsi="Times New Roman" w:cs="Times New Roman"/>
          <w:i/>
          <w:sz w:val="24"/>
          <w:szCs w:val="24"/>
        </w:rPr>
        <w:t xml:space="preserve">Première pelletée de terre pour le campus de l’UQTR à </w:t>
      </w:r>
      <w:r w:rsidRPr="0044593C">
        <w:rPr>
          <w:rFonts w:ascii="Times New Roman" w:hAnsi="Times New Roman" w:cs="Times New Roman"/>
          <w:i/>
          <w:sz w:val="24"/>
          <w:szCs w:val="24"/>
        </w:rPr>
        <w:t>Drummondville</w:t>
      </w:r>
      <w:r w:rsidRPr="0044593C">
        <w:rPr>
          <w:rFonts w:ascii="Times New Roman" w:hAnsi="Times New Roman" w:cs="Times New Roman"/>
          <w:sz w:val="24"/>
          <w:szCs w:val="24"/>
        </w:rPr>
        <w:t xml:space="preserve">[En ligne] </w:t>
      </w:r>
      <w:hyperlink r:id="rId99" w:history="1">
        <w:r w:rsidRPr="0044593C">
          <w:rPr>
            <w:rStyle w:val="Lienhypertexte"/>
            <w:rFonts w:ascii="Times New Roman" w:hAnsi="Times New Roman" w:cs="Times New Roman"/>
            <w:color w:val="auto"/>
            <w:sz w:val="24"/>
            <w:szCs w:val="24"/>
          </w:rPr>
          <w:t>http://ici.radio-</w:t>
        </w:r>
        <w:r w:rsidRPr="0044593C">
          <w:rPr>
            <w:rStyle w:val="Lienhypertexte"/>
            <w:rFonts w:ascii="Times New Roman" w:hAnsi="Times New Roman" w:cs="Times New Roman"/>
            <w:color w:val="auto"/>
            <w:sz w:val="24"/>
            <w:szCs w:val="24"/>
          </w:rPr>
          <w:lastRenderedPageBreak/>
          <w:t>canada.ca/regions/mauricie/2014/10/07/001-campus-uqtr-drummondville-construction-pelletee-de-terre.shtml</w:t>
        </w:r>
      </w:hyperlink>
      <w:r w:rsidRPr="0044593C">
        <w:rPr>
          <w:rFonts w:ascii="Times New Roman" w:hAnsi="Times New Roman" w:cs="Times New Roman"/>
          <w:sz w:val="24"/>
          <w:szCs w:val="24"/>
        </w:rPr>
        <w:t xml:space="preserve"> (Page consultée le 15 mars 2015)</w:t>
      </w:r>
    </w:p>
    <w:p w:rsidR="0044593C" w:rsidRPr="00942C60" w:rsidRDefault="0044593C" w:rsidP="007734AB">
      <w:pPr>
        <w:pStyle w:val="Notedebasdepage"/>
        <w:ind w:left="1134" w:hanging="1134"/>
        <w:jc w:val="both"/>
        <w:rPr>
          <w:rFonts w:cs="Times New Roman"/>
          <w:sz w:val="24"/>
          <w:szCs w:val="24"/>
        </w:rPr>
      </w:pPr>
    </w:p>
    <w:p w:rsidR="0044593C" w:rsidRPr="003307D4" w:rsidRDefault="0044593C" w:rsidP="007734AB">
      <w:pPr>
        <w:ind w:left="1134" w:hanging="1134"/>
        <w:rPr>
          <w:rFonts w:ascii="Times New Roman" w:hAnsi="Times New Roman" w:cs="Times New Roman"/>
          <w:sz w:val="24"/>
          <w:szCs w:val="24"/>
        </w:rPr>
      </w:pPr>
      <w:r w:rsidRPr="003307D4">
        <w:rPr>
          <w:rFonts w:ascii="Times New Roman" w:hAnsi="Times New Roman" w:cs="Times New Roman"/>
          <w:sz w:val="24"/>
          <w:szCs w:val="24"/>
        </w:rPr>
        <w:t xml:space="preserve">Institut de recherche sur l’hydrogène </w:t>
      </w:r>
      <w:r w:rsidRPr="003307D4">
        <w:rPr>
          <w:rFonts w:ascii="Times New Roman" w:hAnsi="Times New Roman" w:cs="Times New Roman"/>
          <w:i/>
          <w:sz w:val="24"/>
          <w:szCs w:val="24"/>
        </w:rPr>
        <w:t xml:space="preserve">À propos de </w:t>
      </w:r>
      <w:r w:rsidRPr="003307D4">
        <w:rPr>
          <w:rFonts w:ascii="Times New Roman" w:hAnsi="Times New Roman" w:cs="Times New Roman"/>
          <w:sz w:val="24"/>
          <w:szCs w:val="24"/>
        </w:rPr>
        <w:t>[En li</w:t>
      </w:r>
      <w:r w:rsidRPr="0044593C">
        <w:rPr>
          <w:rFonts w:ascii="Times New Roman" w:hAnsi="Times New Roman" w:cs="Times New Roman"/>
          <w:sz w:val="24"/>
          <w:szCs w:val="24"/>
        </w:rPr>
        <w:t xml:space="preserve">gne] </w:t>
      </w:r>
      <w:hyperlink r:id="rId100" w:history="1">
        <w:r w:rsidRPr="0044593C">
          <w:rPr>
            <w:rStyle w:val="Lienhypertexte"/>
            <w:rFonts w:ascii="Times New Roman" w:hAnsi="Times New Roman" w:cs="Times New Roman"/>
            <w:color w:val="auto"/>
            <w:sz w:val="24"/>
            <w:szCs w:val="24"/>
          </w:rPr>
          <w:t>http://irh.uqtr.ca/accueil/a-propos-de-lirh.html</w:t>
        </w:r>
      </w:hyperlink>
      <w:r w:rsidRPr="003307D4">
        <w:rPr>
          <w:rFonts w:ascii="Times New Roman" w:hAnsi="Times New Roman" w:cs="Times New Roman"/>
          <w:sz w:val="24"/>
          <w:szCs w:val="24"/>
        </w:rPr>
        <w:t xml:space="preserve"> (Page consultée le 5 mars 2015)</w:t>
      </w:r>
    </w:p>
    <w:p w:rsidR="005409AA" w:rsidRPr="00942C60" w:rsidRDefault="005409AA" w:rsidP="007734AB">
      <w:pPr>
        <w:spacing w:line="240" w:lineRule="auto"/>
        <w:ind w:left="1134" w:hanging="1134"/>
        <w:jc w:val="both"/>
        <w:rPr>
          <w:rFonts w:ascii="Times New Roman" w:hAnsi="Times New Roman" w:cs="Times New Roman"/>
          <w:sz w:val="24"/>
          <w:szCs w:val="24"/>
        </w:rPr>
      </w:pPr>
    </w:p>
    <w:p w:rsidR="005409AA" w:rsidRPr="00942C60" w:rsidRDefault="005409AA" w:rsidP="007734AB">
      <w:pPr>
        <w:pStyle w:val="Notedebasdepage"/>
        <w:ind w:left="1134" w:hanging="1134"/>
        <w:jc w:val="both"/>
        <w:rPr>
          <w:rFonts w:cs="Times New Roman"/>
          <w:sz w:val="24"/>
          <w:szCs w:val="24"/>
        </w:rPr>
      </w:pPr>
      <w:r w:rsidRPr="00942C60">
        <w:rPr>
          <w:rFonts w:cs="Times New Roman"/>
          <w:sz w:val="24"/>
          <w:szCs w:val="24"/>
        </w:rPr>
        <w:t xml:space="preserve">Institut de la statistique du Québec. (2014). </w:t>
      </w:r>
      <w:r w:rsidRPr="00942C60">
        <w:rPr>
          <w:rFonts w:cs="Times New Roman"/>
          <w:i/>
          <w:sz w:val="24"/>
          <w:szCs w:val="24"/>
        </w:rPr>
        <w:t>Panorama du Québec 2014</w:t>
      </w:r>
      <w:r w:rsidRPr="00942C60">
        <w:rPr>
          <w:rFonts w:cs="Times New Roman"/>
          <w:sz w:val="24"/>
          <w:szCs w:val="24"/>
        </w:rPr>
        <w:t xml:space="preserve">. [En ligne] </w:t>
      </w:r>
      <w:r w:rsidRPr="00942C60">
        <w:rPr>
          <w:rFonts w:cs="Times New Roman"/>
          <w:sz w:val="24"/>
          <w:szCs w:val="24"/>
        </w:rPr>
        <w:tab/>
      </w:r>
      <w:hyperlink r:id="rId101" w:history="1">
        <w:r w:rsidRPr="00942C60">
          <w:rPr>
            <w:rStyle w:val="Lienhypertexte"/>
            <w:rFonts w:cs="Times New Roman"/>
            <w:color w:val="auto"/>
            <w:sz w:val="24"/>
            <w:szCs w:val="24"/>
          </w:rPr>
          <w:t>http://www.stat.gouv.qc.ca/statistiques/profils/panorama-regions-2014.pdf</w:t>
        </w:r>
      </w:hyperlink>
      <w:r w:rsidRPr="00942C60">
        <w:rPr>
          <w:rFonts w:cs="Times New Roman"/>
          <w:sz w:val="24"/>
          <w:szCs w:val="24"/>
        </w:rPr>
        <w:t>. (p.39).</w:t>
      </w:r>
    </w:p>
    <w:p w:rsidR="005409AA" w:rsidRPr="00942C60" w:rsidRDefault="005409AA" w:rsidP="007734AB">
      <w:pPr>
        <w:spacing w:line="240" w:lineRule="auto"/>
        <w:ind w:left="1134" w:hanging="1134"/>
        <w:jc w:val="both"/>
        <w:rPr>
          <w:rFonts w:ascii="Times New Roman" w:hAnsi="Times New Roman" w:cs="Times New Roman"/>
          <w:sz w:val="24"/>
          <w:szCs w:val="24"/>
        </w:rPr>
      </w:pPr>
    </w:p>
    <w:p w:rsidR="005409AA" w:rsidRPr="00942C60" w:rsidRDefault="005409AA" w:rsidP="007734AB">
      <w:pPr>
        <w:pStyle w:val="Notedebasdepage"/>
        <w:ind w:left="1134" w:hanging="1134"/>
        <w:jc w:val="both"/>
        <w:rPr>
          <w:rFonts w:cs="Times New Roman"/>
          <w:sz w:val="24"/>
          <w:szCs w:val="24"/>
        </w:rPr>
      </w:pPr>
      <w:r w:rsidRPr="00942C60">
        <w:rPr>
          <w:rFonts w:cs="Times New Roman"/>
          <w:sz w:val="24"/>
          <w:szCs w:val="24"/>
        </w:rPr>
        <w:t xml:space="preserve">Institut de la statistique du Québec. (2014). </w:t>
      </w:r>
      <w:r w:rsidRPr="00942C60">
        <w:rPr>
          <w:rFonts w:cs="Times New Roman"/>
          <w:i/>
          <w:sz w:val="24"/>
          <w:szCs w:val="24"/>
        </w:rPr>
        <w:t>Panorama du Québec 2014</w:t>
      </w:r>
      <w:r w:rsidRPr="00942C60">
        <w:rPr>
          <w:rFonts w:cs="Times New Roman"/>
          <w:sz w:val="24"/>
          <w:szCs w:val="24"/>
        </w:rPr>
        <w:t xml:space="preserve">. [En ligne] </w:t>
      </w:r>
      <w:r w:rsidRPr="00942C60">
        <w:rPr>
          <w:rFonts w:cs="Times New Roman"/>
          <w:sz w:val="24"/>
          <w:szCs w:val="24"/>
        </w:rPr>
        <w:tab/>
      </w:r>
      <w:hyperlink r:id="rId102" w:history="1">
        <w:r w:rsidRPr="00942C60">
          <w:rPr>
            <w:rStyle w:val="Lienhypertexte"/>
            <w:rFonts w:cs="Times New Roman"/>
            <w:color w:val="auto"/>
            <w:sz w:val="24"/>
            <w:szCs w:val="24"/>
          </w:rPr>
          <w:t>http://www.stat.gouv.qc.ca/statistiques/profils/panorama-regions-2014.pdf</w:t>
        </w:r>
      </w:hyperlink>
      <w:r w:rsidRPr="00942C60">
        <w:rPr>
          <w:rFonts w:cs="Times New Roman"/>
          <w:sz w:val="24"/>
          <w:szCs w:val="24"/>
        </w:rPr>
        <w:t>.</w:t>
      </w:r>
    </w:p>
    <w:p w:rsidR="005409AA" w:rsidRPr="00942C60" w:rsidRDefault="005409AA" w:rsidP="007734AB">
      <w:pPr>
        <w:pStyle w:val="Notedebasdepage"/>
        <w:ind w:left="1134" w:hanging="1134"/>
        <w:jc w:val="both"/>
        <w:rPr>
          <w:rFonts w:cs="Times New Roman"/>
          <w:sz w:val="24"/>
          <w:szCs w:val="24"/>
        </w:rPr>
      </w:pPr>
    </w:p>
    <w:p w:rsidR="005409AA" w:rsidRPr="00942C60" w:rsidRDefault="005409AA" w:rsidP="007734AB">
      <w:pPr>
        <w:pStyle w:val="Notedebasdepage"/>
        <w:ind w:left="1134" w:hanging="1134"/>
        <w:jc w:val="both"/>
        <w:rPr>
          <w:rFonts w:cs="Times New Roman"/>
          <w:sz w:val="24"/>
          <w:szCs w:val="24"/>
        </w:rPr>
      </w:pPr>
    </w:p>
    <w:p w:rsidR="005409AA" w:rsidRPr="00942C60" w:rsidRDefault="005409AA" w:rsidP="007734AB">
      <w:pPr>
        <w:spacing w:line="240" w:lineRule="auto"/>
        <w:ind w:left="1134" w:hanging="1134"/>
        <w:jc w:val="both"/>
        <w:rPr>
          <w:rFonts w:ascii="Times New Roman" w:hAnsi="Times New Roman" w:cs="Times New Roman"/>
          <w:sz w:val="24"/>
          <w:szCs w:val="24"/>
        </w:rPr>
      </w:pPr>
      <w:r w:rsidRPr="00942C60">
        <w:rPr>
          <w:rFonts w:ascii="Times New Roman" w:hAnsi="Times New Roman" w:cs="Times New Roman"/>
          <w:sz w:val="24"/>
          <w:szCs w:val="24"/>
        </w:rPr>
        <w:t xml:space="preserve">Institut de la statistique du Québec. (2014). </w:t>
      </w:r>
      <w:r w:rsidRPr="00942C60">
        <w:rPr>
          <w:rFonts w:ascii="Times New Roman" w:hAnsi="Times New Roman" w:cs="Times New Roman"/>
          <w:i/>
          <w:sz w:val="24"/>
          <w:szCs w:val="24"/>
        </w:rPr>
        <w:t xml:space="preserve">Regard sur deux décennies d’évolution du </w:t>
      </w:r>
      <w:r w:rsidRPr="00942C60">
        <w:rPr>
          <w:rFonts w:ascii="Times New Roman" w:hAnsi="Times New Roman" w:cs="Times New Roman"/>
          <w:i/>
          <w:sz w:val="24"/>
          <w:szCs w:val="24"/>
        </w:rPr>
        <w:tab/>
        <w:t xml:space="preserve">niveau de scolarité de la population québécoise à partir de l’Enquête sur la </w:t>
      </w:r>
      <w:r w:rsidRPr="00942C60">
        <w:rPr>
          <w:rFonts w:ascii="Times New Roman" w:hAnsi="Times New Roman" w:cs="Times New Roman"/>
          <w:i/>
          <w:sz w:val="24"/>
          <w:szCs w:val="24"/>
        </w:rPr>
        <w:tab/>
        <w:t>population active</w:t>
      </w:r>
      <w:r w:rsidRPr="00942C60">
        <w:rPr>
          <w:rFonts w:ascii="Times New Roman" w:hAnsi="Times New Roman" w:cs="Times New Roman"/>
          <w:sz w:val="24"/>
          <w:szCs w:val="24"/>
        </w:rPr>
        <w:t xml:space="preserve">. [En ligne] </w:t>
      </w:r>
      <w:r w:rsidRPr="00942C60">
        <w:rPr>
          <w:rFonts w:ascii="Times New Roman" w:hAnsi="Times New Roman" w:cs="Times New Roman"/>
          <w:sz w:val="24"/>
          <w:szCs w:val="24"/>
        </w:rPr>
        <w:tab/>
      </w:r>
      <w:hyperlink r:id="rId103" w:history="1">
        <w:r w:rsidRPr="00942C60">
          <w:rPr>
            <w:rStyle w:val="Lienhypertexte"/>
            <w:rFonts w:ascii="Times New Roman" w:hAnsi="Times New Roman" w:cs="Times New Roman"/>
            <w:color w:val="auto"/>
            <w:sz w:val="24"/>
            <w:szCs w:val="24"/>
          </w:rPr>
          <w:t>http://www.stat.gouv.qc.ca/statistiques/population-</w:t>
        </w:r>
        <w:r w:rsidRPr="00942C60">
          <w:rPr>
            <w:rStyle w:val="Lienhypertexte"/>
            <w:rFonts w:ascii="Times New Roman" w:hAnsi="Times New Roman" w:cs="Times New Roman"/>
            <w:color w:val="auto"/>
            <w:sz w:val="24"/>
            <w:szCs w:val="24"/>
            <w:u w:val="none"/>
          </w:rPr>
          <w:tab/>
        </w:r>
        <w:proofErr w:type="spellStart"/>
        <w:r w:rsidRPr="00942C60">
          <w:rPr>
            <w:rStyle w:val="Lienhypertexte"/>
            <w:rFonts w:ascii="Times New Roman" w:hAnsi="Times New Roman" w:cs="Times New Roman"/>
            <w:color w:val="auto"/>
            <w:sz w:val="24"/>
            <w:szCs w:val="24"/>
          </w:rPr>
          <w:t>demographie</w:t>
        </w:r>
        <w:proofErr w:type="spellEnd"/>
        <w:r w:rsidRPr="00942C60">
          <w:rPr>
            <w:rStyle w:val="Lienhypertexte"/>
            <w:rFonts w:ascii="Times New Roman" w:hAnsi="Times New Roman" w:cs="Times New Roman"/>
            <w:color w:val="auto"/>
            <w:sz w:val="24"/>
            <w:szCs w:val="24"/>
          </w:rPr>
          <w:t>/bulletins/coupdoeil-no30.pdf</w:t>
        </w:r>
      </w:hyperlink>
    </w:p>
    <w:p w:rsidR="0044593C" w:rsidRDefault="0044593C" w:rsidP="007734AB">
      <w:pPr>
        <w:pStyle w:val="Notedebasdepage"/>
        <w:ind w:left="1134" w:hanging="1134"/>
        <w:rPr>
          <w:rFonts w:cs="Times New Roman"/>
          <w:sz w:val="24"/>
          <w:szCs w:val="24"/>
        </w:rPr>
      </w:pPr>
      <w:r w:rsidRPr="0044593C">
        <w:rPr>
          <w:rFonts w:cs="Times New Roman"/>
          <w:sz w:val="24"/>
          <w:szCs w:val="24"/>
        </w:rPr>
        <w:t xml:space="preserve">Journal Étudiant UQTR </w:t>
      </w:r>
      <w:r w:rsidRPr="0044593C">
        <w:rPr>
          <w:rFonts w:cs="Times New Roman"/>
          <w:i/>
          <w:sz w:val="24"/>
          <w:szCs w:val="24"/>
        </w:rPr>
        <w:t xml:space="preserve">Pyrrhotite : L’UQTR parmi les victimes </w:t>
      </w:r>
      <w:r w:rsidRPr="0044593C">
        <w:rPr>
          <w:rFonts w:cs="Times New Roman"/>
          <w:sz w:val="24"/>
          <w:szCs w:val="24"/>
        </w:rPr>
        <w:t xml:space="preserve">[En ligne] </w:t>
      </w:r>
      <w:hyperlink r:id="rId104" w:history="1">
        <w:r w:rsidRPr="0044593C">
          <w:rPr>
            <w:rStyle w:val="Lienhypertexte"/>
            <w:rFonts w:cs="Times New Roman"/>
            <w:color w:val="auto"/>
            <w:sz w:val="24"/>
            <w:szCs w:val="24"/>
          </w:rPr>
          <w:t>http://zonecampus.ca/blogue/?p=4257</w:t>
        </w:r>
      </w:hyperlink>
      <w:r w:rsidRPr="0044593C">
        <w:rPr>
          <w:rFonts w:cs="Times New Roman"/>
          <w:sz w:val="24"/>
          <w:szCs w:val="24"/>
        </w:rPr>
        <w:t xml:space="preserve"> (Page consultée le 13 mars 2015)</w:t>
      </w:r>
    </w:p>
    <w:p w:rsidR="00FE46A0" w:rsidRPr="0044593C" w:rsidRDefault="00FE46A0" w:rsidP="007734AB">
      <w:pPr>
        <w:pStyle w:val="Notedebasdepage"/>
        <w:ind w:left="1134" w:hanging="1134"/>
        <w:rPr>
          <w:rFonts w:cs="Times New Roman"/>
          <w:sz w:val="24"/>
          <w:szCs w:val="24"/>
        </w:rPr>
      </w:pPr>
    </w:p>
    <w:p w:rsidR="00A55D21" w:rsidRDefault="00A55D21" w:rsidP="007734AB">
      <w:pPr>
        <w:ind w:left="1134" w:hanging="1134"/>
        <w:rPr>
          <w:rFonts w:ascii="Times New Roman" w:hAnsi="Times New Roman" w:cs="Times New Roman"/>
          <w:sz w:val="24"/>
          <w:szCs w:val="24"/>
        </w:rPr>
      </w:pPr>
      <w:r>
        <w:t xml:space="preserve">Le Devoir, Marco </w:t>
      </w:r>
      <w:proofErr w:type="spellStart"/>
      <w:r>
        <w:t>Bélair</w:t>
      </w:r>
      <w:proofErr w:type="spellEnd"/>
      <w:r>
        <w:t>-</w:t>
      </w:r>
      <w:proofErr w:type="spellStart"/>
      <w:r>
        <w:t>Cirino</w:t>
      </w:r>
      <w:proofErr w:type="spellEnd"/>
      <w:r>
        <w:t xml:space="preserve">, (2014), </w:t>
      </w:r>
      <w:r w:rsidRPr="00EF708E">
        <w:t>Les universités redoutent l’impact des compressions</w:t>
      </w:r>
      <w:r>
        <w:t xml:space="preserve">, </w:t>
      </w:r>
      <w:r w:rsidRPr="00D60383">
        <w:t>[En ligne]</w:t>
      </w:r>
      <w:r>
        <w:t xml:space="preserve">, </w:t>
      </w:r>
      <w:hyperlink r:id="rId105" w:history="1">
        <w:r w:rsidRPr="00A55D21">
          <w:rPr>
            <w:rStyle w:val="Lienhypertexte"/>
            <w:color w:val="auto"/>
          </w:rPr>
          <w:t>http://www.ledevoir.com/societe/education/418586/les-universites-redoutent-l-impact-des-compressions</w:t>
        </w:r>
      </w:hyperlink>
    </w:p>
    <w:p w:rsidR="00FE46A0" w:rsidRDefault="00FE46A0" w:rsidP="007734AB">
      <w:pPr>
        <w:ind w:left="1134" w:hanging="1134"/>
        <w:rPr>
          <w:rFonts w:ascii="Times New Roman" w:hAnsi="Times New Roman" w:cs="Times New Roman"/>
          <w:sz w:val="24"/>
          <w:szCs w:val="24"/>
        </w:rPr>
      </w:pPr>
      <w:r w:rsidRPr="003307D4">
        <w:rPr>
          <w:rFonts w:ascii="Times New Roman" w:hAnsi="Times New Roman" w:cs="Times New Roman"/>
          <w:sz w:val="24"/>
          <w:szCs w:val="24"/>
        </w:rPr>
        <w:t xml:space="preserve">Le Nouvelliste </w:t>
      </w:r>
      <w:r w:rsidRPr="003307D4">
        <w:rPr>
          <w:rFonts w:ascii="Times New Roman" w:hAnsi="Times New Roman" w:cs="Times New Roman"/>
          <w:i/>
          <w:sz w:val="24"/>
          <w:szCs w:val="24"/>
        </w:rPr>
        <w:t xml:space="preserve">Nouvelle hausse du nombre d’étudiants à l’UQTR </w:t>
      </w:r>
      <w:r w:rsidRPr="003307D4">
        <w:rPr>
          <w:rFonts w:ascii="Times New Roman" w:hAnsi="Times New Roman" w:cs="Times New Roman"/>
          <w:sz w:val="24"/>
          <w:szCs w:val="24"/>
        </w:rPr>
        <w:t xml:space="preserve">[En ligne] </w:t>
      </w:r>
      <w:hyperlink r:id="rId106" w:history="1">
        <w:r w:rsidRPr="00FE46A0">
          <w:rPr>
            <w:rStyle w:val="Lienhypertexte"/>
            <w:rFonts w:ascii="Times New Roman" w:hAnsi="Times New Roman" w:cs="Times New Roman"/>
            <w:color w:val="auto"/>
            <w:sz w:val="24"/>
            <w:szCs w:val="24"/>
          </w:rPr>
          <w:t>http://www.lapresse.ca/le-nouvelliste/actualites/201101/26/01-4363745-nouvelle-hausse-du-nombre-detudiants-a-luqtr.php</w:t>
        </w:r>
      </w:hyperlink>
      <w:r w:rsidRPr="00FE46A0">
        <w:rPr>
          <w:rFonts w:ascii="Times New Roman" w:hAnsi="Times New Roman" w:cs="Times New Roman"/>
          <w:sz w:val="24"/>
          <w:szCs w:val="24"/>
        </w:rPr>
        <w:t xml:space="preserve"> (Page consultée</w:t>
      </w:r>
      <w:r w:rsidRPr="003307D4">
        <w:rPr>
          <w:rFonts w:ascii="Times New Roman" w:hAnsi="Times New Roman" w:cs="Times New Roman"/>
          <w:sz w:val="24"/>
          <w:szCs w:val="24"/>
        </w:rPr>
        <w:t xml:space="preserve"> le 15 mars 2015)</w:t>
      </w:r>
    </w:p>
    <w:p w:rsidR="005409AA" w:rsidRPr="00942C60" w:rsidRDefault="005409AA" w:rsidP="007734AB">
      <w:pPr>
        <w:spacing w:line="240" w:lineRule="auto"/>
        <w:ind w:left="1134" w:hanging="1134"/>
        <w:jc w:val="both"/>
        <w:rPr>
          <w:rFonts w:ascii="Times New Roman" w:hAnsi="Times New Roman" w:cs="Times New Roman"/>
          <w:sz w:val="24"/>
          <w:szCs w:val="24"/>
        </w:rPr>
      </w:pPr>
    </w:p>
    <w:p w:rsidR="005409AA" w:rsidRPr="00942C60" w:rsidRDefault="005409AA" w:rsidP="007734AB">
      <w:pPr>
        <w:spacing w:line="240" w:lineRule="auto"/>
        <w:ind w:left="1134" w:hanging="1134"/>
        <w:jc w:val="both"/>
        <w:rPr>
          <w:rFonts w:ascii="Times New Roman" w:hAnsi="Times New Roman" w:cs="Times New Roman"/>
          <w:sz w:val="24"/>
          <w:szCs w:val="24"/>
        </w:rPr>
      </w:pPr>
      <w:r w:rsidRPr="00942C60">
        <w:rPr>
          <w:rFonts w:ascii="Times New Roman" w:hAnsi="Times New Roman" w:cs="Times New Roman"/>
          <w:sz w:val="24"/>
          <w:szCs w:val="24"/>
        </w:rPr>
        <w:t xml:space="preserve">Mentorat. </w:t>
      </w:r>
      <w:r w:rsidRPr="00942C60">
        <w:rPr>
          <w:rFonts w:ascii="Times New Roman" w:hAnsi="Times New Roman" w:cs="Times New Roman"/>
          <w:i/>
          <w:sz w:val="24"/>
          <w:szCs w:val="24"/>
        </w:rPr>
        <w:t>Qu'est-ce que le mentorat</w:t>
      </w:r>
      <w:proofErr w:type="gramStart"/>
      <w:r w:rsidRPr="00942C60">
        <w:rPr>
          <w:rFonts w:ascii="Times New Roman" w:hAnsi="Times New Roman" w:cs="Times New Roman"/>
          <w:i/>
          <w:sz w:val="24"/>
          <w:szCs w:val="24"/>
        </w:rPr>
        <w:t>?.</w:t>
      </w:r>
      <w:proofErr w:type="gramEnd"/>
      <w:r w:rsidRPr="00942C60">
        <w:rPr>
          <w:rFonts w:ascii="Times New Roman" w:hAnsi="Times New Roman" w:cs="Times New Roman"/>
          <w:sz w:val="24"/>
          <w:szCs w:val="24"/>
        </w:rPr>
        <w:t xml:space="preserve"> [En ligne] </w:t>
      </w:r>
      <w:r w:rsidRPr="00942C60">
        <w:rPr>
          <w:rFonts w:ascii="Times New Roman" w:hAnsi="Times New Roman" w:cs="Times New Roman"/>
          <w:sz w:val="24"/>
          <w:szCs w:val="24"/>
        </w:rPr>
        <w:tab/>
      </w:r>
      <w:hyperlink r:id="rId107" w:history="1">
        <w:r w:rsidRPr="00942C60">
          <w:rPr>
            <w:rStyle w:val="Lienhypertexte"/>
            <w:rFonts w:ascii="Times New Roman" w:hAnsi="Times New Roman" w:cs="Times New Roman"/>
            <w:color w:val="auto"/>
            <w:sz w:val="24"/>
            <w:szCs w:val="24"/>
          </w:rPr>
          <w:t>https://oraprdnt.uqtr.uquebec.ca/pls/public/gscw030?owa_no_site=3746&amp;owa_no</w:t>
        </w:r>
      </w:hyperlink>
      <w:r w:rsidRPr="00942C60">
        <w:rPr>
          <w:rFonts w:ascii="Times New Roman" w:hAnsi="Times New Roman" w:cs="Times New Roman"/>
          <w:sz w:val="24"/>
          <w:szCs w:val="24"/>
        </w:rPr>
        <w:tab/>
      </w:r>
      <w:proofErr w:type="spellStart"/>
      <w:r w:rsidRPr="00942C60">
        <w:rPr>
          <w:rFonts w:ascii="Times New Roman" w:hAnsi="Times New Roman" w:cs="Times New Roman"/>
          <w:sz w:val="24"/>
          <w:szCs w:val="24"/>
        </w:rPr>
        <w:t>_fiche</w:t>
      </w:r>
      <w:proofErr w:type="spellEnd"/>
      <w:r w:rsidRPr="00942C60">
        <w:rPr>
          <w:rFonts w:ascii="Times New Roman" w:hAnsi="Times New Roman" w:cs="Times New Roman"/>
          <w:sz w:val="24"/>
          <w:szCs w:val="24"/>
        </w:rPr>
        <w:t>=84 (page consultée le 17 avril 2014).</w:t>
      </w:r>
    </w:p>
    <w:p w:rsidR="005409AA" w:rsidRPr="00942C60" w:rsidRDefault="005409AA" w:rsidP="007734AB">
      <w:pPr>
        <w:pStyle w:val="NormalWeb"/>
        <w:shd w:val="clear" w:color="auto" w:fill="FFFFFF"/>
        <w:spacing w:before="0" w:after="0" w:afterAutospacing="0"/>
        <w:ind w:left="1134" w:hanging="1134"/>
        <w:jc w:val="both"/>
      </w:pPr>
      <w:proofErr w:type="spellStart"/>
      <w:r w:rsidRPr="00942C60">
        <w:t>Montembeault</w:t>
      </w:r>
      <w:proofErr w:type="spellEnd"/>
      <w:r w:rsidRPr="00942C60">
        <w:t xml:space="preserve">, M. (Octobre 2014) Première pelletée de terre pour le campus de l’UQTR à Drummondville. </w:t>
      </w:r>
      <w:r w:rsidRPr="00942C60">
        <w:rPr>
          <w:i/>
        </w:rPr>
        <w:t>Radio-Canada.</w:t>
      </w:r>
      <w:r w:rsidRPr="00942C60">
        <w:t xml:space="preserve"> [En ligne] </w:t>
      </w:r>
      <w:r w:rsidRPr="00942C60">
        <w:rPr>
          <w:rFonts w:eastAsiaTheme="majorEastAsia"/>
          <w:lang w:val="fr-FR"/>
        </w:rPr>
        <w:t>http://ici.radio-canada.ca/regions/mauricie/2014/10/07/001-campus-uqtr-drummondville-construction-pelletee-de-terre.shtml</w:t>
      </w:r>
    </w:p>
    <w:p w:rsidR="005409AA" w:rsidRDefault="005409AA" w:rsidP="007734AB">
      <w:pPr>
        <w:pStyle w:val="Notedebasdepage"/>
        <w:ind w:left="1134" w:hanging="1134"/>
        <w:jc w:val="both"/>
        <w:rPr>
          <w:rFonts w:cs="Times New Roman"/>
          <w:sz w:val="24"/>
          <w:szCs w:val="24"/>
        </w:rPr>
      </w:pPr>
    </w:p>
    <w:p w:rsidR="007734AB" w:rsidRDefault="007734AB" w:rsidP="007734AB">
      <w:pPr>
        <w:pStyle w:val="Notedebasdepage"/>
        <w:ind w:left="1134" w:hanging="1134"/>
        <w:jc w:val="both"/>
        <w:rPr>
          <w:rFonts w:cs="Times New Roman"/>
          <w:sz w:val="24"/>
          <w:szCs w:val="24"/>
        </w:rPr>
      </w:pPr>
    </w:p>
    <w:p w:rsidR="007734AB" w:rsidRDefault="007734AB" w:rsidP="007734AB">
      <w:pPr>
        <w:pStyle w:val="Notedebasdepage"/>
        <w:ind w:left="1134" w:hanging="1134"/>
        <w:jc w:val="both"/>
        <w:rPr>
          <w:rFonts w:cs="Times New Roman"/>
          <w:sz w:val="24"/>
          <w:szCs w:val="24"/>
        </w:rPr>
      </w:pPr>
    </w:p>
    <w:p w:rsidR="005409AA" w:rsidRPr="00942C60" w:rsidRDefault="005409AA" w:rsidP="007734AB">
      <w:pPr>
        <w:spacing w:line="240" w:lineRule="auto"/>
        <w:ind w:left="1134" w:hanging="1134"/>
        <w:jc w:val="both"/>
        <w:rPr>
          <w:rStyle w:val="Lienhypertexte"/>
          <w:rFonts w:ascii="Times New Roman" w:hAnsi="Times New Roman" w:cs="Times New Roman"/>
          <w:color w:val="auto"/>
          <w:sz w:val="24"/>
          <w:szCs w:val="24"/>
        </w:rPr>
      </w:pPr>
      <w:r w:rsidRPr="00942C60">
        <w:rPr>
          <w:rFonts w:ascii="Times New Roman" w:hAnsi="Times New Roman" w:cs="Times New Roman"/>
          <w:sz w:val="24"/>
          <w:szCs w:val="24"/>
        </w:rPr>
        <w:lastRenderedPageBreak/>
        <w:t xml:space="preserve">Radio-Canada. (2015). L'UPAC à l'UQTR : Nadia </w:t>
      </w:r>
      <w:proofErr w:type="spellStart"/>
      <w:r w:rsidRPr="00942C60">
        <w:rPr>
          <w:rFonts w:ascii="Times New Roman" w:hAnsi="Times New Roman" w:cs="Times New Roman"/>
          <w:sz w:val="24"/>
          <w:szCs w:val="24"/>
        </w:rPr>
        <w:t>Ghazzali</w:t>
      </w:r>
      <w:proofErr w:type="spellEnd"/>
      <w:r w:rsidRPr="00942C60">
        <w:rPr>
          <w:rFonts w:ascii="Times New Roman" w:hAnsi="Times New Roman" w:cs="Times New Roman"/>
          <w:sz w:val="24"/>
          <w:szCs w:val="24"/>
        </w:rPr>
        <w:t xml:space="preserve"> dit n'avoir rien à se </w:t>
      </w:r>
      <w:r w:rsidRPr="00942C60">
        <w:rPr>
          <w:rFonts w:ascii="Times New Roman" w:hAnsi="Times New Roman" w:cs="Times New Roman"/>
          <w:sz w:val="24"/>
          <w:szCs w:val="24"/>
        </w:rPr>
        <w:tab/>
        <w:t xml:space="preserve">reprocher. [En ligne] </w:t>
      </w:r>
      <w:hyperlink r:id="rId108" w:history="1">
        <w:r w:rsidRPr="00942C60">
          <w:rPr>
            <w:rStyle w:val="Lienhypertexte"/>
            <w:rFonts w:ascii="Times New Roman" w:hAnsi="Times New Roman" w:cs="Times New Roman"/>
            <w:color w:val="auto"/>
            <w:sz w:val="24"/>
            <w:szCs w:val="24"/>
          </w:rPr>
          <w:t>http://ici.radio-canada.ca/regions/mauricie/2015/01/12/001-</w:t>
        </w:r>
        <w:r w:rsidRPr="00942C60">
          <w:rPr>
            <w:rStyle w:val="Lienhypertexte"/>
            <w:rFonts w:ascii="Times New Roman" w:hAnsi="Times New Roman" w:cs="Times New Roman"/>
            <w:color w:val="auto"/>
            <w:sz w:val="24"/>
            <w:szCs w:val="24"/>
            <w:u w:val="none"/>
          </w:rPr>
          <w:tab/>
        </w:r>
        <w:r w:rsidRPr="00942C60">
          <w:rPr>
            <w:rStyle w:val="Lienhypertexte"/>
            <w:rFonts w:ascii="Times New Roman" w:hAnsi="Times New Roman" w:cs="Times New Roman"/>
            <w:color w:val="auto"/>
            <w:sz w:val="24"/>
            <w:szCs w:val="24"/>
          </w:rPr>
          <w:t>upac-uqtr-nadia-ghazzali-enquete.shtml</w:t>
        </w:r>
      </w:hyperlink>
    </w:p>
    <w:p w:rsidR="005409AA" w:rsidRPr="00942C60" w:rsidRDefault="005409AA" w:rsidP="007734AB">
      <w:pPr>
        <w:spacing w:line="240" w:lineRule="auto"/>
        <w:ind w:left="1134" w:hanging="1134"/>
        <w:jc w:val="both"/>
        <w:rPr>
          <w:rStyle w:val="Lienhypertexte"/>
          <w:rFonts w:ascii="Times New Roman" w:hAnsi="Times New Roman" w:cs="Times New Roman"/>
          <w:color w:val="auto"/>
          <w:sz w:val="24"/>
          <w:szCs w:val="24"/>
        </w:rPr>
      </w:pPr>
    </w:p>
    <w:p w:rsidR="005409AA" w:rsidRPr="00942C60" w:rsidRDefault="005409AA" w:rsidP="007734AB">
      <w:pPr>
        <w:pStyle w:val="Notedebasdepage"/>
        <w:ind w:left="1134" w:hanging="1134"/>
        <w:jc w:val="both"/>
        <w:rPr>
          <w:rFonts w:cs="Times New Roman"/>
          <w:sz w:val="24"/>
          <w:szCs w:val="24"/>
        </w:rPr>
      </w:pPr>
      <w:r w:rsidRPr="00942C60">
        <w:rPr>
          <w:rFonts w:cs="Times New Roman"/>
          <w:sz w:val="24"/>
          <w:szCs w:val="24"/>
        </w:rPr>
        <w:t xml:space="preserve">Radio-Canada via le </w:t>
      </w:r>
      <w:proofErr w:type="spellStart"/>
      <w:r w:rsidRPr="00942C60">
        <w:rPr>
          <w:rFonts w:cs="Times New Roman"/>
          <w:sz w:val="24"/>
          <w:szCs w:val="24"/>
        </w:rPr>
        <w:t>Huffington</w:t>
      </w:r>
      <w:proofErr w:type="spellEnd"/>
      <w:r w:rsidRPr="00942C60">
        <w:rPr>
          <w:rFonts w:cs="Times New Roman"/>
          <w:sz w:val="24"/>
          <w:szCs w:val="24"/>
        </w:rPr>
        <w:t xml:space="preserve"> Post. (2015). </w:t>
      </w:r>
      <w:r w:rsidRPr="00942C60">
        <w:rPr>
          <w:rFonts w:cs="Times New Roman"/>
          <w:i/>
          <w:sz w:val="24"/>
          <w:szCs w:val="24"/>
        </w:rPr>
        <w:t xml:space="preserve">Droits de scolarité: les Français devront </w:t>
      </w:r>
      <w:r w:rsidRPr="00942C60">
        <w:rPr>
          <w:rFonts w:cs="Times New Roman"/>
          <w:i/>
          <w:sz w:val="24"/>
          <w:szCs w:val="24"/>
        </w:rPr>
        <w:tab/>
        <w:t>payer les mêmes frais que les Canadiens hors Québec</w:t>
      </w:r>
      <w:r w:rsidRPr="00942C60">
        <w:rPr>
          <w:rFonts w:cs="Times New Roman"/>
          <w:sz w:val="24"/>
          <w:szCs w:val="24"/>
        </w:rPr>
        <w:t xml:space="preserve">. [En ligne] </w:t>
      </w:r>
      <w:r w:rsidRPr="00942C60">
        <w:rPr>
          <w:rFonts w:cs="Times New Roman"/>
          <w:sz w:val="24"/>
          <w:szCs w:val="24"/>
        </w:rPr>
        <w:tab/>
      </w:r>
      <w:hyperlink r:id="rId109" w:history="1">
        <w:r w:rsidRPr="00942C60">
          <w:rPr>
            <w:rStyle w:val="Lienhypertexte"/>
            <w:rFonts w:cs="Times New Roman"/>
            <w:color w:val="auto"/>
            <w:sz w:val="24"/>
            <w:szCs w:val="24"/>
          </w:rPr>
          <w:t>http://quebec.huffingtonpost.ca/2015/02/12/quebec-triple-les-droits-de-scolarite-</w:t>
        </w:r>
        <w:r w:rsidRPr="00942C60">
          <w:rPr>
            <w:rStyle w:val="Lienhypertexte"/>
            <w:rFonts w:cs="Times New Roman"/>
            <w:color w:val="auto"/>
            <w:sz w:val="24"/>
            <w:szCs w:val="24"/>
            <w:u w:val="none"/>
          </w:rPr>
          <w:tab/>
        </w:r>
        <w:r w:rsidRPr="00942C60">
          <w:rPr>
            <w:rStyle w:val="Lienhypertexte"/>
            <w:rFonts w:cs="Times New Roman"/>
            <w:color w:val="auto"/>
            <w:sz w:val="24"/>
            <w:szCs w:val="24"/>
          </w:rPr>
          <w:t>des-etudiants-francais_n_6670568.html</w:t>
        </w:r>
      </w:hyperlink>
    </w:p>
    <w:p w:rsidR="005409AA" w:rsidRPr="00942C60" w:rsidRDefault="005409AA" w:rsidP="007734AB">
      <w:pPr>
        <w:pStyle w:val="Notedebasdepage"/>
        <w:ind w:left="1134" w:hanging="1134"/>
        <w:jc w:val="both"/>
        <w:rPr>
          <w:rFonts w:cs="Times New Roman"/>
          <w:sz w:val="24"/>
          <w:szCs w:val="24"/>
        </w:rPr>
      </w:pPr>
    </w:p>
    <w:p w:rsidR="005409AA" w:rsidRPr="00942C60" w:rsidRDefault="005409AA" w:rsidP="007734AB">
      <w:pPr>
        <w:pStyle w:val="Notedebasdepage"/>
        <w:ind w:left="1134" w:hanging="1134"/>
        <w:jc w:val="both"/>
        <w:rPr>
          <w:rFonts w:cs="Times New Roman"/>
          <w:sz w:val="24"/>
          <w:szCs w:val="24"/>
        </w:rPr>
      </w:pPr>
      <w:proofErr w:type="gramStart"/>
      <w:r w:rsidRPr="00942C60">
        <w:rPr>
          <w:rFonts w:cs="Times New Roman"/>
          <w:sz w:val="24"/>
          <w:szCs w:val="24"/>
          <w:lang w:val="en-CA"/>
        </w:rPr>
        <w:t>Research Overview.</w:t>
      </w:r>
      <w:proofErr w:type="gramEnd"/>
      <w:r w:rsidRPr="00942C60">
        <w:rPr>
          <w:rFonts w:cs="Times New Roman"/>
          <w:sz w:val="24"/>
          <w:szCs w:val="24"/>
          <w:lang w:val="en-CA"/>
        </w:rPr>
        <w:t xml:space="preserve"> </w:t>
      </w:r>
      <w:proofErr w:type="gramStart"/>
      <w:r w:rsidRPr="00942C60">
        <w:rPr>
          <w:rFonts w:cs="Times New Roman"/>
          <w:sz w:val="24"/>
          <w:szCs w:val="24"/>
          <w:lang w:val="en-CA"/>
        </w:rPr>
        <w:t xml:space="preserve">(2013). </w:t>
      </w:r>
      <w:r w:rsidRPr="00942C60">
        <w:rPr>
          <w:rFonts w:cs="Times New Roman"/>
          <w:i/>
          <w:sz w:val="24"/>
          <w:szCs w:val="24"/>
          <w:lang w:val="en-CA"/>
        </w:rPr>
        <w:t xml:space="preserve">What We Know </w:t>
      </w:r>
      <w:proofErr w:type="spellStart"/>
      <w:r w:rsidRPr="00942C60">
        <w:rPr>
          <w:rFonts w:cs="Times New Roman"/>
          <w:i/>
          <w:sz w:val="24"/>
          <w:szCs w:val="24"/>
          <w:lang w:val="en-CA"/>
        </w:rPr>
        <w:t>AboutOnline</w:t>
      </w:r>
      <w:proofErr w:type="spellEnd"/>
      <w:r w:rsidRPr="00942C60">
        <w:rPr>
          <w:rFonts w:cs="Times New Roman"/>
          <w:i/>
          <w:sz w:val="24"/>
          <w:szCs w:val="24"/>
          <w:lang w:val="en-CA"/>
        </w:rPr>
        <w:t xml:space="preserve"> Course Outcomes</w:t>
      </w:r>
      <w:r w:rsidRPr="00942C60">
        <w:rPr>
          <w:rFonts w:cs="Times New Roman"/>
          <w:sz w:val="24"/>
          <w:szCs w:val="24"/>
          <w:lang w:val="en-CA"/>
        </w:rPr>
        <w:t>.</w:t>
      </w:r>
      <w:proofErr w:type="gramEnd"/>
      <w:r w:rsidRPr="00942C60">
        <w:rPr>
          <w:rFonts w:cs="Times New Roman"/>
          <w:sz w:val="24"/>
          <w:szCs w:val="24"/>
          <w:lang w:val="en-CA"/>
        </w:rPr>
        <w:t xml:space="preserve"> </w:t>
      </w:r>
      <w:r w:rsidRPr="00942C60">
        <w:rPr>
          <w:rFonts w:cs="Times New Roman"/>
          <w:sz w:val="24"/>
          <w:szCs w:val="24"/>
        </w:rPr>
        <w:t xml:space="preserve">[En ligne] </w:t>
      </w:r>
      <w:r w:rsidRPr="00942C60">
        <w:rPr>
          <w:rFonts w:cs="Times New Roman"/>
          <w:sz w:val="24"/>
          <w:szCs w:val="24"/>
        </w:rPr>
        <w:tab/>
      </w:r>
      <w:hyperlink r:id="rId110" w:history="1">
        <w:r w:rsidRPr="00942C60">
          <w:rPr>
            <w:rStyle w:val="Lienhypertexte"/>
            <w:rFonts w:cs="Times New Roman"/>
            <w:color w:val="auto"/>
            <w:sz w:val="24"/>
            <w:szCs w:val="24"/>
          </w:rPr>
          <w:t>http://eric.ed.gov/?id=ED542143</w:t>
        </w:r>
      </w:hyperlink>
      <w:r w:rsidRPr="00942C60">
        <w:rPr>
          <w:rFonts w:cs="Times New Roman"/>
          <w:sz w:val="24"/>
          <w:szCs w:val="24"/>
        </w:rPr>
        <w:t xml:space="preserve"> </w:t>
      </w:r>
    </w:p>
    <w:p w:rsidR="005409AA" w:rsidRDefault="005409AA" w:rsidP="007734AB">
      <w:pPr>
        <w:spacing w:line="240" w:lineRule="auto"/>
        <w:ind w:left="1134" w:hanging="1134"/>
        <w:jc w:val="both"/>
        <w:rPr>
          <w:rFonts w:ascii="Times New Roman" w:hAnsi="Times New Roman" w:cs="Times New Roman"/>
          <w:sz w:val="24"/>
          <w:szCs w:val="24"/>
        </w:rPr>
      </w:pPr>
    </w:p>
    <w:p w:rsidR="005409AA" w:rsidRPr="00942C60" w:rsidRDefault="005409AA" w:rsidP="007734AB">
      <w:pPr>
        <w:pStyle w:val="Notedebasdepage"/>
        <w:ind w:left="1134" w:hanging="1134"/>
        <w:jc w:val="both"/>
        <w:rPr>
          <w:rFonts w:cs="Times New Roman"/>
          <w:sz w:val="24"/>
          <w:szCs w:val="24"/>
        </w:rPr>
      </w:pPr>
      <w:r w:rsidRPr="00942C60">
        <w:rPr>
          <w:rFonts w:cs="Times New Roman"/>
          <w:sz w:val="24"/>
          <w:szCs w:val="24"/>
        </w:rPr>
        <w:t xml:space="preserve">Rédaction En tête. (12 janvier 2015). La direction de l’UQTR offre son entière collaboration à l’UPAC et au Vérificateur général du Québec. </w:t>
      </w:r>
      <w:r w:rsidRPr="00942C60">
        <w:rPr>
          <w:rFonts w:cs="Times New Roman"/>
          <w:i/>
          <w:sz w:val="24"/>
          <w:szCs w:val="24"/>
        </w:rPr>
        <w:t>En tête. Nouvelles à l’UQTR</w:t>
      </w:r>
      <w:r w:rsidRPr="00942C60">
        <w:rPr>
          <w:rFonts w:cs="Times New Roman"/>
          <w:sz w:val="24"/>
          <w:szCs w:val="24"/>
        </w:rPr>
        <w:t xml:space="preserve">. [En ligne] </w:t>
      </w:r>
      <w:hyperlink r:id="rId111" w:history="1">
        <w:r w:rsidRPr="00942C60">
          <w:rPr>
            <w:rStyle w:val="Lienhypertexte"/>
            <w:rFonts w:cs="Times New Roman"/>
            <w:color w:val="auto"/>
            <w:sz w:val="24"/>
            <w:szCs w:val="24"/>
          </w:rPr>
          <w:t>http://blogue.uqtr.ca/2015/01/12/direction-luqtr-offre-entiere-collaboration-lupac-au-verificateur-general-du-quebec-2/</w:t>
        </w:r>
      </w:hyperlink>
    </w:p>
    <w:p w:rsidR="005409AA" w:rsidRPr="00942C60" w:rsidRDefault="005409AA" w:rsidP="007734AB">
      <w:pPr>
        <w:pStyle w:val="Notedebasdepage"/>
        <w:ind w:left="1134" w:hanging="1134"/>
        <w:jc w:val="both"/>
        <w:rPr>
          <w:rFonts w:cs="Times New Roman"/>
          <w:sz w:val="24"/>
          <w:szCs w:val="24"/>
        </w:rPr>
      </w:pPr>
    </w:p>
    <w:p w:rsidR="005409AA" w:rsidRPr="00942C60" w:rsidRDefault="005409AA" w:rsidP="007734AB">
      <w:pPr>
        <w:pStyle w:val="Notedebasdepage"/>
        <w:ind w:left="1134" w:hanging="1134"/>
        <w:jc w:val="both"/>
        <w:rPr>
          <w:rFonts w:cs="Times New Roman"/>
          <w:sz w:val="24"/>
          <w:szCs w:val="24"/>
        </w:rPr>
      </w:pPr>
    </w:p>
    <w:p w:rsidR="005409AA" w:rsidRPr="00942C60" w:rsidRDefault="005409AA" w:rsidP="007734AB">
      <w:pPr>
        <w:pStyle w:val="Notedebasdepage"/>
        <w:ind w:left="1134" w:hanging="1134"/>
        <w:jc w:val="both"/>
        <w:rPr>
          <w:rFonts w:cs="Times New Roman"/>
          <w:sz w:val="24"/>
          <w:szCs w:val="24"/>
        </w:rPr>
      </w:pPr>
      <w:r w:rsidRPr="00942C60">
        <w:rPr>
          <w:rFonts w:cs="Times New Roman"/>
          <w:sz w:val="24"/>
          <w:szCs w:val="24"/>
        </w:rPr>
        <w:t xml:space="preserve">Rédigés par l’Institut de la statistique du Québec, nous avons consulté les éditions 2009 à </w:t>
      </w:r>
      <w:r w:rsidRPr="00942C60">
        <w:rPr>
          <w:rFonts w:cs="Times New Roman"/>
          <w:sz w:val="24"/>
          <w:szCs w:val="24"/>
        </w:rPr>
        <w:tab/>
        <w:t>2014.</w:t>
      </w:r>
    </w:p>
    <w:p w:rsidR="005409AA" w:rsidRPr="00942C60" w:rsidRDefault="005409AA" w:rsidP="007734AB">
      <w:pPr>
        <w:pStyle w:val="Notedebasdepage"/>
        <w:ind w:left="1134" w:hanging="1134"/>
        <w:jc w:val="both"/>
        <w:rPr>
          <w:rStyle w:val="Lienhypertexte"/>
          <w:rFonts w:cs="Times New Roman"/>
          <w:color w:val="auto"/>
          <w:sz w:val="24"/>
          <w:szCs w:val="24"/>
        </w:rPr>
      </w:pPr>
    </w:p>
    <w:p w:rsidR="005409AA" w:rsidRPr="00942C60" w:rsidRDefault="005409AA" w:rsidP="007734AB">
      <w:pPr>
        <w:pStyle w:val="Notedebasdepage"/>
        <w:ind w:left="1134" w:hanging="1134"/>
        <w:jc w:val="both"/>
        <w:rPr>
          <w:rFonts w:cs="Times New Roman"/>
          <w:sz w:val="24"/>
          <w:szCs w:val="24"/>
        </w:rPr>
      </w:pPr>
    </w:p>
    <w:p w:rsidR="005409AA" w:rsidRPr="00942C60" w:rsidRDefault="005409AA" w:rsidP="007734AB">
      <w:pPr>
        <w:spacing w:line="240" w:lineRule="auto"/>
        <w:ind w:left="1134" w:hanging="1134"/>
        <w:jc w:val="both"/>
        <w:rPr>
          <w:rFonts w:ascii="Times New Roman" w:hAnsi="Times New Roman" w:cs="Times New Roman"/>
          <w:sz w:val="24"/>
          <w:szCs w:val="24"/>
        </w:rPr>
      </w:pPr>
      <w:r w:rsidRPr="00942C60">
        <w:rPr>
          <w:rFonts w:ascii="Times New Roman" w:hAnsi="Times New Roman" w:cs="Times New Roman"/>
          <w:sz w:val="24"/>
          <w:szCs w:val="24"/>
        </w:rPr>
        <w:t xml:space="preserve">Statistiques Canada. (2014). </w:t>
      </w:r>
      <w:r w:rsidRPr="00942C60">
        <w:rPr>
          <w:rFonts w:ascii="Times New Roman" w:hAnsi="Times New Roman" w:cs="Times New Roman"/>
          <w:i/>
          <w:sz w:val="24"/>
          <w:szCs w:val="24"/>
        </w:rPr>
        <w:t xml:space="preserve">Enquête annuelle sur les dépenses en immobilisations et </w:t>
      </w:r>
      <w:r w:rsidRPr="00942C60">
        <w:rPr>
          <w:rFonts w:ascii="Times New Roman" w:hAnsi="Times New Roman" w:cs="Times New Roman"/>
          <w:i/>
          <w:sz w:val="24"/>
          <w:szCs w:val="24"/>
        </w:rPr>
        <w:tab/>
        <w:t>réparations : réelles, provisoires, perspectives</w:t>
      </w:r>
      <w:r w:rsidRPr="00942C60">
        <w:rPr>
          <w:rFonts w:ascii="Times New Roman" w:hAnsi="Times New Roman" w:cs="Times New Roman"/>
          <w:sz w:val="24"/>
          <w:szCs w:val="24"/>
        </w:rPr>
        <w:t xml:space="preserve">. [En ligne] </w:t>
      </w:r>
      <w:r w:rsidRPr="00942C60">
        <w:rPr>
          <w:rFonts w:ascii="Times New Roman" w:hAnsi="Times New Roman" w:cs="Times New Roman"/>
          <w:sz w:val="24"/>
          <w:szCs w:val="24"/>
        </w:rPr>
        <w:tab/>
      </w:r>
      <w:hyperlink r:id="rId112" w:history="1">
        <w:r w:rsidRPr="00942C60">
          <w:rPr>
            <w:rStyle w:val="Lienhypertexte"/>
            <w:rFonts w:ascii="Times New Roman" w:hAnsi="Times New Roman" w:cs="Times New Roman"/>
            <w:color w:val="auto"/>
            <w:sz w:val="24"/>
            <w:szCs w:val="24"/>
          </w:rPr>
          <w:t>http://www23.statcan.gc.ca/imdb/p2SV_f.pl?Function=getSurvey&amp;SDDS=2803&amp;</w:t>
        </w:r>
        <w:r w:rsidRPr="00942C60">
          <w:rPr>
            <w:rStyle w:val="Lienhypertexte"/>
            <w:rFonts w:ascii="Times New Roman" w:hAnsi="Times New Roman" w:cs="Times New Roman"/>
            <w:color w:val="auto"/>
            <w:sz w:val="24"/>
            <w:szCs w:val="24"/>
            <w:u w:val="none"/>
          </w:rPr>
          <w:tab/>
        </w:r>
        <w:proofErr w:type="spellStart"/>
        <w:r w:rsidRPr="00942C60">
          <w:rPr>
            <w:rStyle w:val="Lienhypertexte"/>
            <w:rFonts w:ascii="Times New Roman" w:hAnsi="Times New Roman" w:cs="Times New Roman"/>
            <w:color w:val="auto"/>
            <w:sz w:val="24"/>
            <w:szCs w:val="24"/>
          </w:rPr>
          <w:t>lang</w:t>
        </w:r>
        <w:proofErr w:type="spellEnd"/>
        <w:r w:rsidRPr="00942C60">
          <w:rPr>
            <w:rStyle w:val="Lienhypertexte"/>
            <w:rFonts w:ascii="Times New Roman" w:hAnsi="Times New Roman" w:cs="Times New Roman"/>
            <w:color w:val="auto"/>
            <w:sz w:val="24"/>
            <w:szCs w:val="24"/>
          </w:rPr>
          <w:t>=</w:t>
        </w:r>
        <w:proofErr w:type="spellStart"/>
        <w:r w:rsidRPr="00942C60">
          <w:rPr>
            <w:rStyle w:val="Lienhypertexte"/>
            <w:rFonts w:ascii="Times New Roman" w:hAnsi="Times New Roman" w:cs="Times New Roman"/>
            <w:color w:val="auto"/>
            <w:sz w:val="24"/>
            <w:szCs w:val="24"/>
          </w:rPr>
          <w:t>fr</w:t>
        </w:r>
        <w:proofErr w:type="spellEnd"/>
        <w:r w:rsidRPr="00942C60">
          <w:rPr>
            <w:rStyle w:val="Lienhypertexte"/>
            <w:rFonts w:ascii="Times New Roman" w:hAnsi="Times New Roman" w:cs="Times New Roman"/>
            <w:color w:val="auto"/>
            <w:sz w:val="24"/>
            <w:szCs w:val="24"/>
          </w:rPr>
          <w:t>&amp;</w:t>
        </w:r>
        <w:proofErr w:type="spellStart"/>
        <w:r w:rsidRPr="00942C60">
          <w:rPr>
            <w:rStyle w:val="Lienhypertexte"/>
            <w:rFonts w:ascii="Times New Roman" w:hAnsi="Times New Roman" w:cs="Times New Roman"/>
            <w:color w:val="auto"/>
            <w:sz w:val="24"/>
            <w:szCs w:val="24"/>
          </w:rPr>
          <w:t>db</w:t>
        </w:r>
        <w:proofErr w:type="spellEnd"/>
        <w:r w:rsidRPr="00942C60">
          <w:rPr>
            <w:rStyle w:val="Lienhypertexte"/>
            <w:rFonts w:ascii="Times New Roman" w:hAnsi="Times New Roman" w:cs="Times New Roman"/>
            <w:color w:val="auto"/>
            <w:sz w:val="24"/>
            <w:szCs w:val="24"/>
          </w:rPr>
          <w:t>=</w:t>
        </w:r>
        <w:proofErr w:type="spellStart"/>
        <w:r w:rsidRPr="00942C60">
          <w:rPr>
            <w:rStyle w:val="Lienhypertexte"/>
            <w:rFonts w:ascii="Times New Roman" w:hAnsi="Times New Roman" w:cs="Times New Roman"/>
            <w:color w:val="auto"/>
            <w:sz w:val="24"/>
            <w:szCs w:val="24"/>
          </w:rPr>
          <w:t>imdb</w:t>
        </w:r>
        <w:proofErr w:type="spellEnd"/>
        <w:r w:rsidRPr="00942C60">
          <w:rPr>
            <w:rStyle w:val="Lienhypertexte"/>
            <w:rFonts w:ascii="Times New Roman" w:hAnsi="Times New Roman" w:cs="Times New Roman"/>
            <w:color w:val="auto"/>
            <w:sz w:val="24"/>
            <w:szCs w:val="24"/>
          </w:rPr>
          <w:t>&amp;</w:t>
        </w:r>
        <w:proofErr w:type="spellStart"/>
        <w:r w:rsidRPr="00942C60">
          <w:rPr>
            <w:rStyle w:val="Lienhypertexte"/>
            <w:rFonts w:ascii="Times New Roman" w:hAnsi="Times New Roman" w:cs="Times New Roman"/>
            <w:color w:val="auto"/>
            <w:sz w:val="24"/>
            <w:szCs w:val="24"/>
          </w:rPr>
          <w:t>adm</w:t>
        </w:r>
        <w:proofErr w:type="spellEnd"/>
        <w:r w:rsidRPr="00942C60">
          <w:rPr>
            <w:rStyle w:val="Lienhypertexte"/>
            <w:rFonts w:ascii="Times New Roman" w:hAnsi="Times New Roman" w:cs="Times New Roman"/>
            <w:color w:val="auto"/>
            <w:sz w:val="24"/>
            <w:szCs w:val="24"/>
          </w:rPr>
          <w:t>=8&amp;dis=2</w:t>
        </w:r>
      </w:hyperlink>
    </w:p>
    <w:p w:rsidR="005409AA" w:rsidRPr="00942C60" w:rsidRDefault="005409AA" w:rsidP="007734AB">
      <w:pPr>
        <w:spacing w:line="240" w:lineRule="auto"/>
        <w:ind w:left="1134" w:hanging="1134"/>
        <w:jc w:val="both"/>
        <w:rPr>
          <w:rFonts w:ascii="Times New Roman" w:hAnsi="Times New Roman" w:cs="Times New Roman"/>
          <w:sz w:val="24"/>
          <w:szCs w:val="24"/>
        </w:rPr>
      </w:pPr>
    </w:p>
    <w:p w:rsidR="005409AA" w:rsidRPr="00942C60" w:rsidRDefault="005409AA" w:rsidP="007734AB">
      <w:pPr>
        <w:spacing w:line="240" w:lineRule="auto"/>
        <w:ind w:left="1134" w:hanging="1134"/>
        <w:jc w:val="both"/>
        <w:rPr>
          <w:rFonts w:ascii="Times New Roman" w:hAnsi="Times New Roman" w:cs="Times New Roman"/>
          <w:sz w:val="24"/>
          <w:szCs w:val="24"/>
        </w:rPr>
      </w:pPr>
      <w:proofErr w:type="gramStart"/>
      <w:r w:rsidRPr="005409AA">
        <w:rPr>
          <w:rFonts w:ascii="Times New Roman" w:hAnsi="Times New Roman" w:cs="Times New Roman"/>
          <w:sz w:val="24"/>
          <w:szCs w:val="24"/>
          <w:lang w:val="en-CA"/>
        </w:rPr>
        <w:t>Trading Economics.</w:t>
      </w:r>
      <w:proofErr w:type="gramEnd"/>
      <w:r w:rsidRPr="005409AA">
        <w:rPr>
          <w:rFonts w:ascii="Times New Roman" w:hAnsi="Times New Roman" w:cs="Times New Roman"/>
          <w:sz w:val="24"/>
          <w:szCs w:val="24"/>
          <w:lang w:val="en-CA"/>
        </w:rPr>
        <w:t xml:space="preserve"> </w:t>
      </w:r>
      <w:proofErr w:type="gramStart"/>
      <w:r w:rsidRPr="005409AA">
        <w:rPr>
          <w:rFonts w:ascii="Times New Roman" w:hAnsi="Times New Roman" w:cs="Times New Roman"/>
          <w:sz w:val="24"/>
          <w:szCs w:val="24"/>
          <w:lang w:val="en-CA"/>
        </w:rPr>
        <w:t xml:space="preserve">(2015). </w:t>
      </w:r>
      <w:r w:rsidRPr="005409AA">
        <w:rPr>
          <w:rFonts w:ascii="Times New Roman" w:hAnsi="Times New Roman" w:cs="Times New Roman"/>
          <w:i/>
          <w:sz w:val="24"/>
          <w:szCs w:val="24"/>
          <w:lang w:val="en-CA"/>
        </w:rPr>
        <w:t>Canada Unemployment Rate</w:t>
      </w:r>
      <w:r w:rsidRPr="005409AA">
        <w:rPr>
          <w:rFonts w:ascii="Times New Roman" w:hAnsi="Times New Roman" w:cs="Times New Roman"/>
          <w:sz w:val="24"/>
          <w:szCs w:val="24"/>
          <w:lang w:val="en-CA"/>
        </w:rPr>
        <w:t>.</w:t>
      </w:r>
      <w:proofErr w:type="gramEnd"/>
      <w:r w:rsidRPr="005409AA">
        <w:rPr>
          <w:rFonts w:ascii="Times New Roman" w:hAnsi="Times New Roman" w:cs="Times New Roman"/>
          <w:sz w:val="24"/>
          <w:szCs w:val="24"/>
          <w:lang w:val="en-CA"/>
        </w:rPr>
        <w:t xml:space="preserve"> </w:t>
      </w:r>
      <w:r w:rsidRPr="00942C60">
        <w:rPr>
          <w:rFonts w:ascii="Times New Roman" w:hAnsi="Times New Roman" w:cs="Times New Roman"/>
          <w:sz w:val="24"/>
          <w:szCs w:val="24"/>
        </w:rPr>
        <w:t xml:space="preserve">[En ligne] </w:t>
      </w:r>
      <w:r w:rsidRPr="00942C60">
        <w:rPr>
          <w:rFonts w:ascii="Times New Roman" w:hAnsi="Times New Roman" w:cs="Times New Roman"/>
          <w:sz w:val="24"/>
          <w:szCs w:val="24"/>
        </w:rPr>
        <w:tab/>
      </w:r>
      <w:hyperlink r:id="rId113" w:history="1">
        <w:r w:rsidRPr="00942C60">
          <w:rPr>
            <w:rStyle w:val="Lienhypertexte"/>
            <w:rFonts w:ascii="Times New Roman" w:hAnsi="Times New Roman" w:cs="Times New Roman"/>
            <w:color w:val="auto"/>
            <w:sz w:val="24"/>
            <w:szCs w:val="24"/>
          </w:rPr>
          <w:t>http://www.tradingeconomics.com/canada/unemployment-rate</w:t>
        </w:r>
      </w:hyperlink>
    </w:p>
    <w:p w:rsidR="00A015D7" w:rsidRDefault="005409AA" w:rsidP="007734AB">
      <w:pPr>
        <w:pStyle w:val="Notedebasdepage"/>
        <w:ind w:left="1134" w:hanging="1134"/>
        <w:jc w:val="both"/>
        <w:rPr>
          <w:rFonts w:cs="Times New Roman"/>
          <w:sz w:val="24"/>
          <w:szCs w:val="24"/>
        </w:rPr>
      </w:pPr>
      <w:r w:rsidRPr="00942C60">
        <w:rPr>
          <w:rFonts w:cs="Times New Roman"/>
          <w:sz w:val="24"/>
          <w:szCs w:val="24"/>
        </w:rPr>
        <w:t xml:space="preserve">  </w:t>
      </w:r>
    </w:p>
    <w:p w:rsidR="005409AA" w:rsidRPr="00942C60" w:rsidRDefault="005409AA" w:rsidP="007734AB">
      <w:pPr>
        <w:pStyle w:val="Notedebasdepage"/>
        <w:ind w:left="1134" w:hanging="1134"/>
        <w:jc w:val="both"/>
      </w:pPr>
      <w:r w:rsidRPr="00942C60">
        <w:t xml:space="preserve">UQTR. </w:t>
      </w:r>
      <w:r w:rsidRPr="00942C60">
        <w:rPr>
          <w:i/>
        </w:rPr>
        <w:t>Université du Québec à Trois-Rivières</w:t>
      </w:r>
      <w:r w:rsidRPr="00942C60">
        <w:t>. [En ligne] http://www.uqtr.uquebec.ca/</w:t>
      </w:r>
    </w:p>
    <w:p w:rsidR="005409AA" w:rsidRPr="00942C60" w:rsidRDefault="005409AA" w:rsidP="007734AB">
      <w:pPr>
        <w:spacing w:line="240" w:lineRule="auto"/>
        <w:ind w:left="1134" w:hanging="1134"/>
        <w:jc w:val="both"/>
        <w:rPr>
          <w:rFonts w:ascii="Times New Roman" w:hAnsi="Times New Roman" w:cs="Times New Roman"/>
          <w:sz w:val="24"/>
          <w:szCs w:val="24"/>
        </w:rPr>
      </w:pPr>
    </w:p>
    <w:p w:rsidR="005409AA" w:rsidRPr="00942C60" w:rsidRDefault="005409AA" w:rsidP="007734AB">
      <w:pPr>
        <w:spacing w:line="240" w:lineRule="auto"/>
        <w:ind w:left="1134" w:hanging="1134"/>
        <w:jc w:val="both"/>
        <w:rPr>
          <w:rFonts w:ascii="Times New Roman" w:hAnsi="Times New Roman" w:cs="Times New Roman"/>
          <w:sz w:val="24"/>
          <w:szCs w:val="24"/>
          <w:lang w:val="en-CA"/>
        </w:rPr>
      </w:pPr>
      <w:proofErr w:type="spellStart"/>
      <w:r w:rsidRPr="00942C60">
        <w:rPr>
          <w:rFonts w:ascii="Times New Roman" w:hAnsi="Times New Roman" w:cs="Times New Roman"/>
          <w:sz w:val="24"/>
          <w:szCs w:val="24"/>
          <w:lang w:val="en-CA"/>
        </w:rPr>
        <w:t>Xu</w:t>
      </w:r>
      <w:proofErr w:type="spellEnd"/>
      <w:r w:rsidRPr="00942C60">
        <w:rPr>
          <w:rFonts w:ascii="Times New Roman" w:hAnsi="Times New Roman" w:cs="Times New Roman"/>
          <w:sz w:val="24"/>
          <w:szCs w:val="24"/>
          <w:lang w:val="en-CA"/>
        </w:rPr>
        <w:t xml:space="preserve">, </w:t>
      </w:r>
      <w:proofErr w:type="gramStart"/>
      <w:r w:rsidRPr="00942C60">
        <w:rPr>
          <w:rFonts w:ascii="Times New Roman" w:hAnsi="Times New Roman" w:cs="Times New Roman"/>
          <w:sz w:val="24"/>
          <w:szCs w:val="24"/>
          <w:lang w:val="en-CA"/>
        </w:rPr>
        <w:t>Di ;</w:t>
      </w:r>
      <w:proofErr w:type="gramEnd"/>
      <w:r w:rsidRPr="00942C60">
        <w:rPr>
          <w:rFonts w:ascii="Times New Roman" w:hAnsi="Times New Roman" w:cs="Times New Roman"/>
          <w:sz w:val="24"/>
          <w:szCs w:val="24"/>
          <w:lang w:val="en-CA"/>
        </w:rPr>
        <w:t xml:space="preserve"> </w:t>
      </w:r>
      <w:proofErr w:type="spellStart"/>
      <w:r w:rsidRPr="00942C60">
        <w:rPr>
          <w:rFonts w:ascii="Times New Roman" w:hAnsi="Times New Roman" w:cs="Times New Roman"/>
          <w:sz w:val="24"/>
          <w:szCs w:val="24"/>
          <w:lang w:val="en-CA"/>
        </w:rPr>
        <w:t>Jaggars</w:t>
      </w:r>
      <w:proofErr w:type="spellEnd"/>
      <w:r w:rsidRPr="00942C60">
        <w:rPr>
          <w:rFonts w:ascii="Times New Roman" w:hAnsi="Times New Roman" w:cs="Times New Roman"/>
          <w:sz w:val="24"/>
          <w:szCs w:val="24"/>
          <w:lang w:val="en-CA"/>
        </w:rPr>
        <w:t xml:space="preserve">, Shanna Smith. (2012). </w:t>
      </w:r>
      <w:r w:rsidRPr="00942C60">
        <w:rPr>
          <w:rFonts w:ascii="Times New Roman" w:hAnsi="Times New Roman" w:cs="Times New Roman"/>
          <w:i/>
          <w:sz w:val="24"/>
          <w:szCs w:val="24"/>
          <w:lang w:val="en-CA"/>
        </w:rPr>
        <w:t xml:space="preserve">Economics of Education Review. The impact of </w:t>
      </w:r>
      <w:r w:rsidRPr="00942C60">
        <w:rPr>
          <w:rFonts w:ascii="Times New Roman" w:hAnsi="Times New Roman" w:cs="Times New Roman"/>
          <w:i/>
          <w:sz w:val="24"/>
          <w:szCs w:val="24"/>
          <w:lang w:val="en-CA"/>
        </w:rPr>
        <w:tab/>
        <w:t xml:space="preserve">online learning on students’ course outcomes: Evidence from a large community </w:t>
      </w:r>
      <w:r w:rsidRPr="00942C60">
        <w:rPr>
          <w:rFonts w:ascii="Times New Roman" w:hAnsi="Times New Roman" w:cs="Times New Roman"/>
          <w:i/>
          <w:sz w:val="24"/>
          <w:szCs w:val="24"/>
          <w:lang w:val="en-CA"/>
        </w:rPr>
        <w:tab/>
        <w:t>and technical college system</w:t>
      </w:r>
      <w:proofErr w:type="gramStart"/>
      <w:r w:rsidRPr="00942C60">
        <w:rPr>
          <w:rFonts w:ascii="Times New Roman" w:hAnsi="Times New Roman" w:cs="Times New Roman"/>
          <w:i/>
          <w:sz w:val="24"/>
          <w:szCs w:val="24"/>
          <w:lang w:val="en-CA"/>
        </w:rPr>
        <w:t>.</w:t>
      </w:r>
      <w:r w:rsidRPr="00942C60">
        <w:rPr>
          <w:rFonts w:ascii="Times New Roman" w:hAnsi="Times New Roman" w:cs="Times New Roman"/>
          <w:sz w:val="24"/>
          <w:szCs w:val="24"/>
          <w:lang w:val="en-CA"/>
        </w:rPr>
        <w:t>[</w:t>
      </w:r>
      <w:proofErr w:type="gramEnd"/>
      <w:r w:rsidRPr="00942C60">
        <w:rPr>
          <w:rFonts w:ascii="Times New Roman" w:hAnsi="Times New Roman" w:cs="Times New Roman"/>
          <w:sz w:val="24"/>
          <w:szCs w:val="24"/>
          <w:lang w:val="en-CA"/>
        </w:rPr>
        <w:t xml:space="preserve">En </w:t>
      </w:r>
      <w:proofErr w:type="spellStart"/>
      <w:r w:rsidRPr="00942C60">
        <w:rPr>
          <w:rFonts w:ascii="Times New Roman" w:hAnsi="Times New Roman" w:cs="Times New Roman"/>
          <w:sz w:val="24"/>
          <w:szCs w:val="24"/>
          <w:lang w:val="en-CA"/>
        </w:rPr>
        <w:t>ligne</w:t>
      </w:r>
      <w:proofErr w:type="spellEnd"/>
      <w:r w:rsidRPr="00942C60">
        <w:rPr>
          <w:rFonts w:ascii="Times New Roman" w:hAnsi="Times New Roman" w:cs="Times New Roman"/>
          <w:sz w:val="24"/>
          <w:szCs w:val="24"/>
          <w:lang w:val="en-CA"/>
        </w:rPr>
        <w:t xml:space="preserve">] </w:t>
      </w:r>
      <w:r w:rsidRPr="00942C60">
        <w:rPr>
          <w:rFonts w:ascii="Times New Roman" w:hAnsi="Times New Roman" w:cs="Times New Roman"/>
          <w:sz w:val="24"/>
          <w:szCs w:val="24"/>
          <w:lang w:val="en-CA"/>
        </w:rPr>
        <w:tab/>
      </w:r>
      <w:hyperlink r:id="rId114" w:history="1">
        <w:r w:rsidRPr="00942C60">
          <w:rPr>
            <w:rStyle w:val="Lienhypertexte"/>
            <w:rFonts w:ascii="Times New Roman" w:hAnsi="Times New Roman" w:cs="Times New Roman"/>
            <w:color w:val="auto"/>
            <w:sz w:val="24"/>
            <w:szCs w:val="24"/>
            <w:lang w:val="en-CA"/>
          </w:rPr>
          <w:t>http://www.sciencedirect.com.biblioproxy.uqtr.ca/science/article/pii/S027277571</w:t>
        </w:r>
        <w:r w:rsidRPr="00942C60">
          <w:rPr>
            <w:rStyle w:val="Lienhypertexte"/>
            <w:rFonts w:ascii="Times New Roman" w:hAnsi="Times New Roman" w:cs="Times New Roman"/>
            <w:color w:val="auto"/>
            <w:sz w:val="24"/>
            <w:szCs w:val="24"/>
            <w:u w:val="none"/>
            <w:lang w:val="en-CA"/>
          </w:rPr>
          <w:tab/>
        </w:r>
        <w:r w:rsidRPr="00942C60">
          <w:rPr>
            <w:rStyle w:val="Lienhypertexte"/>
            <w:rFonts w:ascii="Times New Roman" w:hAnsi="Times New Roman" w:cs="Times New Roman"/>
            <w:color w:val="auto"/>
            <w:sz w:val="24"/>
            <w:szCs w:val="24"/>
            <w:lang w:val="en-CA"/>
          </w:rPr>
          <w:t>3001039</w:t>
        </w:r>
      </w:hyperlink>
      <w:r w:rsidRPr="00942C60">
        <w:rPr>
          <w:rFonts w:ascii="Times New Roman" w:hAnsi="Times New Roman" w:cs="Times New Roman"/>
          <w:sz w:val="24"/>
          <w:szCs w:val="24"/>
          <w:lang w:val="en-CA"/>
        </w:rPr>
        <w:t xml:space="preserve"> (p.46-57).</w:t>
      </w:r>
    </w:p>
    <w:p w:rsidR="00B75FB8" w:rsidRPr="005409AA" w:rsidRDefault="00B75FB8" w:rsidP="00B75FB8">
      <w:pPr>
        <w:spacing w:after="0" w:line="240" w:lineRule="auto"/>
        <w:ind w:left="1134" w:hanging="1134"/>
        <w:jc w:val="both"/>
        <w:rPr>
          <w:rFonts w:ascii="Times New Roman" w:hAnsi="Times New Roman" w:cs="Times New Roman"/>
          <w:sz w:val="24"/>
          <w:szCs w:val="24"/>
          <w:lang w:val="en-CA"/>
        </w:rPr>
      </w:pPr>
    </w:p>
    <w:p w:rsidR="00B75FB8" w:rsidRPr="005409AA" w:rsidRDefault="00B75FB8" w:rsidP="00B75FB8">
      <w:pPr>
        <w:pStyle w:val="Notedebasdepage"/>
        <w:ind w:left="1134" w:hanging="1134"/>
        <w:jc w:val="both"/>
        <w:rPr>
          <w:rFonts w:cs="Times New Roman"/>
          <w:sz w:val="24"/>
          <w:szCs w:val="24"/>
          <w:lang w:val="en-CA"/>
        </w:rPr>
      </w:pPr>
    </w:p>
    <w:p w:rsidR="00A771AC" w:rsidRPr="005409AA" w:rsidRDefault="00A771AC" w:rsidP="00B75FB8">
      <w:pPr>
        <w:pStyle w:val="Notedebasdepage"/>
        <w:ind w:left="1134" w:hanging="1134"/>
        <w:jc w:val="both"/>
        <w:rPr>
          <w:rFonts w:cs="Times New Roman"/>
          <w:sz w:val="24"/>
          <w:szCs w:val="24"/>
          <w:lang w:val="en-CA"/>
        </w:rPr>
      </w:pPr>
    </w:p>
    <w:p w:rsidR="00A55D21" w:rsidRPr="004274B3" w:rsidRDefault="00A55D21">
      <w:pPr>
        <w:rPr>
          <w:lang w:val="en-CA"/>
        </w:rPr>
      </w:pPr>
      <w:r w:rsidRPr="004274B3">
        <w:rPr>
          <w:lang w:val="en-CA"/>
        </w:rPr>
        <w:br w:type="page"/>
      </w:r>
    </w:p>
    <w:p w:rsidR="004443E2" w:rsidRPr="007734AB" w:rsidRDefault="00910D16" w:rsidP="007734AB">
      <w:pPr>
        <w:pStyle w:val="Titre1"/>
      </w:pPr>
      <w:bookmarkStart w:id="62" w:name="_Toc417486274"/>
      <w:r w:rsidRPr="007734AB">
        <w:lastRenderedPageBreak/>
        <w:t>ANNEXE A</w:t>
      </w:r>
      <w:bookmarkEnd w:id="62"/>
      <w:r w:rsidR="009F3F18" w:rsidRPr="007734AB">
        <w:t xml:space="preserve"> </w:t>
      </w:r>
    </w:p>
    <w:p w:rsidR="004443E2" w:rsidRPr="00441F0A" w:rsidRDefault="004443E2" w:rsidP="004443E2">
      <w:pPr>
        <w:rPr>
          <w:rFonts w:ascii="Times New Roman" w:hAnsi="Times New Roman" w:cs="Times New Roman"/>
          <w:sz w:val="24"/>
          <w:szCs w:val="24"/>
        </w:rPr>
      </w:pPr>
      <w:r w:rsidRPr="00441F0A">
        <w:rPr>
          <w:rFonts w:ascii="Times New Roman" w:hAnsi="Times New Roman" w:cs="Times New Roman"/>
          <w:noProof/>
          <w:sz w:val="24"/>
          <w:szCs w:val="24"/>
          <w:lang w:eastAsia="fr-CA"/>
        </w:rPr>
        <w:drawing>
          <wp:anchor distT="0" distB="0" distL="114300" distR="114300" simplePos="0" relativeHeight="251646464" behindDoc="0" locked="0" layoutInCell="1" allowOverlap="1">
            <wp:simplePos x="0" y="0"/>
            <wp:positionH relativeFrom="page">
              <wp:align>left</wp:align>
            </wp:positionH>
            <wp:positionV relativeFrom="paragraph">
              <wp:posOffset>215900</wp:posOffset>
            </wp:positionV>
            <wp:extent cx="5186045" cy="4015740"/>
            <wp:effectExtent l="0" t="190500" r="0" b="194310"/>
            <wp:wrapThrough wrapText="bothSides">
              <wp:wrapPolygon edited="0">
                <wp:start x="9997" y="-1025"/>
                <wp:lineTo x="9521" y="-922"/>
                <wp:lineTo x="8093" y="410"/>
                <wp:lineTo x="7458" y="2254"/>
                <wp:lineTo x="7458" y="3996"/>
                <wp:lineTo x="8014" y="5533"/>
                <wp:lineTo x="4602" y="6558"/>
                <wp:lineTo x="3174" y="7070"/>
                <wp:lineTo x="1825" y="8710"/>
                <wp:lineTo x="1428" y="10349"/>
                <wp:lineTo x="1587" y="12194"/>
                <wp:lineTo x="2301" y="13731"/>
                <wp:lineTo x="2380" y="13731"/>
                <wp:lineTo x="2380" y="14345"/>
                <wp:lineTo x="5475" y="15370"/>
                <wp:lineTo x="7300" y="15370"/>
                <wp:lineTo x="6665" y="15882"/>
                <wp:lineTo x="5792" y="16907"/>
                <wp:lineTo x="5475" y="18546"/>
                <wp:lineTo x="5475" y="18751"/>
                <wp:lineTo x="5871" y="20288"/>
                <wp:lineTo x="5871" y="20493"/>
                <wp:lineTo x="7379" y="21928"/>
                <wp:lineTo x="7538" y="21928"/>
                <wp:lineTo x="7538" y="22030"/>
                <wp:lineTo x="9204" y="22645"/>
                <wp:lineTo x="9521" y="22645"/>
                <wp:lineTo x="12060" y="22645"/>
                <wp:lineTo x="12378" y="22645"/>
                <wp:lineTo x="14044" y="22030"/>
                <wp:lineTo x="14044" y="21928"/>
                <wp:lineTo x="14203" y="21928"/>
                <wp:lineTo x="15710" y="20391"/>
                <wp:lineTo x="15710" y="20288"/>
                <wp:lineTo x="15789" y="20288"/>
                <wp:lineTo x="16107" y="18854"/>
                <wp:lineTo x="16186" y="18649"/>
                <wp:lineTo x="15869" y="16907"/>
                <wp:lineTo x="14917" y="15882"/>
                <wp:lineTo x="14282" y="15370"/>
                <wp:lineTo x="16107" y="15370"/>
                <wp:lineTo x="19360" y="14345"/>
                <wp:lineTo x="19281" y="13731"/>
                <wp:lineTo x="19360" y="13731"/>
                <wp:lineTo x="20074" y="12194"/>
                <wp:lineTo x="20074" y="12091"/>
                <wp:lineTo x="20153" y="10554"/>
                <wp:lineTo x="20153" y="10452"/>
                <wp:lineTo x="19836" y="8710"/>
                <wp:lineTo x="18804" y="7480"/>
                <wp:lineTo x="18566" y="7070"/>
                <wp:lineTo x="17535" y="6763"/>
                <wp:lineTo x="13568" y="5533"/>
                <wp:lineTo x="13647" y="5533"/>
                <wp:lineTo x="14123" y="3996"/>
                <wp:lineTo x="14123" y="2254"/>
                <wp:lineTo x="13568" y="410"/>
                <wp:lineTo x="12060" y="-922"/>
                <wp:lineTo x="11584" y="-1025"/>
                <wp:lineTo x="9997" y="-1025"/>
              </wp:wrapPolygon>
            </wp:wrapThrough>
            <wp:docPr id="2" name="Diagramme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anchor>
        </w:drawing>
      </w:r>
    </w:p>
    <w:p w:rsidR="00F90F3A" w:rsidRPr="00441F0A" w:rsidRDefault="004443E2" w:rsidP="00C442A1">
      <w:pPr>
        <w:spacing w:line="276" w:lineRule="auto"/>
        <w:jc w:val="both"/>
        <w:rPr>
          <w:rFonts w:ascii="Times New Roman" w:hAnsi="Times New Roman" w:cs="Times New Roman"/>
          <w:sz w:val="24"/>
          <w:szCs w:val="24"/>
        </w:rPr>
      </w:pPr>
      <w:r w:rsidRPr="00441F0A">
        <w:rPr>
          <w:rFonts w:ascii="Times New Roman" w:hAnsi="Times New Roman" w:cs="Times New Roman"/>
          <w:noProof/>
          <w:sz w:val="24"/>
          <w:szCs w:val="24"/>
          <w:lang w:eastAsia="fr-CA"/>
        </w:rPr>
        <w:drawing>
          <wp:anchor distT="0" distB="0" distL="114300" distR="114300" simplePos="0" relativeHeight="251645440" behindDoc="0" locked="0" layoutInCell="1" allowOverlap="1">
            <wp:simplePos x="0" y="0"/>
            <wp:positionH relativeFrom="margin">
              <wp:posOffset>1240790</wp:posOffset>
            </wp:positionH>
            <wp:positionV relativeFrom="paragraph">
              <wp:posOffset>3872230</wp:posOffset>
            </wp:positionV>
            <wp:extent cx="4893310" cy="3716020"/>
            <wp:effectExtent l="0" t="0" r="0" b="0"/>
            <wp:wrapThrough wrapText="bothSides">
              <wp:wrapPolygon edited="0">
                <wp:start x="10091" y="111"/>
                <wp:lineTo x="9418" y="443"/>
                <wp:lineTo x="8241" y="1550"/>
                <wp:lineTo x="7904" y="3543"/>
                <wp:lineTo x="8157" y="5758"/>
                <wp:lineTo x="9502" y="7198"/>
                <wp:lineTo x="10511" y="8969"/>
                <wp:lineTo x="9250" y="9966"/>
                <wp:lineTo x="8577" y="10630"/>
                <wp:lineTo x="7904" y="12513"/>
                <wp:lineTo x="3195" y="14617"/>
                <wp:lineTo x="2018" y="15724"/>
                <wp:lineTo x="1682" y="17717"/>
                <wp:lineTo x="1934" y="19932"/>
                <wp:lineTo x="3280" y="21371"/>
                <wp:lineTo x="3700" y="21482"/>
                <wp:lineTo x="3784" y="21482"/>
                <wp:lineTo x="17827" y="21482"/>
                <wp:lineTo x="17911" y="21482"/>
                <wp:lineTo x="18079" y="21371"/>
                <wp:lineTo x="18332" y="21371"/>
                <wp:lineTo x="19677" y="19821"/>
                <wp:lineTo x="19677" y="19599"/>
                <wp:lineTo x="19929" y="17938"/>
                <wp:lineTo x="20013" y="17828"/>
                <wp:lineTo x="19761" y="16610"/>
                <wp:lineTo x="19593" y="15835"/>
                <wp:lineTo x="18248" y="14395"/>
                <wp:lineTo x="17743" y="14284"/>
                <wp:lineTo x="13791" y="12513"/>
                <wp:lineTo x="13286" y="11295"/>
                <wp:lineTo x="13118" y="10630"/>
                <wp:lineTo x="11100" y="8969"/>
                <wp:lineTo x="11857" y="7308"/>
                <wp:lineTo x="11857" y="7198"/>
                <wp:lineTo x="12109" y="7198"/>
                <wp:lineTo x="13454" y="5647"/>
                <wp:lineTo x="13454" y="5426"/>
                <wp:lineTo x="13707" y="3765"/>
                <wp:lineTo x="13791" y="3654"/>
                <wp:lineTo x="13539" y="2436"/>
                <wp:lineTo x="13370" y="1661"/>
                <wp:lineTo x="12025" y="221"/>
                <wp:lineTo x="11520" y="111"/>
                <wp:lineTo x="10091" y="111"/>
              </wp:wrapPolygon>
            </wp:wrapThrough>
            <wp:docPr id="1"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0" r:lo="rId121" r:qs="rId122" r:cs="rId123"/>
              </a:graphicData>
            </a:graphic>
          </wp:anchor>
        </w:drawing>
      </w:r>
    </w:p>
    <w:p w:rsidR="00F90F3A" w:rsidRPr="00441F0A" w:rsidRDefault="00F90F3A" w:rsidP="00F90F3A">
      <w:pPr>
        <w:rPr>
          <w:rFonts w:ascii="Times New Roman" w:hAnsi="Times New Roman" w:cs="Times New Roman"/>
          <w:sz w:val="24"/>
          <w:szCs w:val="24"/>
        </w:rPr>
      </w:pPr>
    </w:p>
    <w:p w:rsidR="00F90F3A" w:rsidRPr="00441F0A" w:rsidRDefault="00F90F3A" w:rsidP="00F90F3A">
      <w:pPr>
        <w:rPr>
          <w:rFonts w:ascii="Times New Roman" w:hAnsi="Times New Roman" w:cs="Times New Roman"/>
          <w:sz w:val="24"/>
          <w:szCs w:val="24"/>
        </w:rPr>
      </w:pPr>
    </w:p>
    <w:p w:rsidR="00F90F3A" w:rsidRPr="00441F0A" w:rsidRDefault="00F90F3A" w:rsidP="00F90F3A">
      <w:pPr>
        <w:rPr>
          <w:rFonts w:ascii="Times New Roman" w:hAnsi="Times New Roman" w:cs="Times New Roman"/>
          <w:sz w:val="24"/>
          <w:szCs w:val="24"/>
        </w:rPr>
      </w:pPr>
    </w:p>
    <w:p w:rsidR="00F90F3A" w:rsidRPr="00441F0A" w:rsidRDefault="00F90F3A" w:rsidP="00F90F3A">
      <w:pPr>
        <w:rPr>
          <w:rFonts w:ascii="Times New Roman" w:hAnsi="Times New Roman" w:cs="Times New Roman"/>
          <w:sz w:val="24"/>
          <w:szCs w:val="24"/>
        </w:rPr>
      </w:pPr>
    </w:p>
    <w:p w:rsidR="00F90F3A" w:rsidRPr="00441F0A" w:rsidRDefault="00F90F3A" w:rsidP="00F90F3A">
      <w:pPr>
        <w:rPr>
          <w:rFonts w:ascii="Times New Roman" w:hAnsi="Times New Roman" w:cs="Times New Roman"/>
          <w:sz w:val="24"/>
          <w:szCs w:val="24"/>
        </w:rPr>
      </w:pPr>
    </w:p>
    <w:p w:rsidR="00F90F3A" w:rsidRPr="00441F0A" w:rsidRDefault="00F90F3A" w:rsidP="00F90F3A">
      <w:pPr>
        <w:rPr>
          <w:rFonts w:ascii="Times New Roman" w:hAnsi="Times New Roman" w:cs="Times New Roman"/>
          <w:sz w:val="24"/>
          <w:szCs w:val="24"/>
        </w:rPr>
      </w:pPr>
    </w:p>
    <w:p w:rsidR="00F90F3A" w:rsidRPr="00441F0A" w:rsidRDefault="00F90F3A" w:rsidP="00F90F3A">
      <w:pPr>
        <w:rPr>
          <w:rFonts w:ascii="Times New Roman" w:hAnsi="Times New Roman" w:cs="Times New Roman"/>
          <w:sz w:val="24"/>
          <w:szCs w:val="24"/>
        </w:rPr>
      </w:pPr>
    </w:p>
    <w:p w:rsidR="00F90F3A" w:rsidRPr="00441F0A" w:rsidRDefault="00F90F3A" w:rsidP="00F90F3A">
      <w:pPr>
        <w:rPr>
          <w:rFonts w:ascii="Times New Roman" w:hAnsi="Times New Roman" w:cs="Times New Roman"/>
          <w:sz w:val="24"/>
          <w:szCs w:val="24"/>
        </w:rPr>
      </w:pPr>
    </w:p>
    <w:p w:rsidR="00F90F3A" w:rsidRPr="00441F0A" w:rsidRDefault="00F90F3A" w:rsidP="00F90F3A">
      <w:pPr>
        <w:rPr>
          <w:rFonts w:ascii="Times New Roman" w:hAnsi="Times New Roman" w:cs="Times New Roman"/>
          <w:sz w:val="24"/>
          <w:szCs w:val="24"/>
        </w:rPr>
      </w:pPr>
    </w:p>
    <w:p w:rsidR="00F90F3A" w:rsidRPr="00441F0A" w:rsidRDefault="00F90F3A" w:rsidP="00F90F3A">
      <w:pPr>
        <w:rPr>
          <w:rFonts w:ascii="Times New Roman" w:hAnsi="Times New Roman" w:cs="Times New Roman"/>
          <w:sz w:val="24"/>
          <w:szCs w:val="24"/>
        </w:rPr>
      </w:pPr>
    </w:p>
    <w:p w:rsidR="00F90F3A" w:rsidRPr="00441F0A" w:rsidRDefault="00F90F3A" w:rsidP="00F90F3A">
      <w:pPr>
        <w:rPr>
          <w:rFonts w:ascii="Times New Roman" w:hAnsi="Times New Roman" w:cs="Times New Roman"/>
          <w:sz w:val="24"/>
          <w:szCs w:val="24"/>
        </w:rPr>
      </w:pPr>
    </w:p>
    <w:p w:rsidR="00F90F3A" w:rsidRPr="00441F0A" w:rsidRDefault="00F90F3A" w:rsidP="00F90F3A">
      <w:pPr>
        <w:rPr>
          <w:rFonts w:ascii="Times New Roman" w:hAnsi="Times New Roman" w:cs="Times New Roman"/>
          <w:sz w:val="24"/>
          <w:szCs w:val="24"/>
        </w:rPr>
      </w:pPr>
    </w:p>
    <w:p w:rsidR="00F90F3A" w:rsidRPr="00441F0A" w:rsidRDefault="00F90F3A" w:rsidP="00F90F3A">
      <w:pPr>
        <w:rPr>
          <w:rFonts w:ascii="Times New Roman" w:hAnsi="Times New Roman" w:cs="Times New Roman"/>
          <w:sz w:val="24"/>
          <w:szCs w:val="24"/>
        </w:rPr>
      </w:pPr>
    </w:p>
    <w:p w:rsidR="00F90F3A" w:rsidRPr="00441F0A" w:rsidRDefault="00F90F3A" w:rsidP="00F90F3A">
      <w:pPr>
        <w:rPr>
          <w:rFonts w:ascii="Times New Roman" w:hAnsi="Times New Roman" w:cs="Times New Roman"/>
          <w:sz w:val="24"/>
          <w:szCs w:val="24"/>
        </w:rPr>
      </w:pPr>
    </w:p>
    <w:p w:rsidR="00F90F3A" w:rsidRPr="00441F0A" w:rsidRDefault="00F90F3A" w:rsidP="00F90F3A">
      <w:pPr>
        <w:rPr>
          <w:rFonts w:ascii="Times New Roman" w:hAnsi="Times New Roman" w:cs="Times New Roman"/>
          <w:sz w:val="24"/>
          <w:szCs w:val="24"/>
        </w:rPr>
      </w:pPr>
    </w:p>
    <w:p w:rsidR="004443E2" w:rsidRPr="00441F0A" w:rsidRDefault="00F90F3A" w:rsidP="00F90F3A">
      <w:pPr>
        <w:tabs>
          <w:tab w:val="left" w:pos="1751"/>
        </w:tabs>
        <w:rPr>
          <w:rFonts w:ascii="Times New Roman" w:hAnsi="Times New Roman" w:cs="Times New Roman"/>
          <w:sz w:val="24"/>
          <w:szCs w:val="24"/>
        </w:rPr>
      </w:pPr>
      <w:r w:rsidRPr="00441F0A">
        <w:rPr>
          <w:rFonts w:ascii="Times New Roman" w:hAnsi="Times New Roman" w:cs="Times New Roman"/>
          <w:sz w:val="24"/>
          <w:szCs w:val="24"/>
        </w:rPr>
        <w:tab/>
      </w:r>
    </w:p>
    <w:p w:rsidR="00F90F3A" w:rsidRPr="00441F0A" w:rsidRDefault="00F90F3A" w:rsidP="00F90F3A">
      <w:pPr>
        <w:tabs>
          <w:tab w:val="left" w:pos="1751"/>
        </w:tabs>
        <w:rPr>
          <w:rFonts w:ascii="Times New Roman" w:hAnsi="Times New Roman" w:cs="Times New Roman"/>
          <w:sz w:val="24"/>
          <w:szCs w:val="24"/>
        </w:rPr>
      </w:pPr>
    </w:p>
    <w:p w:rsidR="00F90F3A" w:rsidRPr="00441F0A" w:rsidRDefault="00F90F3A" w:rsidP="00F90F3A">
      <w:pPr>
        <w:tabs>
          <w:tab w:val="left" w:pos="1751"/>
        </w:tabs>
        <w:rPr>
          <w:rFonts w:ascii="Times New Roman" w:hAnsi="Times New Roman" w:cs="Times New Roman"/>
          <w:sz w:val="24"/>
          <w:szCs w:val="24"/>
        </w:rPr>
      </w:pPr>
    </w:p>
    <w:p w:rsidR="00F90F3A" w:rsidRPr="00441F0A" w:rsidRDefault="00F90F3A" w:rsidP="00F90F3A">
      <w:pPr>
        <w:tabs>
          <w:tab w:val="left" w:pos="1751"/>
        </w:tabs>
        <w:rPr>
          <w:rFonts w:ascii="Times New Roman" w:hAnsi="Times New Roman" w:cs="Times New Roman"/>
          <w:sz w:val="24"/>
          <w:szCs w:val="24"/>
        </w:rPr>
      </w:pPr>
    </w:p>
    <w:p w:rsidR="00F90F3A" w:rsidRPr="00441F0A" w:rsidRDefault="00F90F3A" w:rsidP="00F90F3A">
      <w:pPr>
        <w:tabs>
          <w:tab w:val="left" w:pos="1751"/>
        </w:tabs>
        <w:rPr>
          <w:rFonts w:ascii="Times New Roman" w:hAnsi="Times New Roman" w:cs="Times New Roman"/>
          <w:sz w:val="24"/>
          <w:szCs w:val="24"/>
        </w:rPr>
      </w:pPr>
    </w:p>
    <w:p w:rsidR="00F90F3A" w:rsidRPr="00441F0A" w:rsidRDefault="00F90F3A" w:rsidP="00F90F3A">
      <w:pPr>
        <w:tabs>
          <w:tab w:val="left" w:pos="1751"/>
        </w:tabs>
        <w:rPr>
          <w:rFonts w:ascii="Times New Roman" w:hAnsi="Times New Roman" w:cs="Times New Roman"/>
          <w:sz w:val="24"/>
          <w:szCs w:val="24"/>
        </w:rPr>
      </w:pPr>
    </w:p>
    <w:p w:rsidR="00F90F3A" w:rsidRPr="00441F0A" w:rsidRDefault="00F90F3A" w:rsidP="00F90F3A">
      <w:pPr>
        <w:tabs>
          <w:tab w:val="left" w:pos="1751"/>
        </w:tabs>
        <w:rPr>
          <w:rFonts w:ascii="Times New Roman" w:hAnsi="Times New Roman" w:cs="Times New Roman"/>
          <w:sz w:val="24"/>
          <w:szCs w:val="24"/>
        </w:rPr>
      </w:pPr>
    </w:p>
    <w:p w:rsidR="00F90F3A" w:rsidRPr="00441F0A" w:rsidRDefault="00F90F3A" w:rsidP="00F90F3A">
      <w:pPr>
        <w:tabs>
          <w:tab w:val="left" w:pos="1751"/>
        </w:tabs>
        <w:rPr>
          <w:rFonts w:ascii="Times New Roman" w:hAnsi="Times New Roman" w:cs="Times New Roman"/>
          <w:sz w:val="24"/>
          <w:szCs w:val="24"/>
        </w:rPr>
      </w:pPr>
    </w:p>
    <w:p w:rsidR="00F90F3A" w:rsidRPr="00441F0A" w:rsidRDefault="00F90F3A" w:rsidP="00F90F3A">
      <w:pPr>
        <w:tabs>
          <w:tab w:val="left" w:pos="1751"/>
        </w:tabs>
        <w:rPr>
          <w:rFonts w:ascii="Times New Roman" w:hAnsi="Times New Roman" w:cs="Times New Roman"/>
          <w:sz w:val="24"/>
          <w:szCs w:val="24"/>
        </w:rPr>
      </w:pPr>
    </w:p>
    <w:p w:rsidR="00F90F3A" w:rsidRPr="00441F0A" w:rsidRDefault="00910D16" w:rsidP="00910D16">
      <w:pPr>
        <w:pStyle w:val="Titre1"/>
      </w:pPr>
      <w:bookmarkStart w:id="63" w:name="_Toc417486275"/>
      <w:r>
        <w:lastRenderedPageBreak/>
        <w:t xml:space="preserve">ANNEXE B- </w:t>
      </w:r>
      <w:r w:rsidR="00B533CC">
        <w:t>Données économiques sur la Mauricie</w:t>
      </w:r>
      <w:bookmarkEnd w:id="63"/>
    </w:p>
    <w:p w:rsidR="00F90F3A" w:rsidRPr="009A3991" w:rsidRDefault="00B05C0A" w:rsidP="009A3991">
      <w:pPr>
        <w:pStyle w:val="Titre1"/>
      </w:pPr>
      <w:bookmarkStart w:id="64" w:name="_Toc417123271"/>
      <w:r>
        <w:rPr>
          <w:noProof/>
          <w:lang w:eastAsia="fr-CA"/>
        </w:rPr>
        <w:pict>
          <v:shape id="_x0000_s1030" type="#_x0000_t202" style="position:absolute;margin-left:-14.9pt;margin-top:19pt;width:413.3pt;height:61.7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" fillcolor="yellow" strokecolor="#7f7f7f [1601]">
            <v:path arrowok="t"/>
            <v:textbox>
              <w:txbxContent>
                <w:p w:rsidR="00CE1436" w:rsidRDefault="00CE1436" w:rsidP="00F90F3A">
                  <w:pPr>
                    <w:pStyle w:val="NormalWeb"/>
                    <w:spacing w:before="0" w:beforeAutospacing="0" w:after="0" w:afterAutospacing="0"/>
                    <w:jc w:val="center"/>
                  </w:pPr>
                  <w:r w:rsidRPr="00742364">
                    <w:rPr>
                      <w:color w:val="000000" w:themeColor="dark1"/>
                      <w:sz w:val="28"/>
                      <w:szCs w:val="28"/>
                    </w:rPr>
                    <w:t>Tous ces résultats sont basés sur une étude des documents «Panorama des régions», produits par l'institut de la statistique du Québec. Les éditions consultées sont 2009, 2010, 2011, 2012, 2013 et 2014.</w:t>
                  </w:r>
                </w:p>
              </w:txbxContent>
            </v:textbox>
          </v:shape>
        </w:pict>
      </w:r>
      <w:bookmarkEnd w:id="64"/>
    </w:p>
    <w:p w:rsidR="00CC6767" w:rsidRPr="00441F0A" w:rsidRDefault="00CC6767" w:rsidP="00F90F3A">
      <w:pPr>
        <w:tabs>
          <w:tab w:val="left" w:pos="1751"/>
        </w:tabs>
        <w:rPr>
          <w:rFonts w:ascii="Times New Roman" w:hAnsi="Times New Roman" w:cs="Times New Roman"/>
          <w:sz w:val="24"/>
          <w:szCs w:val="24"/>
        </w:rPr>
      </w:pPr>
    </w:p>
    <w:tbl>
      <w:tblPr>
        <w:tblpPr w:leftFromText="141" w:rightFromText="141" w:vertAnchor="text" w:horzAnchor="margin" w:tblpXSpec="center" w:tblpY="327"/>
        <w:tblW w:w="10910" w:type="dxa"/>
        <w:tblCellMar>
          <w:left w:w="70" w:type="dxa"/>
          <w:right w:w="70" w:type="dxa"/>
        </w:tblCellMar>
        <w:tblLook w:val="04A0"/>
      </w:tblPr>
      <w:tblGrid>
        <w:gridCol w:w="3776"/>
        <w:gridCol w:w="1007"/>
        <w:gridCol w:w="1601"/>
        <w:gridCol w:w="1601"/>
        <w:gridCol w:w="718"/>
        <w:gridCol w:w="2138"/>
        <w:gridCol w:w="146"/>
      </w:tblGrid>
      <w:tr w:rsidR="00F90F3A" w:rsidRPr="00441F0A" w:rsidTr="00F90F3A">
        <w:trPr>
          <w:trHeight w:val="300"/>
        </w:trPr>
        <w:tc>
          <w:tcPr>
            <w:tcW w:w="10910" w:type="dxa"/>
            <w:gridSpan w:val="7"/>
            <w:tcBorders>
              <w:top w:val="nil"/>
              <w:left w:val="nil"/>
              <w:bottom w:val="nil"/>
              <w:right w:val="nil"/>
            </w:tcBorders>
            <w:shd w:val="clear" w:color="auto" w:fill="auto"/>
            <w:noWrap/>
            <w:vAlign w:val="bottom"/>
            <w:hideMark/>
          </w:tcPr>
          <w:p w:rsidR="00F90F3A" w:rsidRPr="00441F0A" w:rsidRDefault="00F90F3A" w:rsidP="00F90F3A">
            <w:pPr>
              <w:spacing w:after="0" w:line="240" w:lineRule="auto"/>
              <w:rPr>
                <w:rFonts w:ascii="Times New Roman" w:eastAsia="Times New Roman" w:hAnsi="Times New Roman" w:cs="Times New Roman"/>
                <w:b/>
                <w:bCs/>
                <w:color w:val="000000"/>
                <w:sz w:val="24"/>
                <w:szCs w:val="24"/>
                <w:lang w:eastAsia="fr-CA"/>
              </w:rPr>
            </w:pPr>
            <w:r w:rsidRPr="00441F0A">
              <w:rPr>
                <w:rFonts w:ascii="Times New Roman" w:eastAsia="Times New Roman" w:hAnsi="Times New Roman" w:cs="Times New Roman"/>
                <w:b/>
                <w:bCs/>
                <w:color w:val="000000"/>
                <w:sz w:val="24"/>
                <w:szCs w:val="24"/>
                <w:lang w:eastAsia="fr-CA"/>
              </w:rPr>
              <w:t>Taux de chômage en Mauricie  (source: ISQ, panorama des régions 2009 et plus)</w:t>
            </w:r>
          </w:p>
        </w:tc>
      </w:tr>
      <w:tr w:rsidR="00F90F3A" w:rsidRPr="00441F0A" w:rsidTr="00230672">
        <w:trPr>
          <w:trHeight w:val="300"/>
        </w:trPr>
        <w:tc>
          <w:tcPr>
            <w:tcW w:w="3776"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center"/>
              <w:rPr>
                <w:rFonts w:ascii="Times New Roman" w:eastAsia="Times New Roman" w:hAnsi="Times New Roman" w:cs="Times New Roman"/>
                <w:color w:val="000000"/>
                <w:sz w:val="24"/>
                <w:szCs w:val="24"/>
                <w:lang w:eastAsia="fr-CA"/>
              </w:rPr>
            </w:pPr>
          </w:p>
        </w:tc>
        <w:tc>
          <w:tcPr>
            <w:tcW w:w="930"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center"/>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Mauricie</w:t>
            </w:r>
          </w:p>
        </w:tc>
        <w:tc>
          <w:tcPr>
            <w:tcW w:w="1601"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center"/>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Rang (sur 17)</w:t>
            </w:r>
          </w:p>
        </w:tc>
        <w:tc>
          <w:tcPr>
            <w:tcW w:w="1601"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center"/>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ensemble du QC</w:t>
            </w:r>
          </w:p>
        </w:tc>
        <w:tc>
          <w:tcPr>
            <w:tcW w:w="718"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center"/>
              <w:rPr>
                <w:rFonts w:ascii="Times New Roman" w:eastAsia="Times New Roman" w:hAnsi="Times New Roman" w:cs="Times New Roman"/>
                <w:color w:val="000000"/>
                <w:sz w:val="24"/>
                <w:szCs w:val="24"/>
                <w:lang w:eastAsia="fr-CA"/>
              </w:rPr>
            </w:pPr>
          </w:p>
        </w:tc>
        <w:tc>
          <w:tcPr>
            <w:tcW w:w="2138" w:type="dxa"/>
            <w:tcBorders>
              <w:top w:val="nil"/>
              <w:left w:val="nil"/>
              <w:bottom w:val="nil"/>
              <w:right w:val="nil"/>
            </w:tcBorders>
            <w:shd w:val="clear" w:color="auto" w:fill="auto"/>
            <w:noWrap/>
            <w:vAlign w:val="bottom"/>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c>
          <w:tcPr>
            <w:tcW w:w="146"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center"/>
              <w:rPr>
                <w:rFonts w:ascii="Times New Roman" w:eastAsia="Times New Roman" w:hAnsi="Times New Roman" w:cs="Times New Roman"/>
                <w:color w:val="000000"/>
                <w:sz w:val="24"/>
                <w:szCs w:val="24"/>
                <w:lang w:eastAsia="fr-CA"/>
              </w:rPr>
            </w:pPr>
          </w:p>
        </w:tc>
      </w:tr>
      <w:tr w:rsidR="00F90F3A" w:rsidRPr="00441F0A" w:rsidTr="00230672">
        <w:trPr>
          <w:trHeight w:val="300"/>
        </w:trPr>
        <w:tc>
          <w:tcPr>
            <w:tcW w:w="3776"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2004</w:t>
            </w:r>
          </w:p>
        </w:tc>
        <w:tc>
          <w:tcPr>
            <w:tcW w:w="930"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10,9</w:t>
            </w:r>
          </w:p>
        </w:tc>
        <w:tc>
          <w:tcPr>
            <w:tcW w:w="1601"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13</w:t>
            </w:r>
          </w:p>
        </w:tc>
        <w:tc>
          <w:tcPr>
            <w:tcW w:w="1601"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8,5</w:t>
            </w:r>
          </w:p>
        </w:tc>
        <w:tc>
          <w:tcPr>
            <w:tcW w:w="718"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c>
          <w:tcPr>
            <w:tcW w:w="2138" w:type="dxa"/>
            <w:tcBorders>
              <w:top w:val="nil"/>
              <w:left w:val="nil"/>
              <w:bottom w:val="nil"/>
              <w:right w:val="nil"/>
            </w:tcBorders>
            <w:shd w:val="clear" w:color="auto" w:fill="auto"/>
            <w:noWrap/>
            <w:vAlign w:val="bottom"/>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c>
          <w:tcPr>
            <w:tcW w:w="146"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r>
      <w:tr w:rsidR="00F90F3A" w:rsidRPr="00441F0A" w:rsidTr="00230672">
        <w:trPr>
          <w:trHeight w:val="300"/>
        </w:trPr>
        <w:tc>
          <w:tcPr>
            <w:tcW w:w="3776"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2005</w:t>
            </w:r>
          </w:p>
        </w:tc>
        <w:tc>
          <w:tcPr>
            <w:tcW w:w="930"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9,8</w:t>
            </w:r>
          </w:p>
        </w:tc>
        <w:tc>
          <w:tcPr>
            <w:tcW w:w="1601"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13</w:t>
            </w:r>
          </w:p>
        </w:tc>
        <w:tc>
          <w:tcPr>
            <w:tcW w:w="1601"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8,3</w:t>
            </w:r>
          </w:p>
        </w:tc>
        <w:tc>
          <w:tcPr>
            <w:tcW w:w="718"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c>
          <w:tcPr>
            <w:tcW w:w="2138" w:type="dxa"/>
            <w:tcBorders>
              <w:top w:val="nil"/>
              <w:left w:val="nil"/>
              <w:bottom w:val="nil"/>
              <w:right w:val="nil"/>
            </w:tcBorders>
            <w:shd w:val="clear" w:color="auto" w:fill="auto"/>
            <w:noWrap/>
            <w:vAlign w:val="bottom"/>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c>
          <w:tcPr>
            <w:tcW w:w="146"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r>
      <w:tr w:rsidR="00F90F3A" w:rsidRPr="00441F0A" w:rsidTr="00230672">
        <w:trPr>
          <w:trHeight w:val="300"/>
        </w:trPr>
        <w:tc>
          <w:tcPr>
            <w:tcW w:w="3776"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2006</w:t>
            </w:r>
          </w:p>
        </w:tc>
        <w:tc>
          <w:tcPr>
            <w:tcW w:w="930"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8,9</w:t>
            </w:r>
          </w:p>
        </w:tc>
        <w:tc>
          <w:tcPr>
            <w:tcW w:w="1601"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11</w:t>
            </w:r>
          </w:p>
        </w:tc>
        <w:tc>
          <w:tcPr>
            <w:tcW w:w="1601"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8</w:t>
            </w:r>
          </w:p>
        </w:tc>
        <w:tc>
          <w:tcPr>
            <w:tcW w:w="718"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c>
          <w:tcPr>
            <w:tcW w:w="2138" w:type="dxa"/>
            <w:tcBorders>
              <w:top w:val="nil"/>
              <w:left w:val="nil"/>
              <w:bottom w:val="nil"/>
              <w:right w:val="nil"/>
            </w:tcBorders>
            <w:shd w:val="clear" w:color="auto" w:fill="auto"/>
            <w:noWrap/>
            <w:vAlign w:val="bottom"/>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c>
          <w:tcPr>
            <w:tcW w:w="146"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r>
      <w:tr w:rsidR="00F90F3A" w:rsidRPr="00441F0A" w:rsidTr="00230672">
        <w:trPr>
          <w:trHeight w:val="300"/>
        </w:trPr>
        <w:tc>
          <w:tcPr>
            <w:tcW w:w="3776"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2007</w:t>
            </w:r>
          </w:p>
        </w:tc>
        <w:tc>
          <w:tcPr>
            <w:tcW w:w="930"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9,2</w:t>
            </w:r>
          </w:p>
        </w:tc>
        <w:tc>
          <w:tcPr>
            <w:tcW w:w="1601"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14</w:t>
            </w:r>
          </w:p>
        </w:tc>
        <w:tc>
          <w:tcPr>
            <w:tcW w:w="1601"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7,2</w:t>
            </w:r>
          </w:p>
        </w:tc>
        <w:tc>
          <w:tcPr>
            <w:tcW w:w="718"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c>
          <w:tcPr>
            <w:tcW w:w="2138" w:type="dxa"/>
            <w:tcBorders>
              <w:top w:val="nil"/>
              <w:left w:val="nil"/>
              <w:bottom w:val="nil"/>
              <w:right w:val="nil"/>
            </w:tcBorders>
            <w:shd w:val="clear" w:color="auto" w:fill="auto"/>
            <w:noWrap/>
            <w:vAlign w:val="bottom"/>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c>
          <w:tcPr>
            <w:tcW w:w="146"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r>
      <w:tr w:rsidR="00F90F3A" w:rsidRPr="00441F0A" w:rsidTr="00230672">
        <w:trPr>
          <w:trHeight w:val="300"/>
        </w:trPr>
        <w:tc>
          <w:tcPr>
            <w:tcW w:w="3776"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2008</w:t>
            </w:r>
          </w:p>
        </w:tc>
        <w:tc>
          <w:tcPr>
            <w:tcW w:w="930"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8,4</w:t>
            </w:r>
          </w:p>
        </w:tc>
        <w:tc>
          <w:tcPr>
            <w:tcW w:w="1601"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11</w:t>
            </w:r>
          </w:p>
        </w:tc>
        <w:tc>
          <w:tcPr>
            <w:tcW w:w="1601"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7,2</w:t>
            </w:r>
          </w:p>
        </w:tc>
        <w:tc>
          <w:tcPr>
            <w:tcW w:w="718"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c>
          <w:tcPr>
            <w:tcW w:w="2138" w:type="dxa"/>
            <w:tcBorders>
              <w:top w:val="nil"/>
              <w:left w:val="nil"/>
              <w:bottom w:val="nil"/>
              <w:right w:val="nil"/>
            </w:tcBorders>
            <w:shd w:val="clear" w:color="auto" w:fill="auto"/>
            <w:noWrap/>
            <w:vAlign w:val="bottom"/>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c>
          <w:tcPr>
            <w:tcW w:w="146"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r>
      <w:tr w:rsidR="00F90F3A" w:rsidRPr="00441F0A" w:rsidTr="00230672">
        <w:trPr>
          <w:trHeight w:val="300"/>
        </w:trPr>
        <w:tc>
          <w:tcPr>
            <w:tcW w:w="3776"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2009</w:t>
            </w:r>
          </w:p>
        </w:tc>
        <w:tc>
          <w:tcPr>
            <w:tcW w:w="930"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9,6</w:t>
            </w:r>
          </w:p>
        </w:tc>
        <w:tc>
          <w:tcPr>
            <w:tcW w:w="1601"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12</w:t>
            </w:r>
          </w:p>
        </w:tc>
        <w:tc>
          <w:tcPr>
            <w:tcW w:w="1601"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8,5</w:t>
            </w:r>
          </w:p>
        </w:tc>
        <w:tc>
          <w:tcPr>
            <w:tcW w:w="718"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c>
          <w:tcPr>
            <w:tcW w:w="2138" w:type="dxa"/>
            <w:tcBorders>
              <w:top w:val="nil"/>
              <w:left w:val="nil"/>
              <w:bottom w:val="nil"/>
              <w:right w:val="nil"/>
            </w:tcBorders>
            <w:shd w:val="clear" w:color="auto" w:fill="auto"/>
            <w:noWrap/>
            <w:vAlign w:val="bottom"/>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c>
          <w:tcPr>
            <w:tcW w:w="146"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r>
      <w:tr w:rsidR="00F90F3A" w:rsidRPr="00441F0A" w:rsidTr="00F90F3A">
        <w:trPr>
          <w:trHeight w:val="300"/>
        </w:trPr>
        <w:tc>
          <w:tcPr>
            <w:tcW w:w="3776"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2010</w:t>
            </w:r>
          </w:p>
        </w:tc>
        <w:tc>
          <w:tcPr>
            <w:tcW w:w="930"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9,1</w:t>
            </w:r>
          </w:p>
        </w:tc>
        <w:tc>
          <w:tcPr>
            <w:tcW w:w="1601"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13</w:t>
            </w:r>
          </w:p>
        </w:tc>
        <w:tc>
          <w:tcPr>
            <w:tcW w:w="1601"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8</w:t>
            </w:r>
          </w:p>
        </w:tc>
        <w:tc>
          <w:tcPr>
            <w:tcW w:w="718"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c>
          <w:tcPr>
            <w:tcW w:w="2138"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c>
          <w:tcPr>
            <w:tcW w:w="146"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r>
      <w:tr w:rsidR="00F90F3A" w:rsidRPr="00441F0A" w:rsidTr="00F90F3A">
        <w:trPr>
          <w:trHeight w:val="300"/>
        </w:trPr>
        <w:tc>
          <w:tcPr>
            <w:tcW w:w="3776"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2011</w:t>
            </w:r>
          </w:p>
        </w:tc>
        <w:tc>
          <w:tcPr>
            <w:tcW w:w="930"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7,8</w:t>
            </w:r>
          </w:p>
        </w:tc>
        <w:tc>
          <w:tcPr>
            <w:tcW w:w="1601"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10</w:t>
            </w:r>
          </w:p>
        </w:tc>
        <w:tc>
          <w:tcPr>
            <w:tcW w:w="1601"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7,8</w:t>
            </w:r>
          </w:p>
        </w:tc>
        <w:tc>
          <w:tcPr>
            <w:tcW w:w="718"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c>
          <w:tcPr>
            <w:tcW w:w="2138"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c>
          <w:tcPr>
            <w:tcW w:w="146"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r>
      <w:tr w:rsidR="00F90F3A" w:rsidRPr="00441F0A" w:rsidTr="00F90F3A">
        <w:trPr>
          <w:trHeight w:val="300"/>
        </w:trPr>
        <w:tc>
          <w:tcPr>
            <w:tcW w:w="3776"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2012</w:t>
            </w:r>
          </w:p>
        </w:tc>
        <w:tc>
          <w:tcPr>
            <w:tcW w:w="930"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9,7</w:t>
            </w:r>
          </w:p>
        </w:tc>
        <w:tc>
          <w:tcPr>
            <w:tcW w:w="1601"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FF0000"/>
                <w:sz w:val="24"/>
                <w:szCs w:val="24"/>
                <w:lang w:eastAsia="fr-CA"/>
              </w:rPr>
            </w:pPr>
            <w:r w:rsidRPr="00441F0A">
              <w:rPr>
                <w:rFonts w:ascii="Times New Roman" w:eastAsia="Times New Roman" w:hAnsi="Times New Roman" w:cs="Times New Roman"/>
                <w:color w:val="FF0000"/>
                <w:sz w:val="24"/>
                <w:szCs w:val="24"/>
                <w:lang w:eastAsia="fr-CA"/>
              </w:rPr>
              <w:t>14</w:t>
            </w:r>
          </w:p>
        </w:tc>
        <w:tc>
          <w:tcPr>
            <w:tcW w:w="1601"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7,8</w:t>
            </w:r>
          </w:p>
        </w:tc>
        <w:tc>
          <w:tcPr>
            <w:tcW w:w="718"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c>
          <w:tcPr>
            <w:tcW w:w="2138"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c>
          <w:tcPr>
            <w:tcW w:w="146"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r>
      <w:tr w:rsidR="00F90F3A" w:rsidRPr="00441F0A" w:rsidTr="00F90F3A">
        <w:trPr>
          <w:trHeight w:val="300"/>
        </w:trPr>
        <w:tc>
          <w:tcPr>
            <w:tcW w:w="3776"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2013</w:t>
            </w:r>
          </w:p>
        </w:tc>
        <w:tc>
          <w:tcPr>
            <w:tcW w:w="930"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9,4</w:t>
            </w:r>
          </w:p>
        </w:tc>
        <w:tc>
          <w:tcPr>
            <w:tcW w:w="1601"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FF0000"/>
                <w:sz w:val="24"/>
                <w:szCs w:val="24"/>
                <w:lang w:eastAsia="fr-CA"/>
              </w:rPr>
            </w:pPr>
            <w:r w:rsidRPr="00441F0A">
              <w:rPr>
                <w:rFonts w:ascii="Times New Roman" w:eastAsia="Times New Roman" w:hAnsi="Times New Roman" w:cs="Times New Roman"/>
                <w:color w:val="FF0000"/>
                <w:sz w:val="24"/>
                <w:szCs w:val="24"/>
                <w:lang w:eastAsia="fr-CA"/>
              </w:rPr>
              <w:t>13</w:t>
            </w:r>
          </w:p>
        </w:tc>
        <w:tc>
          <w:tcPr>
            <w:tcW w:w="1601"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7,6</w:t>
            </w:r>
          </w:p>
        </w:tc>
        <w:tc>
          <w:tcPr>
            <w:tcW w:w="718"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c>
          <w:tcPr>
            <w:tcW w:w="2138"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c>
          <w:tcPr>
            <w:tcW w:w="146"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r>
      <w:tr w:rsidR="00F90F3A" w:rsidRPr="00441F0A" w:rsidTr="00F90F3A">
        <w:trPr>
          <w:trHeight w:val="300"/>
        </w:trPr>
        <w:tc>
          <w:tcPr>
            <w:tcW w:w="3776"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c>
          <w:tcPr>
            <w:tcW w:w="930"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c>
          <w:tcPr>
            <w:tcW w:w="1601"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c>
          <w:tcPr>
            <w:tcW w:w="1601"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c>
          <w:tcPr>
            <w:tcW w:w="718"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c>
          <w:tcPr>
            <w:tcW w:w="2138"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c>
          <w:tcPr>
            <w:tcW w:w="146"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r>
      <w:tr w:rsidR="00F90F3A" w:rsidRPr="00441F0A" w:rsidTr="00F90F3A">
        <w:trPr>
          <w:trHeight w:val="300"/>
        </w:trPr>
        <w:tc>
          <w:tcPr>
            <w:tcW w:w="10764" w:type="dxa"/>
            <w:gridSpan w:val="6"/>
            <w:tcBorders>
              <w:top w:val="nil"/>
              <w:left w:val="nil"/>
              <w:bottom w:val="nil"/>
              <w:right w:val="nil"/>
            </w:tcBorders>
            <w:shd w:val="clear" w:color="auto" w:fill="auto"/>
            <w:noWrap/>
            <w:vAlign w:val="bottom"/>
            <w:hideMark/>
          </w:tcPr>
          <w:p w:rsidR="00F90F3A" w:rsidRPr="00441F0A" w:rsidRDefault="00F90F3A" w:rsidP="00F90F3A">
            <w:pPr>
              <w:spacing w:after="0" w:line="240" w:lineRule="auto"/>
              <w:rPr>
                <w:rFonts w:ascii="Times New Roman" w:eastAsia="Times New Roman" w:hAnsi="Times New Roman" w:cs="Times New Roman"/>
                <w:b/>
                <w:bCs/>
                <w:color w:val="000000"/>
                <w:sz w:val="24"/>
                <w:szCs w:val="24"/>
                <w:lang w:eastAsia="fr-CA"/>
              </w:rPr>
            </w:pPr>
            <w:r w:rsidRPr="00441F0A">
              <w:rPr>
                <w:rFonts w:ascii="Times New Roman" w:eastAsia="Times New Roman" w:hAnsi="Times New Roman" w:cs="Times New Roman"/>
                <w:b/>
                <w:bCs/>
                <w:color w:val="000000"/>
                <w:sz w:val="24"/>
                <w:szCs w:val="24"/>
                <w:lang w:eastAsia="fr-CA"/>
              </w:rPr>
              <w:t>Taux d'emploi en Mauricie  (source: ISQ, panorama des régions 2009 et plus)</w:t>
            </w:r>
          </w:p>
        </w:tc>
        <w:tc>
          <w:tcPr>
            <w:tcW w:w="146"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r>
      <w:tr w:rsidR="00F90F3A" w:rsidRPr="00441F0A" w:rsidTr="00230672">
        <w:trPr>
          <w:trHeight w:val="300"/>
        </w:trPr>
        <w:tc>
          <w:tcPr>
            <w:tcW w:w="3776"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center"/>
              <w:rPr>
                <w:rFonts w:ascii="Times New Roman" w:eastAsia="Times New Roman" w:hAnsi="Times New Roman" w:cs="Times New Roman"/>
                <w:color w:val="000000"/>
                <w:sz w:val="24"/>
                <w:szCs w:val="24"/>
                <w:lang w:eastAsia="fr-CA"/>
              </w:rPr>
            </w:pPr>
          </w:p>
        </w:tc>
        <w:tc>
          <w:tcPr>
            <w:tcW w:w="930"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center"/>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Mauricie</w:t>
            </w:r>
          </w:p>
        </w:tc>
        <w:tc>
          <w:tcPr>
            <w:tcW w:w="1601"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center"/>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Rang (sur 17)</w:t>
            </w:r>
          </w:p>
        </w:tc>
        <w:tc>
          <w:tcPr>
            <w:tcW w:w="1601"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center"/>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ensemble du QC</w:t>
            </w:r>
          </w:p>
        </w:tc>
        <w:tc>
          <w:tcPr>
            <w:tcW w:w="718"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center"/>
              <w:rPr>
                <w:rFonts w:ascii="Times New Roman" w:eastAsia="Times New Roman" w:hAnsi="Times New Roman" w:cs="Times New Roman"/>
                <w:color w:val="000000"/>
                <w:sz w:val="24"/>
                <w:szCs w:val="24"/>
                <w:lang w:eastAsia="fr-CA"/>
              </w:rPr>
            </w:pPr>
          </w:p>
        </w:tc>
        <w:tc>
          <w:tcPr>
            <w:tcW w:w="2138" w:type="dxa"/>
            <w:tcBorders>
              <w:top w:val="nil"/>
              <w:left w:val="nil"/>
              <w:bottom w:val="nil"/>
              <w:right w:val="nil"/>
            </w:tcBorders>
            <w:shd w:val="clear" w:color="auto" w:fill="auto"/>
            <w:noWrap/>
            <w:vAlign w:val="bottom"/>
          </w:tcPr>
          <w:p w:rsidR="00F90F3A" w:rsidRPr="00441F0A" w:rsidRDefault="00F90F3A" w:rsidP="00F90F3A">
            <w:pPr>
              <w:spacing w:after="0" w:line="240" w:lineRule="auto"/>
              <w:jc w:val="center"/>
              <w:rPr>
                <w:rFonts w:ascii="Times New Roman" w:eastAsia="Times New Roman" w:hAnsi="Times New Roman" w:cs="Times New Roman"/>
                <w:i/>
                <w:iCs/>
                <w:color w:val="000000"/>
                <w:sz w:val="24"/>
                <w:szCs w:val="24"/>
                <w:lang w:eastAsia="fr-CA"/>
              </w:rPr>
            </w:pPr>
          </w:p>
        </w:tc>
        <w:tc>
          <w:tcPr>
            <w:tcW w:w="146"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r>
      <w:tr w:rsidR="00F90F3A" w:rsidRPr="00441F0A" w:rsidTr="00230672">
        <w:trPr>
          <w:trHeight w:val="300"/>
        </w:trPr>
        <w:tc>
          <w:tcPr>
            <w:tcW w:w="3776"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2004</w:t>
            </w:r>
          </w:p>
        </w:tc>
        <w:tc>
          <w:tcPr>
            <w:tcW w:w="930"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52,5</w:t>
            </w:r>
          </w:p>
        </w:tc>
        <w:tc>
          <w:tcPr>
            <w:tcW w:w="1601"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c>
          <w:tcPr>
            <w:tcW w:w="1601"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60,2</w:t>
            </w:r>
          </w:p>
        </w:tc>
        <w:tc>
          <w:tcPr>
            <w:tcW w:w="718"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c>
          <w:tcPr>
            <w:tcW w:w="2138" w:type="dxa"/>
            <w:tcBorders>
              <w:top w:val="nil"/>
              <w:left w:val="nil"/>
              <w:bottom w:val="nil"/>
              <w:right w:val="nil"/>
            </w:tcBorders>
            <w:shd w:val="clear" w:color="auto" w:fill="auto"/>
            <w:noWrap/>
            <w:vAlign w:val="bottom"/>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c>
          <w:tcPr>
            <w:tcW w:w="146"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r>
      <w:tr w:rsidR="00F90F3A" w:rsidRPr="00441F0A" w:rsidTr="00230672">
        <w:trPr>
          <w:trHeight w:val="300"/>
        </w:trPr>
        <w:tc>
          <w:tcPr>
            <w:tcW w:w="3776"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2005</w:t>
            </w:r>
          </w:p>
        </w:tc>
        <w:tc>
          <w:tcPr>
            <w:tcW w:w="930"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54</w:t>
            </w:r>
          </w:p>
        </w:tc>
        <w:tc>
          <w:tcPr>
            <w:tcW w:w="1601"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14</w:t>
            </w:r>
          </w:p>
        </w:tc>
        <w:tc>
          <w:tcPr>
            <w:tcW w:w="1601"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60,1</w:t>
            </w:r>
          </w:p>
        </w:tc>
        <w:tc>
          <w:tcPr>
            <w:tcW w:w="718"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c>
          <w:tcPr>
            <w:tcW w:w="2138" w:type="dxa"/>
            <w:tcBorders>
              <w:top w:val="nil"/>
              <w:left w:val="nil"/>
              <w:bottom w:val="nil"/>
              <w:right w:val="nil"/>
            </w:tcBorders>
            <w:shd w:val="clear" w:color="auto" w:fill="auto"/>
            <w:noWrap/>
            <w:vAlign w:val="bottom"/>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c>
          <w:tcPr>
            <w:tcW w:w="146"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r>
      <w:tr w:rsidR="00F90F3A" w:rsidRPr="00441F0A" w:rsidTr="00230672">
        <w:trPr>
          <w:trHeight w:val="300"/>
        </w:trPr>
        <w:tc>
          <w:tcPr>
            <w:tcW w:w="3776"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2006</w:t>
            </w:r>
          </w:p>
        </w:tc>
        <w:tc>
          <w:tcPr>
            <w:tcW w:w="930"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52</w:t>
            </w:r>
          </w:p>
        </w:tc>
        <w:tc>
          <w:tcPr>
            <w:tcW w:w="1601"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15</w:t>
            </w:r>
          </w:p>
        </w:tc>
        <w:tc>
          <w:tcPr>
            <w:tcW w:w="1601"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60,2</w:t>
            </w:r>
          </w:p>
        </w:tc>
        <w:tc>
          <w:tcPr>
            <w:tcW w:w="718"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c>
          <w:tcPr>
            <w:tcW w:w="2138" w:type="dxa"/>
            <w:tcBorders>
              <w:top w:val="nil"/>
              <w:left w:val="nil"/>
              <w:bottom w:val="nil"/>
              <w:right w:val="nil"/>
            </w:tcBorders>
            <w:shd w:val="clear" w:color="auto" w:fill="auto"/>
            <w:noWrap/>
            <w:vAlign w:val="bottom"/>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c>
          <w:tcPr>
            <w:tcW w:w="146"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r>
      <w:tr w:rsidR="00F90F3A" w:rsidRPr="00441F0A" w:rsidTr="00230672">
        <w:trPr>
          <w:trHeight w:val="300"/>
        </w:trPr>
        <w:tc>
          <w:tcPr>
            <w:tcW w:w="3776"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2007</w:t>
            </w:r>
          </w:p>
        </w:tc>
        <w:tc>
          <w:tcPr>
            <w:tcW w:w="930"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53,7</w:t>
            </w:r>
          </w:p>
        </w:tc>
        <w:tc>
          <w:tcPr>
            <w:tcW w:w="1601"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15</w:t>
            </w:r>
          </w:p>
        </w:tc>
        <w:tc>
          <w:tcPr>
            <w:tcW w:w="1601"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61</w:t>
            </w:r>
          </w:p>
        </w:tc>
        <w:tc>
          <w:tcPr>
            <w:tcW w:w="718"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c>
          <w:tcPr>
            <w:tcW w:w="2138" w:type="dxa"/>
            <w:tcBorders>
              <w:top w:val="nil"/>
              <w:left w:val="nil"/>
              <w:bottom w:val="nil"/>
              <w:right w:val="nil"/>
            </w:tcBorders>
            <w:shd w:val="clear" w:color="auto" w:fill="auto"/>
            <w:noWrap/>
            <w:vAlign w:val="bottom"/>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c>
          <w:tcPr>
            <w:tcW w:w="146"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r>
      <w:tr w:rsidR="00F90F3A" w:rsidRPr="00441F0A" w:rsidTr="00230672">
        <w:trPr>
          <w:trHeight w:val="300"/>
        </w:trPr>
        <w:tc>
          <w:tcPr>
            <w:tcW w:w="3776"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2008</w:t>
            </w:r>
          </w:p>
        </w:tc>
        <w:tc>
          <w:tcPr>
            <w:tcW w:w="930"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53,5</w:t>
            </w:r>
          </w:p>
        </w:tc>
        <w:tc>
          <w:tcPr>
            <w:tcW w:w="1601"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15</w:t>
            </w:r>
          </w:p>
        </w:tc>
        <w:tc>
          <w:tcPr>
            <w:tcW w:w="1601"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60,9</w:t>
            </w:r>
          </w:p>
        </w:tc>
        <w:tc>
          <w:tcPr>
            <w:tcW w:w="718"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c>
          <w:tcPr>
            <w:tcW w:w="2138" w:type="dxa"/>
            <w:tcBorders>
              <w:top w:val="nil"/>
              <w:left w:val="nil"/>
              <w:bottom w:val="nil"/>
              <w:right w:val="nil"/>
            </w:tcBorders>
            <w:shd w:val="clear" w:color="auto" w:fill="auto"/>
            <w:noWrap/>
            <w:vAlign w:val="bottom"/>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c>
          <w:tcPr>
            <w:tcW w:w="146"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r>
      <w:tr w:rsidR="00F90F3A" w:rsidRPr="00441F0A" w:rsidTr="00230672">
        <w:trPr>
          <w:trHeight w:val="300"/>
        </w:trPr>
        <w:tc>
          <w:tcPr>
            <w:tcW w:w="3776"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2009</w:t>
            </w:r>
          </w:p>
        </w:tc>
        <w:tc>
          <w:tcPr>
            <w:tcW w:w="930"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51,7</w:t>
            </w:r>
          </w:p>
        </w:tc>
        <w:tc>
          <w:tcPr>
            <w:tcW w:w="1601"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15</w:t>
            </w:r>
          </w:p>
        </w:tc>
        <w:tc>
          <w:tcPr>
            <w:tcW w:w="1601"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59,8</w:t>
            </w:r>
          </w:p>
        </w:tc>
        <w:tc>
          <w:tcPr>
            <w:tcW w:w="718"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c>
          <w:tcPr>
            <w:tcW w:w="2138" w:type="dxa"/>
            <w:tcBorders>
              <w:top w:val="nil"/>
              <w:left w:val="nil"/>
              <w:bottom w:val="nil"/>
              <w:right w:val="nil"/>
            </w:tcBorders>
            <w:shd w:val="clear" w:color="auto" w:fill="auto"/>
            <w:noWrap/>
            <w:vAlign w:val="bottom"/>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c>
          <w:tcPr>
            <w:tcW w:w="146"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r>
      <w:tr w:rsidR="00F90F3A" w:rsidRPr="00441F0A" w:rsidTr="00230672">
        <w:trPr>
          <w:trHeight w:val="300"/>
        </w:trPr>
        <w:tc>
          <w:tcPr>
            <w:tcW w:w="3776"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2010</w:t>
            </w:r>
          </w:p>
        </w:tc>
        <w:tc>
          <w:tcPr>
            <w:tcW w:w="930"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52,3</w:t>
            </w:r>
          </w:p>
        </w:tc>
        <w:tc>
          <w:tcPr>
            <w:tcW w:w="1601"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15</w:t>
            </w:r>
          </w:p>
        </w:tc>
        <w:tc>
          <w:tcPr>
            <w:tcW w:w="1601"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60,2</w:t>
            </w:r>
          </w:p>
        </w:tc>
        <w:tc>
          <w:tcPr>
            <w:tcW w:w="718"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c>
          <w:tcPr>
            <w:tcW w:w="2138" w:type="dxa"/>
            <w:tcBorders>
              <w:top w:val="nil"/>
              <w:left w:val="nil"/>
              <w:bottom w:val="nil"/>
              <w:right w:val="nil"/>
            </w:tcBorders>
            <w:shd w:val="clear" w:color="auto" w:fill="auto"/>
            <w:noWrap/>
            <w:vAlign w:val="bottom"/>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c>
          <w:tcPr>
            <w:tcW w:w="146"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r>
      <w:tr w:rsidR="00F90F3A" w:rsidRPr="00441F0A" w:rsidTr="00230672">
        <w:trPr>
          <w:trHeight w:val="300"/>
        </w:trPr>
        <w:tc>
          <w:tcPr>
            <w:tcW w:w="3776"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2011</w:t>
            </w:r>
          </w:p>
        </w:tc>
        <w:tc>
          <w:tcPr>
            <w:tcW w:w="930"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53,9</w:t>
            </w:r>
          </w:p>
        </w:tc>
        <w:tc>
          <w:tcPr>
            <w:tcW w:w="1601"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15</w:t>
            </w:r>
          </w:p>
        </w:tc>
        <w:tc>
          <w:tcPr>
            <w:tcW w:w="1601"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60,1</w:t>
            </w:r>
          </w:p>
        </w:tc>
        <w:tc>
          <w:tcPr>
            <w:tcW w:w="718"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c>
          <w:tcPr>
            <w:tcW w:w="2138" w:type="dxa"/>
            <w:tcBorders>
              <w:top w:val="nil"/>
              <w:left w:val="nil"/>
              <w:bottom w:val="nil"/>
              <w:right w:val="nil"/>
            </w:tcBorders>
            <w:shd w:val="clear" w:color="auto" w:fill="auto"/>
            <w:noWrap/>
            <w:vAlign w:val="bottom"/>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c>
          <w:tcPr>
            <w:tcW w:w="146"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r>
      <w:tr w:rsidR="00F90F3A" w:rsidRPr="00441F0A" w:rsidTr="00230672">
        <w:trPr>
          <w:trHeight w:val="300"/>
        </w:trPr>
        <w:tc>
          <w:tcPr>
            <w:tcW w:w="3776"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2012</w:t>
            </w:r>
          </w:p>
        </w:tc>
        <w:tc>
          <w:tcPr>
            <w:tcW w:w="930"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50,8</w:t>
            </w:r>
          </w:p>
        </w:tc>
        <w:tc>
          <w:tcPr>
            <w:tcW w:w="1601"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FF0000"/>
                <w:sz w:val="24"/>
                <w:szCs w:val="24"/>
                <w:lang w:eastAsia="fr-CA"/>
              </w:rPr>
            </w:pPr>
            <w:r w:rsidRPr="00441F0A">
              <w:rPr>
                <w:rFonts w:ascii="Times New Roman" w:eastAsia="Times New Roman" w:hAnsi="Times New Roman" w:cs="Times New Roman"/>
                <w:color w:val="FF0000"/>
                <w:sz w:val="24"/>
                <w:szCs w:val="24"/>
                <w:lang w:eastAsia="fr-CA"/>
              </w:rPr>
              <w:t>16</w:t>
            </w:r>
          </w:p>
        </w:tc>
        <w:tc>
          <w:tcPr>
            <w:tcW w:w="1601"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60</w:t>
            </w:r>
          </w:p>
        </w:tc>
        <w:tc>
          <w:tcPr>
            <w:tcW w:w="718"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c>
          <w:tcPr>
            <w:tcW w:w="2138" w:type="dxa"/>
            <w:tcBorders>
              <w:top w:val="nil"/>
              <w:left w:val="nil"/>
              <w:bottom w:val="nil"/>
              <w:right w:val="nil"/>
            </w:tcBorders>
            <w:shd w:val="clear" w:color="auto" w:fill="auto"/>
            <w:noWrap/>
            <w:vAlign w:val="bottom"/>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c>
          <w:tcPr>
            <w:tcW w:w="146"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r>
      <w:tr w:rsidR="00F90F3A" w:rsidRPr="00441F0A" w:rsidTr="00230672">
        <w:trPr>
          <w:trHeight w:val="300"/>
        </w:trPr>
        <w:tc>
          <w:tcPr>
            <w:tcW w:w="3776"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2013</w:t>
            </w:r>
          </w:p>
        </w:tc>
        <w:tc>
          <w:tcPr>
            <w:tcW w:w="930"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48,3</w:t>
            </w:r>
          </w:p>
        </w:tc>
        <w:tc>
          <w:tcPr>
            <w:tcW w:w="1601"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FF0000"/>
                <w:sz w:val="24"/>
                <w:szCs w:val="24"/>
                <w:lang w:eastAsia="fr-CA"/>
              </w:rPr>
            </w:pPr>
            <w:r w:rsidRPr="00441F0A">
              <w:rPr>
                <w:rFonts w:ascii="Times New Roman" w:eastAsia="Times New Roman" w:hAnsi="Times New Roman" w:cs="Times New Roman"/>
                <w:color w:val="FF0000"/>
                <w:sz w:val="24"/>
                <w:szCs w:val="24"/>
                <w:lang w:eastAsia="fr-CA"/>
              </w:rPr>
              <w:t>16</w:t>
            </w:r>
          </w:p>
        </w:tc>
        <w:tc>
          <w:tcPr>
            <w:tcW w:w="1601"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60,3</w:t>
            </w:r>
          </w:p>
        </w:tc>
        <w:tc>
          <w:tcPr>
            <w:tcW w:w="718"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c>
          <w:tcPr>
            <w:tcW w:w="2138" w:type="dxa"/>
            <w:tcBorders>
              <w:top w:val="nil"/>
              <w:left w:val="nil"/>
              <w:bottom w:val="nil"/>
              <w:right w:val="nil"/>
            </w:tcBorders>
            <w:shd w:val="clear" w:color="auto" w:fill="auto"/>
            <w:noWrap/>
            <w:vAlign w:val="bottom"/>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c>
          <w:tcPr>
            <w:tcW w:w="146"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r>
      <w:tr w:rsidR="00F90F3A" w:rsidRPr="00441F0A" w:rsidTr="00230672">
        <w:trPr>
          <w:trHeight w:val="300"/>
        </w:trPr>
        <w:tc>
          <w:tcPr>
            <w:tcW w:w="3776"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c>
          <w:tcPr>
            <w:tcW w:w="930"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c>
          <w:tcPr>
            <w:tcW w:w="1601"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c>
          <w:tcPr>
            <w:tcW w:w="1601"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c>
          <w:tcPr>
            <w:tcW w:w="718"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c>
          <w:tcPr>
            <w:tcW w:w="2138" w:type="dxa"/>
            <w:tcBorders>
              <w:top w:val="nil"/>
              <w:left w:val="nil"/>
              <w:bottom w:val="nil"/>
              <w:right w:val="nil"/>
            </w:tcBorders>
            <w:shd w:val="clear" w:color="auto" w:fill="auto"/>
            <w:noWrap/>
            <w:vAlign w:val="bottom"/>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c>
          <w:tcPr>
            <w:tcW w:w="146" w:type="dxa"/>
            <w:tcBorders>
              <w:top w:val="nil"/>
              <w:left w:val="nil"/>
              <w:bottom w:val="nil"/>
              <w:right w:val="nil"/>
            </w:tcBorders>
            <w:shd w:val="clear" w:color="auto" w:fill="auto"/>
            <w:noWrap/>
            <w:vAlign w:val="bottom"/>
            <w:hideMark/>
          </w:tcPr>
          <w:p w:rsidR="00F90F3A" w:rsidRPr="00441F0A" w:rsidRDefault="00F90F3A" w:rsidP="00F90F3A">
            <w:pPr>
              <w:spacing w:after="0" w:line="240" w:lineRule="auto"/>
              <w:rPr>
                <w:rFonts w:ascii="Times New Roman" w:eastAsia="Times New Roman" w:hAnsi="Times New Roman" w:cs="Times New Roman"/>
                <w:color w:val="000000"/>
                <w:sz w:val="24"/>
                <w:szCs w:val="24"/>
                <w:lang w:eastAsia="fr-CA"/>
              </w:rPr>
            </w:pPr>
          </w:p>
        </w:tc>
      </w:tr>
    </w:tbl>
    <w:p w:rsidR="00305B4B" w:rsidRPr="00441F0A" w:rsidRDefault="00305B4B" w:rsidP="00F90F3A">
      <w:pPr>
        <w:tabs>
          <w:tab w:val="left" w:pos="1751"/>
        </w:tabs>
        <w:rPr>
          <w:rFonts w:ascii="Times New Roman" w:hAnsi="Times New Roman" w:cs="Times New Roman"/>
          <w:sz w:val="24"/>
          <w:szCs w:val="24"/>
        </w:rPr>
      </w:pPr>
    </w:p>
    <w:p w:rsidR="00305B4B" w:rsidRPr="00441F0A" w:rsidRDefault="00305B4B">
      <w:pPr>
        <w:rPr>
          <w:rFonts w:ascii="Times New Roman" w:hAnsi="Times New Roman" w:cs="Times New Roman"/>
          <w:sz w:val="24"/>
          <w:szCs w:val="24"/>
        </w:rPr>
      </w:pPr>
      <w:r w:rsidRPr="00441F0A">
        <w:rPr>
          <w:rFonts w:ascii="Times New Roman" w:hAnsi="Times New Roman" w:cs="Times New Roman"/>
          <w:sz w:val="24"/>
          <w:szCs w:val="24"/>
        </w:rPr>
        <w:br w:type="page"/>
      </w:r>
    </w:p>
    <w:tbl>
      <w:tblPr>
        <w:tblpPr w:leftFromText="141" w:rightFromText="141" w:vertAnchor="text" w:horzAnchor="margin" w:tblpXSpec="center" w:tblpY="327"/>
        <w:tblW w:w="10910" w:type="dxa"/>
        <w:tblCellMar>
          <w:left w:w="70" w:type="dxa"/>
          <w:right w:w="70" w:type="dxa"/>
        </w:tblCellMar>
        <w:tblLook w:val="04A0"/>
      </w:tblPr>
      <w:tblGrid>
        <w:gridCol w:w="3776"/>
        <w:gridCol w:w="1007"/>
        <w:gridCol w:w="1601"/>
        <w:gridCol w:w="1601"/>
        <w:gridCol w:w="767"/>
        <w:gridCol w:w="2138"/>
        <w:gridCol w:w="146"/>
      </w:tblGrid>
      <w:tr w:rsidR="00305B4B" w:rsidRPr="00441F0A" w:rsidTr="004B2CE7">
        <w:trPr>
          <w:trHeight w:val="300"/>
        </w:trPr>
        <w:tc>
          <w:tcPr>
            <w:tcW w:w="3776"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center"/>
              <w:rPr>
                <w:rFonts w:ascii="Times New Roman" w:eastAsia="Times New Roman" w:hAnsi="Times New Roman" w:cs="Times New Roman"/>
                <w:b/>
                <w:bCs/>
                <w:color w:val="000000"/>
                <w:sz w:val="24"/>
                <w:szCs w:val="24"/>
                <w:lang w:eastAsia="fr-CA"/>
              </w:rPr>
            </w:pPr>
            <w:r w:rsidRPr="00441F0A">
              <w:rPr>
                <w:rFonts w:ascii="Times New Roman" w:eastAsia="Times New Roman" w:hAnsi="Times New Roman" w:cs="Times New Roman"/>
                <w:b/>
                <w:bCs/>
                <w:color w:val="000000"/>
                <w:sz w:val="24"/>
                <w:szCs w:val="24"/>
                <w:lang w:eastAsia="fr-CA"/>
              </w:rPr>
              <w:lastRenderedPageBreak/>
              <w:t>PIB par habitant, Mauricie, 1998-2007</w:t>
            </w:r>
          </w:p>
        </w:tc>
        <w:tc>
          <w:tcPr>
            <w:tcW w:w="930"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center"/>
              <w:rPr>
                <w:rFonts w:ascii="Times New Roman" w:eastAsia="Times New Roman" w:hAnsi="Times New Roman" w:cs="Times New Roman"/>
                <w:b/>
                <w:bCs/>
                <w:color w:val="000000"/>
                <w:sz w:val="24"/>
                <w:szCs w:val="24"/>
                <w:lang w:eastAsia="fr-CA"/>
              </w:rPr>
            </w:pPr>
          </w:p>
        </w:tc>
        <w:tc>
          <w:tcPr>
            <w:tcW w:w="1601"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center"/>
              <w:rPr>
                <w:rFonts w:ascii="Times New Roman" w:eastAsia="Times New Roman" w:hAnsi="Times New Roman" w:cs="Times New Roman"/>
                <w:b/>
                <w:bCs/>
                <w:color w:val="000000"/>
                <w:sz w:val="24"/>
                <w:szCs w:val="24"/>
                <w:lang w:eastAsia="fr-CA"/>
              </w:rPr>
            </w:pPr>
          </w:p>
        </w:tc>
        <w:tc>
          <w:tcPr>
            <w:tcW w:w="1601"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center"/>
              <w:rPr>
                <w:rFonts w:ascii="Times New Roman" w:eastAsia="Times New Roman" w:hAnsi="Times New Roman" w:cs="Times New Roman"/>
                <w:b/>
                <w:bCs/>
                <w:color w:val="000000"/>
                <w:sz w:val="24"/>
                <w:szCs w:val="24"/>
                <w:lang w:eastAsia="fr-CA"/>
              </w:rPr>
            </w:pPr>
          </w:p>
        </w:tc>
        <w:tc>
          <w:tcPr>
            <w:tcW w:w="2856" w:type="dxa"/>
            <w:gridSpan w:val="2"/>
            <w:tcBorders>
              <w:top w:val="nil"/>
              <w:left w:val="nil"/>
              <w:bottom w:val="nil"/>
              <w:right w:val="nil"/>
            </w:tcBorders>
            <w:shd w:val="clear" w:color="auto" w:fill="auto"/>
            <w:noWrap/>
            <w:vAlign w:val="bottom"/>
            <w:hideMark/>
          </w:tcPr>
          <w:p w:rsidR="00305B4B" w:rsidRPr="00441F0A" w:rsidRDefault="00305B4B" w:rsidP="004B2CE7">
            <w:pPr>
              <w:spacing w:after="0" w:line="240" w:lineRule="auto"/>
              <w:rPr>
                <w:rFonts w:ascii="Times New Roman" w:eastAsia="Times New Roman" w:hAnsi="Times New Roman" w:cs="Times New Roman"/>
                <w:b/>
                <w:bCs/>
                <w:color w:val="000000"/>
                <w:sz w:val="24"/>
                <w:szCs w:val="24"/>
                <w:lang w:eastAsia="fr-CA"/>
              </w:rPr>
            </w:pPr>
            <w:r w:rsidRPr="00441F0A">
              <w:rPr>
                <w:rFonts w:ascii="Times New Roman" w:eastAsia="Times New Roman" w:hAnsi="Times New Roman" w:cs="Times New Roman"/>
                <w:b/>
                <w:bCs/>
                <w:color w:val="000000"/>
                <w:sz w:val="24"/>
                <w:szCs w:val="24"/>
                <w:lang w:eastAsia="fr-CA"/>
              </w:rPr>
              <w:t>PIB par hab. : 1998-2012</w:t>
            </w:r>
          </w:p>
        </w:tc>
        <w:tc>
          <w:tcPr>
            <w:tcW w:w="146"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rPr>
                <w:rFonts w:ascii="Times New Roman" w:eastAsia="Times New Roman" w:hAnsi="Times New Roman" w:cs="Times New Roman"/>
                <w:color w:val="000000"/>
                <w:sz w:val="24"/>
                <w:szCs w:val="24"/>
                <w:lang w:eastAsia="fr-CA"/>
              </w:rPr>
            </w:pPr>
          </w:p>
        </w:tc>
      </w:tr>
      <w:tr w:rsidR="00305B4B" w:rsidRPr="00441F0A" w:rsidTr="004B2CE7">
        <w:trPr>
          <w:trHeight w:val="300"/>
        </w:trPr>
        <w:tc>
          <w:tcPr>
            <w:tcW w:w="3776"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center"/>
              <w:rPr>
                <w:rFonts w:ascii="Times New Roman" w:eastAsia="Times New Roman" w:hAnsi="Times New Roman" w:cs="Times New Roman"/>
                <w:color w:val="000000"/>
                <w:sz w:val="24"/>
                <w:szCs w:val="24"/>
                <w:lang w:eastAsia="fr-CA"/>
              </w:rPr>
            </w:pPr>
          </w:p>
        </w:tc>
        <w:tc>
          <w:tcPr>
            <w:tcW w:w="930"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center"/>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Mauricie</w:t>
            </w:r>
          </w:p>
        </w:tc>
        <w:tc>
          <w:tcPr>
            <w:tcW w:w="1601"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center"/>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ensemble du QC</w:t>
            </w:r>
          </w:p>
        </w:tc>
        <w:tc>
          <w:tcPr>
            <w:tcW w:w="1601"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center"/>
              <w:rPr>
                <w:rFonts w:ascii="Times New Roman" w:eastAsia="Times New Roman" w:hAnsi="Times New Roman" w:cs="Times New Roman"/>
                <w:color w:val="000000"/>
                <w:sz w:val="24"/>
                <w:szCs w:val="24"/>
                <w:lang w:eastAsia="fr-CA"/>
              </w:rPr>
            </w:pPr>
          </w:p>
        </w:tc>
        <w:tc>
          <w:tcPr>
            <w:tcW w:w="718"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center"/>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Année</w:t>
            </w:r>
          </w:p>
        </w:tc>
        <w:tc>
          <w:tcPr>
            <w:tcW w:w="2138"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center"/>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Rang (sur 17 régions)</w:t>
            </w:r>
          </w:p>
        </w:tc>
        <w:tc>
          <w:tcPr>
            <w:tcW w:w="146"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rPr>
                <w:rFonts w:ascii="Times New Roman" w:eastAsia="Times New Roman" w:hAnsi="Times New Roman" w:cs="Times New Roman"/>
                <w:color w:val="000000"/>
                <w:sz w:val="24"/>
                <w:szCs w:val="24"/>
                <w:lang w:eastAsia="fr-CA"/>
              </w:rPr>
            </w:pPr>
          </w:p>
        </w:tc>
      </w:tr>
      <w:tr w:rsidR="00305B4B" w:rsidRPr="00441F0A" w:rsidTr="004B2CE7">
        <w:trPr>
          <w:trHeight w:val="300"/>
        </w:trPr>
        <w:tc>
          <w:tcPr>
            <w:tcW w:w="3776"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1998</w:t>
            </w:r>
          </w:p>
        </w:tc>
        <w:tc>
          <w:tcPr>
            <w:tcW w:w="930"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20535</w:t>
            </w:r>
          </w:p>
        </w:tc>
        <w:tc>
          <w:tcPr>
            <w:tcW w:w="1601"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24980</w:t>
            </w:r>
          </w:p>
        </w:tc>
        <w:tc>
          <w:tcPr>
            <w:tcW w:w="1601"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rPr>
                <w:rFonts w:ascii="Times New Roman" w:eastAsia="Times New Roman" w:hAnsi="Times New Roman" w:cs="Times New Roman"/>
                <w:color w:val="000000"/>
                <w:sz w:val="24"/>
                <w:szCs w:val="24"/>
                <w:lang w:eastAsia="fr-CA"/>
              </w:rPr>
            </w:pPr>
          </w:p>
        </w:tc>
        <w:tc>
          <w:tcPr>
            <w:tcW w:w="718"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1998</w:t>
            </w:r>
          </w:p>
        </w:tc>
        <w:tc>
          <w:tcPr>
            <w:tcW w:w="2138"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center"/>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10</w:t>
            </w:r>
          </w:p>
        </w:tc>
        <w:tc>
          <w:tcPr>
            <w:tcW w:w="146"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rPr>
                <w:rFonts w:ascii="Times New Roman" w:eastAsia="Times New Roman" w:hAnsi="Times New Roman" w:cs="Times New Roman"/>
                <w:color w:val="000000"/>
                <w:sz w:val="24"/>
                <w:szCs w:val="24"/>
                <w:lang w:eastAsia="fr-CA"/>
              </w:rPr>
            </w:pPr>
          </w:p>
        </w:tc>
      </w:tr>
      <w:tr w:rsidR="00305B4B" w:rsidRPr="00441F0A" w:rsidTr="004B2CE7">
        <w:trPr>
          <w:trHeight w:val="300"/>
        </w:trPr>
        <w:tc>
          <w:tcPr>
            <w:tcW w:w="3776"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1999</w:t>
            </w:r>
          </w:p>
        </w:tc>
        <w:tc>
          <w:tcPr>
            <w:tcW w:w="930"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21847</w:t>
            </w:r>
          </w:p>
        </w:tc>
        <w:tc>
          <w:tcPr>
            <w:tcW w:w="1601"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26733</w:t>
            </w:r>
          </w:p>
        </w:tc>
        <w:tc>
          <w:tcPr>
            <w:tcW w:w="1601"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rPr>
                <w:rFonts w:ascii="Times New Roman" w:eastAsia="Times New Roman" w:hAnsi="Times New Roman" w:cs="Times New Roman"/>
                <w:color w:val="000000"/>
                <w:sz w:val="24"/>
                <w:szCs w:val="24"/>
                <w:lang w:eastAsia="fr-CA"/>
              </w:rPr>
            </w:pPr>
          </w:p>
        </w:tc>
        <w:tc>
          <w:tcPr>
            <w:tcW w:w="718"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1999</w:t>
            </w:r>
          </w:p>
        </w:tc>
        <w:tc>
          <w:tcPr>
            <w:tcW w:w="2138"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center"/>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11</w:t>
            </w:r>
          </w:p>
        </w:tc>
        <w:tc>
          <w:tcPr>
            <w:tcW w:w="146"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rPr>
                <w:rFonts w:ascii="Times New Roman" w:eastAsia="Times New Roman" w:hAnsi="Times New Roman" w:cs="Times New Roman"/>
                <w:color w:val="000000"/>
                <w:sz w:val="24"/>
                <w:szCs w:val="24"/>
                <w:lang w:eastAsia="fr-CA"/>
              </w:rPr>
            </w:pPr>
          </w:p>
        </w:tc>
      </w:tr>
      <w:tr w:rsidR="00305B4B" w:rsidRPr="00441F0A" w:rsidTr="004B2CE7">
        <w:trPr>
          <w:trHeight w:val="300"/>
        </w:trPr>
        <w:tc>
          <w:tcPr>
            <w:tcW w:w="3776"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2000</w:t>
            </w:r>
          </w:p>
        </w:tc>
        <w:tc>
          <w:tcPr>
            <w:tcW w:w="930"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23723</w:t>
            </w:r>
          </w:p>
        </w:tc>
        <w:tc>
          <w:tcPr>
            <w:tcW w:w="1601"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28449</w:t>
            </w:r>
          </w:p>
        </w:tc>
        <w:tc>
          <w:tcPr>
            <w:tcW w:w="1601"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rPr>
                <w:rFonts w:ascii="Times New Roman" w:eastAsia="Times New Roman" w:hAnsi="Times New Roman" w:cs="Times New Roman"/>
                <w:color w:val="000000"/>
                <w:sz w:val="24"/>
                <w:szCs w:val="24"/>
                <w:lang w:eastAsia="fr-CA"/>
              </w:rPr>
            </w:pPr>
          </w:p>
        </w:tc>
        <w:tc>
          <w:tcPr>
            <w:tcW w:w="718"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2000</w:t>
            </w:r>
          </w:p>
        </w:tc>
        <w:tc>
          <w:tcPr>
            <w:tcW w:w="2138"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center"/>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10</w:t>
            </w:r>
          </w:p>
        </w:tc>
        <w:tc>
          <w:tcPr>
            <w:tcW w:w="146"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rPr>
                <w:rFonts w:ascii="Times New Roman" w:eastAsia="Times New Roman" w:hAnsi="Times New Roman" w:cs="Times New Roman"/>
                <w:color w:val="000000"/>
                <w:sz w:val="24"/>
                <w:szCs w:val="24"/>
                <w:lang w:eastAsia="fr-CA"/>
              </w:rPr>
            </w:pPr>
          </w:p>
        </w:tc>
      </w:tr>
      <w:tr w:rsidR="00305B4B" w:rsidRPr="00441F0A" w:rsidTr="004B2CE7">
        <w:trPr>
          <w:trHeight w:val="300"/>
        </w:trPr>
        <w:tc>
          <w:tcPr>
            <w:tcW w:w="3776"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2001</w:t>
            </w:r>
          </w:p>
        </w:tc>
        <w:tc>
          <w:tcPr>
            <w:tcW w:w="930"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23693</w:t>
            </w:r>
          </w:p>
        </w:tc>
        <w:tc>
          <w:tcPr>
            <w:tcW w:w="1601"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29162</w:t>
            </w:r>
          </w:p>
        </w:tc>
        <w:tc>
          <w:tcPr>
            <w:tcW w:w="1601"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rPr>
                <w:rFonts w:ascii="Times New Roman" w:eastAsia="Times New Roman" w:hAnsi="Times New Roman" w:cs="Times New Roman"/>
                <w:color w:val="000000"/>
                <w:sz w:val="24"/>
                <w:szCs w:val="24"/>
                <w:lang w:eastAsia="fr-CA"/>
              </w:rPr>
            </w:pPr>
          </w:p>
        </w:tc>
        <w:tc>
          <w:tcPr>
            <w:tcW w:w="718"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2001</w:t>
            </w:r>
          </w:p>
        </w:tc>
        <w:tc>
          <w:tcPr>
            <w:tcW w:w="2138"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center"/>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11</w:t>
            </w:r>
          </w:p>
        </w:tc>
        <w:tc>
          <w:tcPr>
            <w:tcW w:w="146"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rPr>
                <w:rFonts w:ascii="Times New Roman" w:eastAsia="Times New Roman" w:hAnsi="Times New Roman" w:cs="Times New Roman"/>
                <w:color w:val="000000"/>
                <w:sz w:val="24"/>
                <w:szCs w:val="24"/>
                <w:lang w:eastAsia="fr-CA"/>
              </w:rPr>
            </w:pPr>
          </w:p>
        </w:tc>
      </w:tr>
      <w:tr w:rsidR="00305B4B" w:rsidRPr="00441F0A" w:rsidTr="004B2CE7">
        <w:trPr>
          <w:trHeight w:val="300"/>
        </w:trPr>
        <w:tc>
          <w:tcPr>
            <w:tcW w:w="3776"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2002</w:t>
            </w:r>
          </w:p>
        </w:tc>
        <w:tc>
          <w:tcPr>
            <w:tcW w:w="930"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24216</w:t>
            </w:r>
          </w:p>
        </w:tc>
        <w:tc>
          <w:tcPr>
            <w:tcW w:w="1601"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30063</w:t>
            </w:r>
          </w:p>
        </w:tc>
        <w:tc>
          <w:tcPr>
            <w:tcW w:w="1601"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rPr>
                <w:rFonts w:ascii="Times New Roman" w:eastAsia="Times New Roman" w:hAnsi="Times New Roman" w:cs="Times New Roman"/>
                <w:color w:val="000000"/>
                <w:sz w:val="24"/>
                <w:szCs w:val="24"/>
                <w:lang w:eastAsia="fr-CA"/>
              </w:rPr>
            </w:pPr>
          </w:p>
        </w:tc>
        <w:tc>
          <w:tcPr>
            <w:tcW w:w="718"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2002</w:t>
            </w:r>
          </w:p>
        </w:tc>
        <w:tc>
          <w:tcPr>
            <w:tcW w:w="2138"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center"/>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11</w:t>
            </w:r>
          </w:p>
        </w:tc>
        <w:tc>
          <w:tcPr>
            <w:tcW w:w="146"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rPr>
                <w:rFonts w:ascii="Times New Roman" w:eastAsia="Times New Roman" w:hAnsi="Times New Roman" w:cs="Times New Roman"/>
                <w:color w:val="000000"/>
                <w:sz w:val="24"/>
                <w:szCs w:val="24"/>
                <w:lang w:eastAsia="fr-CA"/>
              </w:rPr>
            </w:pPr>
          </w:p>
        </w:tc>
      </w:tr>
      <w:tr w:rsidR="00305B4B" w:rsidRPr="00441F0A" w:rsidTr="004B2CE7">
        <w:trPr>
          <w:trHeight w:val="300"/>
        </w:trPr>
        <w:tc>
          <w:tcPr>
            <w:tcW w:w="3776"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2003</w:t>
            </w:r>
          </w:p>
        </w:tc>
        <w:tc>
          <w:tcPr>
            <w:tcW w:w="930"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25124</w:t>
            </w:r>
          </w:p>
        </w:tc>
        <w:tc>
          <w:tcPr>
            <w:tcW w:w="1601"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31085</w:t>
            </w:r>
          </w:p>
        </w:tc>
        <w:tc>
          <w:tcPr>
            <w:tcW w:w="1601"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rPr>
                <w:rFonts w:ascii="Times New Roman" w:eastAsia="Times New Roman" w:hAnsi="Times New Roman" w:cs="Times New Roman"/>
                <w:color w:val="000000"/>
                <w:sz w:val="24"/>
                <w:szCs w:val="24"/>
                <w:lang w:eastAsia="fr-CA"/>
              </w:rPr>
            </w:pPr>
          </w:p>
        </w:tc>
        <w:tc>
          <w:tcPr>
            <w:tcW w:w="718"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2003</w:t>
            </w:r>
          </w:p>
        </w:tc>
        <w:tc>
          <w:tcPr>
            <w:tcW w:w="2138"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center"/>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12</w:t>
            </w:r>
          </w:p>
        </w:tc>
        <w:tc>
          <w:tcPr>
            <w:tcW w:w="146"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rPr>
                <w:rFonts w:ascii="Times New Roman" w:eastAsia="Times New Roman" w:hAnsi="Times New Roman" w:cs="Times New Roman"/>
                <w:color w:val="000000"/>
                <w:sz w:val="24"/>
                <w:szCs w:val="24"/>
                <w:lang w:eastAsia="fr-CA"/>
              </w:rPr>
            </w:pPr>
          </w:p>
        </w:tc>
      </w:tr>
      <w:tr w:rsidR="00305B4B" w:rsidRPr="00441F0A" w:rsidTr="004B2CE7">
        <w:trPr>
          <w:trHeight w:val="300"/>
        </w:trPr>
        <w:tc>
          <w:tcPr>
            <w:tcW w:w="3776"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2004</w:t>
            </w:r>
          </w:p>
        </w:tc>
        <w:tc>
          <w:tcPr>
            <w:tcW w:w="930"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26200</w:t>
            </w:r>
          </w:p>
        </w:tc>
        <w:tc>
          <w:tcPr>
            <w:tcW w:w="1601"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32345</w:t>
            </w:r>
          </w:p>
        </w:tc>
        <w:tc>
          <w:tcPr>
            <w:tcW w:w="1601"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rPr>
                <w:rFonts w:ascii="Times New Roman" w:eastAsia="Times New Roman" w:hAnsi="Times New Roman" w:cs="Times New Roman"/>
                <w:color w:val="000000"/>
                <w:sz w:val="24"/>
                <w:szCs w:val="24"/>
                <w:lang w:eastAsia="fr-CA"/>
              </w:rPr>
            </w:pPr>
          </w:p>
        </w:tc>
        <w:tc>
          <w:tcPr>
            <w:tcW w:w="718"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2004</w:t>
            </w:r>
          </w:p>
        </w:tc>
        <w:tc>
          <w:tcPr>
            <w:tcW w:w="2138"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center"/>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11</w:t>
            </w:r>
          </w:p>
        </w:tc>
        <w:tc>
          <w:tcPr>
            <w:tcW w:w="146"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rPr>
                <w:rFonts w:ascii="Times New Roman" w:eastAsia="Times New Roman" w:hAnsi="Times New Roman" w:cs="Times New Roman"/>
                <w:color w:val="000000"/>
                <w:sz w:val="24"/>
                <w:szCs w:val="24"/>
                <w:lang w:eastAsia="fr-CA"/>
              </w:rPr>
            </w:pPr>
          </w:p>
        </w:tc>
      </w:tr>
      <w:tr w:rsidR="00305B4B" w:rsidRPr="00441F0A" w:rsidTr="004B2CE7">
        <w:trPr>
          <w:trHeight w:val="300"/>
        </w:trPr>
        <w:tc>
          <w:tcPr>
            <w:tcW w:w="3776"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2005</w:t>
            </w:r>
          </w:p>
        </w:tc>
        <w:tc>
          <w:tcPr>
            <w:tcW w:w="930"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26754</w:t>
            </w:r>
          </w:p>
        </w:tc>
        <w:tc>
          <w:tcPr>
            <w:tcW w:w="1601"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33314</w:t>
            </w:r>
          </w:p>
        </w:tc>
        <w:tc>
          <w:tcPr>
            <w:tcW w:w="1601"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rPr>
                <w:rFonts w:ascii="Times New Roman" w:eastAsia="Times New Roman" w:hAnsi="Times New Roman" w:cs="Times New Roman"/>
                <w:color w:val="000000"/>
                <w:sz w:val="24"/>
                <w:szCs w:val="24"/>
                <w:lang w:eastAsia="fr-CA"/>
              </w:rPr>
            </w:pPr>
          </w:p>
        </w:tc>
        <w:tc>
          <w:tcPr>
            <w:tcW w:w="718"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2005</w:t>
            </w:r>
          </w:p>
        </w:tc>
        <w:tc>
          <w:tcPr>
            <w:tcW w:w="2138"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center"/>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11</w:t>
            </w:r>
          </w:p>
        </w:tc>
        <w:tc>
          <w:tcPr>
            <w:tcW w:w="146"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rPr>
                <w:rFonts w:ascii="Times New Roman" w:eastAsia="Times New Roman" w:hAnsi="Times New Roman" w:cs="Times New Roman"/>
                <w:color w:val="000000"/>
                <w:sz w:val="24"/>
                <w:szCs w:val="24"/>
                <w:lang w:eastAsia="fr-CA"/>
              </w:rPr>
            </w:pPr>
          </w:p>
        </w:tc>
      </w:tr>
      <w:tr w:rsidR="00305B4B" w:rsidRPr="00441F0A" w:rsidTr="004B2CE7">
        <w:trPr>
          <w:trHeight w:val="300"/>
        </w:trPr>
        <w:tc>
          <w:tcPr>
            <w:tcW w:w="3776"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2006</w:t>
            </w:r>
          </w:p>
        </w:tc>
        <w:tc>
          <w:tcPr>
            <w:tcW w:w="930"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28821</w:t>
            </w:r>
          </w:p>
        </w:tc>
        <w:tc>
          <w:tcPr>
            <w:tcW w:w="1601"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34475</w:t>
            </w:r>
          </w:p>
        </w:tc>
        <w:tc>
          <w:tcPr>
            <w:tcW w:w="1601"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rPr>
                <w:rFonts w:ascii="Times New Roman" w:eastAsia="Times New Roman" w:hAnsi="Times New Roman" w:cs="Times New Roman"/>
                <w:color w:val="000000"/>
                <w:sz w:val="24"/>
                <w:szCs w:val="24"/>
                <w:lang w:eastAsia="fr-CA"/>
              </w:rPr>
            </w:pPr>
          </w:p>
        </w:tc>
        <w:tc>
          <w:tcPr>
            <w:tcW w:w="718"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2006</w:t>
            </w:r>
          </w:p>
        </w:tc>
        <w:tc>
          <w:tcPr>
            <w:tcW w:w="2138"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center"/>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11</w:t>
            </w:r>
          </w:p>
        </w:tc>
        <w:tc>
          <w:tcPr>
            <w:tcW w:w="146"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rPr>
                <w:rFonts w:ascii="Times New Roman" w:eastAsia="Times New Roman" w:hAnsi="Times New Roman" w:cs="Times New Roman"/>
                <w:color w:val="000000"/>
                <w:sz w:val="24"/>
                <w:szCs w:val="24"/>
                <w:lang w:eastAsia="fr-CA"/>
              </w:rPr>
            </w:pPr>
          </w:p>
        </w:tc>
      </w:tr>
      <w:tr w:rsidR="00305B4B" w:rsidRPr="00441F0A" w:rsidTr="004B2CE7">
        <w:trPr>
          <w:trHeight w:val="300"/>
        </w:trPr>
        <w:tc>
          <w:tcPr>
            <w:tcW w:w="3776"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2007</w:t>
            </w:r>
          </w:p>
        </w:tc>
        <w:tc>
          <w:tcPr>
            <w:tcW w:w="930"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30231</w:t>
            </w:r>
          </w:p>
        </w:tc>
        <w:tc>
          <w:tcPr>
            <w:tcW w:w="1601"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36242</w:t>
            </w:r>
          </w:p>
        </w:tc>
        <w:tc>
          <w:tcPr>
            <w:tcW w:w="1601"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rPr>
                <w:rFonts w:ascii="Times New Roman" w:eastAsia="Times New Roman" w:hAnsi="Times New Roman" w:cs="Times New Roman"/>
                <w:color w:val="000000"/>
                <w:sz w:val="24"/>
                <w:szCs w:val="24"/>
                <w:lang w:eastAsia="fr-CA"/>
              </w:rPr>
            </w:pPr>
          </w:p>
        </w:tc>
        <w:tc>
          <w:tcPr>
            <w:tcW w:w="718"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2007</w:t>
            </w:r>
          </w:p>
        </w:tc>
        <w:tc>
          <w:tcPr>
            <w:tcW w:w="2138"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center"/>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11</w:t>
            </w:r>
          </w:p>
        </w:tc>
        <w:tc>
          <w:tcPr>
            <w:tcW w:w="146"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rPr>
                <w:rFonts w:ascii="Times New Roman" w:eastAsia="Times New Roman" w:hAnsi="Times New Roman" w:cs="Times New Roman"/>
                <w:color w:val="000000"/>
                <w:sz w:val="24"/>
                <w:szCs w:val="24"/>
                <w:lang w:eastAsia="fr-CA"/>
              </w:rPr>
            </w:pPr>
          </w:p>
        </w:tc>
      </w:tr>
      <w:tr w:rsidR="00305B4B" w:rsidRPr="00441F0A" w:rsidTr="004B2CE7">
        <w:trPr>
          <w:trHeight w:val="300"/>
        </w:trPr>
        <w:tc>
          <w:tcPr>
            <w:tcW w:w="3776"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2008</w:t>
            </w:r>
          </w:p>
        </w:tc>
        <w:tc>
          <w:tcPr>
            <w:tcW w:w="930"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30939</w:t>
            </w:r>
          </w:p>
        </w:tc>
        <w:tc>
          <w:tcPr>
            <w:tcW w:w="1601"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37973</w:t>
            </w:r>
          </w:p>
        </w:tc>
        <w:tc>
          <w:tcPr>
            <w:tcW w:w="1601"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rPr>
                <w:rFonts w:ascii="Times New Roman" w:eastAsia="Times New Roman" w:hAnsi="Times New Roman" w:cs="Times New Roman"/>
                <w:color w:val="000000"/>
                <w:sz w:val="24"/>
                <w:szCs w:val="24"/>
                <w:lang w:eastAsia="fr-CA"/>
              </w:rPr>
            </w:pPr>
          </w:p>
        </w:tc>
        <w:tc>
          <w:tcPr>
            <w:tcW w:w="718"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2008</w:t>
            </w:r>
          </w:p>
        </w:tc>
        <w:tc>
          <w:tcPr>
            <w:tcW w:w="2138"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center"/>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11</w:t>
            </w:r>
          </w:p>
        </w:tc>
        <w:tc>
          <w:tcPr>
            <w:tcW w:w="146"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rPr>
                <w:rFonts w:ascii="Times New Roman" w:eastAsia="Times New Roman" w:hAnsi="Times New Roman" w:cs="Times New Roman"/>
                <w:color w:val="000000"/>
                <w:sz w:val="24"/>
                <w:szCs w:val="24"/>
                <w:lang w:eastAsia="fr-CA"/>
              </w:rPr>
            </w:pPr>
          </w:p>
        </w:tc>
      </w:tr>
      <w:tr w:rsidR="00305B4B" w:rsidRPr="00441F0A" w:rsidTr="004B2CE7">
        <w:trPr>
          <w:trHeight w:val="300"/>
        </w:trPr>
        <w:tc>
          <w:tcPr>
            <w:tcW w:w="3776"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2009</w:t>
            </w:r>
          </w:p>
        </w:tc>
        <w:tc>
          <w:tcPr>
            <w:tcW w:w="930"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30478</w:t>
            </w:r>
          </w:p>
        </w:tc>
        <w:tc>
          <w:tcPr>
            <w:tcW w:w="1601"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37963</w:t>
            </w:r>
          </w:p>
        </w:tc>
        <w:tc>
          <w:tcPr>
            <w:tcW w:w="1601"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rPr>
                <w:rFonts w:ascii="Times New Roman" w:eastAsia="Times New Roman" w:hAnsi="Times New Roman" w:cs="Times New Roman"/>
                <w:color w:val="000000"/>
                <w:sz w:val="24"/>
                <w:szCs w:val="24"/>
                <w:lang w:eastAsia="fr-CA"/>
              </w:rPr>
            </w:pPr>
          </w:p>
        </w:tc>
        <w:tc>
          <w:tcPr>
            <w:tcW w:w="718"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2009</w:t>
            </w:r>
          </w:p>
        </w:tc>
        <w:tc>
          <w:tcPr>
            <w:tcW w:w="2138"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center"/>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11</w:t>
            </w:r>
          </w:p>
        </w:tc>
        <w:tc>
          <w:tcPr>
            <w:tcW w:w="146"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rPr>
                <w:rFonts w:ascii="Times New Roman" w:eastAsia="Times New Roman" w:hAnsi="Times New Roman" w:cs="Times New Roman"/>
                <w:color w:val="000000"/>
                <w:sz w:val="24"/>
                <w:szCs w:val="24"/>
                <w:lang w:eastAsia="fr-CA"/>
              </w:rPr>
            </w:pPr>
          </w:p>
        </w:tc>
      </w:tr>
      <w:tr w:rsidR="00305B4B" w:rsidRPr="00441F0A" w:rsidTr="004B2CE7">
        <w:trPr>
          <w:trHeight w:val="300"/>
        </w:trPr>
        <w:tc>
          <w:tcPr>
            <w:tcW w:w="3776"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2010</w:t>
            </w:r>
          </w:p>
        </w:tc>
        <w:tc>
          <w:tcPr>
            <w:tcW w:w="930"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31222</w:t>
            </w:r>
          </w:p>
        </w:tc>
        <w:tc>
          <w:tcPr>
            <w:tcW w:w="1601"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39182</w:t>
            </w:r>
          </w:p>
        </w:tc>
        <w:tc>
          <w:tcPr>
            <w:tcW w:w="1601"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rPr>
                <w:rFonts w:ascii="Times New Roman" w:eastAsia="Times New Roman" w:hAnsi="Times New Roman" w:cs="Times New Roman"/>
                <w:color w:val="000000"/>
                <w:sz w:val="24"/>
                <w:szCs w:val="24"/>
                <w:lang w:eastAsia="fr-CA"/>
              </w:rPr>
            </w:pPr>
          </w:p>
        </w:tc>
        <w:tc>
          <w:tcPr>
            <w:tcW w:w="718"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2010</w:t>
            </w:r>
          </w:p>
        </w:tc>
        <w:tc>
          <w:tcPr>
            <w:tcW w:w="2138"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center"/>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12</w:t>
            </w:r>
          </w:p>
        </w:tc>
        <w:tc>
          <w:tcPr>
            <w:tcW w:w="146"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rPr>
                <w:rFonts w:ascii="Times New Roman" w:eastAsia="Times New Roman" w:hAnsi="Times New Roman" w:cs="Times New Roman"/>
                <w:color w:val="000000"/>
                <w:sz w:val="24"/>
                <w:szCs w:val="24"/>
                <w:lang w:eastAsia="fr-CA"/>
              </w:rPr>
            </w:pPr>
          </w:p>
        </w:tc>
      </w:tr>
      <w:tr w:rsidR="00305B4B" w:rsidRPr="00441F0A" w:rsidTr="004B2CE7">
        <w:trPr>
          <w:trHeight w:val="300"/>
        </w:trPr>
        <w:tc>
          <w:tcPr>
            <w:tcW w:w="3776"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2011</w:t>
            </w:r>
          </w:p>
        </w:tc>
        <w:tc>
          <w:tcPr>
            <w:tcW w:w="930"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32208</w:t>
            </w:r>
          </w:p>
        </w:tc>
        <w:tc>
          <w:tcPr>
            <w:tcW w:w="1601"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40521</w:t>
            </w:r>
          </w:p>
        </w:tc>
        <w:tc>
          <w:tcPr>
            <w:tcW w:w="1601"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rPr>
                <w:rFonts w:ascii="Times New Roman" w:eastAsia="Times New Roman" w:hAnsi="Times New Roman" w:cs="Times New Roman"/>
                <w:color w:val="000000"/>
                <w:sz w:val="24"/>
                <w:szCs w:val="24"/>
                <w:lang w:eastAsia="fr-CA"/>
              </w:rPr>
            </w:pPr>
          </w:p>
        </w:tc>
        <w:tc>
          <w:tcPr>
            <w:tcW w:w="718"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2011</w:t>
            </w:r>
          </w:p>
        </w:tc>
        <w:tc>
          <w:tcPr>
            <w:tcW w:w="2138"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center"/>
              <w:rPr>
                <w:rFonts w:ascii="Times New Roman" w:eastAsia="Times New Roman" w:hAnsi="Times New Roman" w:cs="Times New Roman"/>
                <w:color w:val="FF0000"/>
                <w:sz w:val="24"/>
                <w:szCs w:val="24"/>
                <w:lang w:eastAsia="fr-CA"/>
              </w:rPr>
            </w:pPr>
            <w:r w:rsidRPr="00441F0A">
              <w:rPr>
                <w:rFonts w:ascii="Times New Roman" w:eastAsia="Times New Roman" w:hAnsi="Times New Roman" w:cs="Times New Roman"/>
                <w:color w:val="FF0000"/>
                <w:sz w:val="24"/>
                <w:szCs w:val="24"/>
                <w:lang w:eastAsia="fr-CA"/>
              </w:rPr>
              <w:t>13</w:t>
            </w:r>
          </w:p>
        </w:tc>
        <w:tc>
          <w:tcPr>
            <w:tcW w:w="146"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rPr>
                <w:rFonts w:ascii="Times New Roman" w:eastAsia="Times New Roman" w:hAnsi="Times New Roman" w:cs="Times New Roman"/>
                <w:color w:val="000000"/>
                <w:sz w:val="24"/>
                <w:szCs w:val="24"/>
                <w:lang w:eastAsia="fr-CA"/>
              </w:rPr>
            </w:pPr>
          </w:p>
        </w:tc>
      </w:tr>
      <w:tr w:rsidR="00305B4B" w:rsidRPr="00441F0A" w:rsidTr="004B2CE7">
        <w:trPr>
          <w:trHeight w:val="300"/>
        </w:trPr>
        <w:tc>
          <w:tcPr>
            <w:tcW w:w="3776"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2012</w:t>
            </w:r>
          </w:p>
        </w:tc>
        <w:tc>
          <w:tcPr>
            <w:tcW w:w="930"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32943</w:t>
            </w:r>
          </w:p>
        </w:tc>
        <w:tc>
          <w:tcPr>
            <w:tcW w:w="1601"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41298</w:t>
            </w:r>
          </w:p>
        </w:tc>
        <w:tc>
          <w:tcPr>
            <w:tcW w:w="1601"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rPr>
                <w:rFonts w:ascii="Times New Roman" w:eastAsia="Times New Roman" w:hAnsi="Times New Roman" w:cs="Times New Roman"/>
                <w:color w:val="000000"/>
                <w:sz w:val="24"/>
                <w:szCs w:val="24"/>
                <w:lang w:eastAsia="fr-CA"/>
              </w:rPr>
            </w:pPr>
          </w:p>
        </w:tc>
        <w:tc>
          <w:tcPr>
            <w:tcW w:w="718"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2012</w:t>
            </w:r>
          </w:p>
        </w:tc>
        <w:tc>
          <w:tcPr>
            <w:tcW w:w="2138"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jc w:val="center"/>
              <w:rPr>
                <w:rFonts w:ascii="Times New Roman" w:eastAsia="Times New Roman" w:hAnsi="Times New Roman" w:cs="Times New Roman"/>
                <w:color w:val="FF0000"/>
                <w:sz w:val="24"/>
                <w:szCs w:val="24"/>
                <w:lang w:eastAsia="fr-CA"/>
              </w:rPr>
            </w:pPr>
            <w:r w:rsidRPr="00441F0A">
              <w:rPr>
                <w:rFonts w:ascii="Times New Roman" w:eastAsia="Times New Roman" w:hAnsi="Times New Roman" w:cs="Times New Roman"/>
                <w:color w:val="FF0000"/>
                <w:sz w:val="24"/>
                <w:szCs w:val="24"/>
                <w:lang w:eastAsia="fr-CA"/>
              </w:rPr>
              <w:t>16</w:t>
            </w:r>
          </w:p>
        </w:tc>
        <w:tc>
          <w:tcPr>
            <w:tcW w:w="146" w:type="dxa"/>
            <w:tcBorders>
              <w:top w:val="nil"/>
              <w:left w:val="nil"/>
              <w:bottom w:val="nil"/>
              <w:right w:val="nil"/>
            </w:tcBorders>
            <w:shd w:val="clear" w:color="auto" w:fill="auto"/>
            <w:noWrap/>
            <w:vAlign w:val="bottom"/>
            <w:hideMark/>
          </w:tcPr>
          <w:p w:rsidR="00305B4B" w:rsidRPr="00441F0A" w:rsidRDefault="00305B4B" w:rsidP="004B2CE7">
            <w:pPr>
              <w:spacing w:after="0" w:line="240" w:lineRule="auto"/>
              <w:rPr>
                <w:rFonts w:ascii="Times New Roman" w:eastAsia="Times New Roman" w:hAnsi="Times New Roman" w:cs="Times New Roman"/>
                <w:color w:val="000000"/>
                <w:sz w:val="24"/>
                <w:szCs w:val="24"/>
                <w:lang w:eastAsia="fr-CA"/>
              </w:rPr>
            </w:pPr>
          </w:p>
        </w:tc>
      </w:tr>
    </w:tbl>
    <w:p w:rsidR="00305B4B" w:rsidRPr="00441F0A" w:rsidRDefault="00305B4B" w:rsidP="00305B4B">
      <w:pPr>
        <w:tabs>
          <w:tab w:val="left" w:pos="1751"/>
        </w:tabs>
        <w:rPr>
          <w:rFonts w:ascii="Times New Roman" w:hAnsi="Times New Roman" w:cs="Times New Roman"/>
          <w:sz w:val="24"/>
          <w:szCs w:val="24"/>
        </w:rPr>
      </w:pPr>
    </w:p>
    <w:tbl>
      <w:tblPr>
        <w:tblW w:w="10661" w:type="dxa"/>
        <w:tblInd w:w="-862" w:type="dxa"/>
        <w:tblCellMar>
          <w:left w:w="70" w:type="dxa"/>
          <w:right w:w="70" w:type="dxa"/>
        </w:tblCellMar>
        <w:tblLook w:val="04A0"/>
      </w:tblPr>
      <w:tblGrid>
        <w:gridCol w:w="1244"/>
        <w:gridCol w:w="2194"/>
        <w:gridCol w:w="2751"/>
        <w:gridCol w:w="4144"/>
        <w:gridCol w:w="164"/>
        <w:gridCol w:w="164"/>
      </w:tblGrid>
      <w:tr w:rsidR="00305B4B" w:rsidRPr="00441F0A" w:rsidTr="00230672">
        <w:trPr>
          <w:trHeight w:val="297"/>
        </w:trPr>
        <w:tc>
          <w:tcPr>
            <w:tcW w:w="10661" w:type="dxa"/>
            <w:gridSpan w:val="6"/>
            <w:tcBorders>
              <w:top w:val="nil"/>
              <w:left w:val="nil"/>
              <w:bottom w:val="nil"/>
              <w:right w:val="nil"/>
            </w:tcBorders>
            <w:shd w:val="clear" w:color="auto" w:fill="auto"/>
            <w:noWrap/>
            <w:vAlign w:val="bottom"/>
            <w:hideMark/>
          </w:tcPr>
          <w:p w:rsidR="00305B4B" w:rsidRPr="00441F0A" w:rsidRDefault="00305B4B" w:rsidP="00305B4B">
            <w:pPr>
              <w:spacing w:after="0" w:line="240" w:lineRule="auto"/>
              <w:jc w:val="center"/>
              <w:rPr>
                <w:rFonts w:ascii="Times New Roman" w:eastAsia="Times New Roman" w:hAnsi="Times New Roman" w:cs="Times New Roman"/>
                <w:b/>
                <w:bCs/>
                <w:color w:val="000000"/>
                <w:sz w:val="24"/>
                <w:szCs w:val="24"/>
                <w:lang w:eastAsia="fr-CA"/>
              </w:rPr>
            </w:pPr>
            <w:r w:rsidRPr="00441F0A">
              <w:rPr>
                <w:rFonts w:ascii="Times New Roman" w:eastAsia="Times New Roman" w:hAnsi="Times New Roman" w:cs="Times New Roman"/>
                <w:b/>
                <w:bCs/>
                <w:color w:val="000000"/>
                <w:sz w:val="24"/>
                <w:szCs w:val="24"/>
                <w:lang w:eastAsia="fr-CA"/>
              </w:rPr>
              <w:t>Dépenses en immobilisation, industrie des biens et industrie des services, Mauricie, 2005-2014</w:t>
            </w:r>
          </w:p>
        </w:tc>
      </w:tr>
      <w:tr w:rsidR="00230672" w:rsidRPr="00441F0A" w:rsidTr="00230672">
        <w:trPr>
          <w:trHeight w:val="297"/>
        </w:trPr>
        <w:tc>
          <w:tcPr>
            <w:tcW w:w="1244" w:type="dxa"/>
            <w:tcBorders>
              <w:top w:val="nil"/>
              <w:left w:val="nil"/>
              <w:bottom w:val="nil"/>
              <w:right w:val="nil"/>
            </w:tcBorders>
            <w:shd w:val="clear" w:color="auto" w:fill="auto"/>
            <w:noWrap/>
            <w:vAlign w:val="bottom"/>
            <w:hideMark/>
          </w:tcPr>
          <w:p w:rsidR="00230672" w:rsidRPr="00441F0A" w:rsidRDefault="00230672" w:rsidP="00305B4B">
            <w:pPr>
              <w:spacing w:after="0" w:line="240" w:lineRule="auto"/>
              <w:rPr>
                <w:rFonts w:ascii="Times New Roman" w:eastAsia="Times New Roman" w:hAnsi="Times New Roman" w:cs="Times New Roman"/>
                <w:color w:val="000000"/>
                <w:sz w:val="24"/>
                <w:szCs w:val="24"/>
                <w:lang w:eastAsia="fr-CA"/>
              </w:rPr>
            </w:pPr>
          </w:p>
        </w:tc>
        <w:tc>
          <w:tcPr>
            <w:tcW w:w="2194" w:type="dxa"/>
            <w:tcBorders>
              <w:top w:val="nil"/>
              <w:left w:val="nil"/>
              <w:bottom w:val="nil"/>
              <w:right w:val="nil"/>
            </w:tcBorders>
            <w:shd w:val="clear" w:color="auto" w:fill="auto"/>
            <w:noWrap/>
            <w:vAlign w:val="bottom"/>
            <w:hideMark/>
          </w:tcPr>
          <w:p w:rsidR="00230672" w:rsidRPr="00441F0A" w:rsidRDefault="00230672" w:rsidP="00305B4B">
            <w:pPr>
              <w:spacing w:after="0" w:line="240" w:lineRule="auto"/>
              <w:jc w:val="center"/>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Biens (M$)</w:t>
            </w:r>
          </w:p>
        </w:tc>
        <w:tc>
          <w:tcPr>
            <w:tcW w:w="2751" w:type="dxa"/>
            <w:tcBorders>
              <w:top w:val="nil"/>
              <w:left w:val="nil"/>
              <w:bottom w:val="nil"/>
              <w:right w:val="nil"/>
            </w:tcBorders>
            <w:shd w:val="clear" w:color="auto" w:fill="auto"/>
            <w:noWrap/>
            <w:vAlign w:val="bottom"/>
            <w:hideMark/>
          </w:tcPr>
          <w:p w:rsidR="00230672" w:rsidRPr="00441F0A" w:rsidRDefault="00230672" w:rsidP="00305B4B">
            <w:pPr>
              <w:spacing w:after="0" w:line="240" w:lineRule="auto"/>
              <w:jc w:val="center"/>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Services (M$)</w:t>
            </w:r>
          </w:p>
        </w:tc>
        <w:tc>
          <w:tcPr>
            <w:tcW w:w="4144" w:type="dxa"/>
            <w:tcBorders>
              <w:top w:val="nil"/>
              <w:left w:val="nil"/>
              <w:bottom w:val="nil"/>
              <w:right w:val="nil"/>
            </w:tcBorders>
            <w:shd w:val="clear" w:color="auto" w:fill="FFFF00"/>
            <w:noWrap/>
            <w:vAlign w:val="bottom"/>
            <w:hideMark/>
          </w:tcPr>
          <w:p w:rsidR="00230672" w:rsidRPr="00441F0A" w:rsidRDefault="00230672" w:rsidP="003C1FB4">
            <w:pPr>
              <w:spacing w:after="0" w:line="240" w:lineRule="auto"/>
              <w:jc w:val="center"/>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 xml:space="preserve">NB: les </w:t>
            </w:r>
            <w:r w:rsidR="007734AB" w:rsidRPr="00441F0A">
              <w:rPr>
                <w:rFonts w:ascii="Times New Roman" w:eastAsia="Times New Roman" w:hAnsi="Times New Roman" w:cs="Times New Roman"/>
                <w:color w:val="000000"/>
                <w:sz w:val="24"/>
                <w:szCs w:val="24"/>
                <w:lang w:eastAsia="fr-CA"/>
              </w:rPr>
              <w:t>rangs</w:t>
            </w:r>
            <w:r w:rsidRPr="00441F0A">
              <w:rPr>
                <w:rFonts w:ascii="Times New Roman" w:eastAsia="Times New Roman" w:hAnsi="Times New Roman" w:cs="Times New Roman"/>
                <w:color w:val="000000"/>
                <w:sz w:val="24"/>
                <w:szCs w:val="24"/>
                <w:lang w:eastAsia="fr-CA"/>
              </w:rPr>
              <w:t xml:space="preserve"> sont sur 17</w:t>
            </w:r>
          </w:p>
        </w:tc>
        <w:tc>
          <w:tcPr>
            <w:tcW w:w="164" w:type="dxa"/>
            <w:tcBorders>
              <w:top w:val="nil"/>
              <w:left w:val="nil"/>
              <w:bottom w:val="nil"/>
              <w:right w:val="nil"/>
            </w:tcBorders>
            <w:shd w:val="clear" w:color="auto" w:fill="auto"/>
            <w:noWrap/>
            <w:vAlign w:val="bottom"/>
            <w:hideMark/>
          </w:tcPr>
          <w:p w:rsidR="00230672" w:rsidRPr="00441F0A" w:rsidRDefault="00230672" w:rsidP="00305B4B">
            <w:pPr>
              <w:spacing w:after="0" w:line="240" w:lineRule="auto"/>
              <w:jc w:val="center"/>
              <w:rPr>
                <w:rFonts w:ascii="Times New Roman" w:eastAsia="Times New Roman" w:hAnsi="Times New Roman" w:cs="Times New Roman"/>
                <w:color w:val="000000"/>
                <w:sz w:val="24"/>
                <w:szCs w:val="24"/>
                <w:lang w:eastAsia="fr-CA"/>
              </w:rPr>
            </w:pPr>
          </w:p>
        </w:tc>
        <w:tc>
          <w:tcPr>
            <w:tcW w:w="164" w:type="dxa"/>
            <w:tcBorders>
              <w:top w:val="nil"/>
              <w:left w:val="nil"/>
              <w:bottom w:val="nil"/>
              <w:right w:val="nil"/>
            </w:tcBorders>
            <w:shd w:val="clear" w:color="auto" w:fill="auto"/>
            <w:noWrap/>
            <w:vAlign w:val="bottom"/>
            <w:hideMark/>
          </w:tcPr>
          <w:p w:rsidR="00230672" w:rsidRPr="00441F0A" w:rsidRDefault="00230672" w:rsidP="00305B4B">
            <w:pPr>
              <w:spacing w:after="0" w:line="240" w:lineRule="auto"/>
              <w:jc w:val="center"/>
              <w:rPr>
                <w:rFonts w:ascii="Times New Roman" w:eastAsia="Times New Roman" w:hAnsi="Times New Roman" w:cs="Times New Roman"/>
                <w:color w:val="000000"/>
                <w:sz w:val="24"/>
                <w:szCs w:val="24"/>
                <w:lang w:eastAsia="fr-CA"/>
              </w:rPr>
            </w:pPr>
          </w:p>
        </w:tc>
      </w:tr>
      <w:tr w:rsidR="00230672" w:rsidRPr="00441F0A" w:rsidTr="00230672">
        <w:trPr>
          <w:trHeight w:val="297"/>
        </w:trPr>
        <w:tc>
          <w:tcPr>
            <w:tcW w:w="1244" w:type="dxa"/>
            <w:tcBorders>
              <w:top w:val="nil"/>
              <w:left w:val="nil"/>
              <w:bottom w:val="nil"/>
              <w:right w:val="nil"/>
            </w:tcBorders>
            <w:shd w:val="clear" w:color="auto" w:fill="auto"/>
            <w:noWrap/>
            <w:vAlign w:val="bottom"/>
            <w:hideMark/>
          </w:tcPr>
          <w:p w:rsidR="00230672" w:rsidRPr="00441F0A" w:rsidRDefault="00230672" w:rsidP="00305B4B">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2005</w:t>
            </w:r>
          </w:p>
        </w:tc>
        <w:tc>
          <w:tcPr>
            <w:tcW w:w="2194" w:type="dxa"/>
            <w:tcBorders>
              <w:top w:val="nil"/>
              <w:left w:val="nil"/>
              <w:bottom w:val="nil"/>
              <w:right w:val="nil"/>
            </w:tcBorders>
            <w:shd w:val="clear" w:color="auto" w:fill="auto"/>
            <w:noWrap/>
            <w:vAlign w:val="bottom"/>
            <w:hideMark/>
          </w:tcPr>
          <w:p w:rsidR="00230672" w:rsidRPr="00441F0A" w:rsidRDefault="00230672" w:rsidP="00305B4B">
            <w:pPr>
              <w:spacing w:after="0" w:line="240" w:lineRule="auto"/>
              <w:jc w:val="center"/>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6</w:t>
            </w:r>
          </w:p>
        </w:tc>
        <w:tc>
          <w:tcPr>
            <w:tcW w:w="2751" w:type="dxa"/>
            <w:tcBorders>
              <w:top w:val="nil"/>
              <w:left w:val="nil"/>
              <w:bottom w:val="nil"/>
              <w:right w:val="nil"/>
            </w:tcBorders>
            <w:shd w:val="clear" w:color="auto" w:fill="auto"/>
            <w:noWrap/>
            <w:vAlign w:val="bottom"/>
            <w:hideMark/>
          </w:tcPr>
          <w:p w:rsidR="00230672" w:rsidRPr="00441F0A" w:rsidRDefault="00230672" w:rsidP="00305B4B">
            <w:pPr>
              <w:spacing w:after="0" w:line="240" w:lineRule="auto"/>
              <w:jc w:val="center"/>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10</w:t>
            </w:r>
          </w:p>
        </w:tc>
        <w:tc>
          <w:tcPr>
            <w:tcW w:w="4144" w:type="dxa"/>
            <w:tcBorders>
              <w:top w:val="nil"/>
              <w:left w:val="nil"/>
              <w:bottom w:val="nil"/>
              <w:right w:val="nil"/>
            </w:tcBorders>
            <w:shd w:val="clear" w:color="auto" w:fill="auto"/>
            <w:noWrap/>
            <w:vAlign w:val="bottom"/>
          </w:tcPr>
          <w:p w:rsidR="00230672" w:rsidRPr="00441F0A" w:rsidRDefault="00230672" w:rsidP="00305B4B">
            <w:pPr>
              <w:spacing w:after="0" w:line="240" w:lineRule="auto"/>
              <w:jc w:val="center"/>
              <w:rPr>
                <w:rFonts w:ascii="Times New Roman" w:eastAsia="Times New Roman" w:hAnsi="Times New Roman" w:cs="Times New Roman"/>
                <w:color w:val="000000"/>
                <w:sz w:val="24"/>
                <w:szCs w:val="24"/>
                <w:lang w:eastAsia="fr-CA"/>
              </w:rPr>
            </w:pPr>
          </w:p>
        </w:tc>
        <w:tc>
          <w:tcPr>
            <w:tcW w:w="164" w:type="dxa"/>
            <w:tcBorders>
              <w:top w:val="nil"/>
              <w:left w:val="nil"/>
              <w:bottom w:val="nil"/>
              <w:right w:val="nil"/>
            </w:tcBorders>
            <w:shd w:val="clear" w:color="auto" w:fill="auto"/>
            <w:noWrap/>
            <w:vAlign w:val="bottom"/>
            <w:hideMark/>
          </w:tcPr>
          <w:p w:rsidR="00230672" w:rsidRPr="00441F0A" w:rsidRDefault="00230672" w:rsidP="00305B4B">
            <w:pPr>
              <w:spacing w:after="0" w:line="240" w:lineRule="auto"/>
              <w:rPr>
                <w:rFonts w:ascii="Times New Roman" w:eastAsia="Times New Roman" w:hAnsi="Times New Roman" w:cs="Times New Roman"/>
                <w:color w:val="000000"/>
                <w:sz w:val="24"/>
                <w:szCs w:val="24"/>
                <w:lang w:eastAsia="fr-CA"/>
              </w:rPr>
            </w:pPr>
          </w:p>
        </w:tc>
        <w:tc>
          <w:tcPr>
            <w:tcW w:w="164" w:type="dxa"/>
            <w:tcBorders>
              <w:top w:val="nil"/>
              <w:left w:val="nil"/>
              <w:bottom w:val="nil"/>
              <w:right w:val="nil"/>
            </w:tcBorders>
            <w:shd w:val="clear" w:color="auto" w:fill="auto"/>
            <w:noWrap/>
            <w:vAlign w:val="bottom"/>
            <w:hideMark/>
          </w:tcPr>
          <w:p w:rsidR="00230672" w:rsidRPr="00441F0A" w:rsidRDefault="00230672" w:rsidP="00305B4B">
            <w:pPr>
              <w:spacing w:after="0" w:line="240" w:lineRule="auto"/>
              <w:rPr>
                <w:rFonts w:ascii="Times New Roman" w:eastAsia="Times New Roman" w:hAnsi="Times New Roman" w:cs="Times New Roman"/>
                <w:color w:val="000000"/>
                <w:sz w:val="24"/>
                <w:szCs w:val="24"/>
                <w:lang w:eastAsia="fr-CA"/>
              </w:rPr>
            </w:pPr>
          </w:p>
        </w:tc>
      </w:tr>
      <w:tr w:rsidR="00230672" w:rsidRPr="00441F0A" w:rsidTr="00305B4B">
        <w:trPr>
          <w:trHeight w:val="297"/>
        </w:trPr>
        <w:tc>
          <w:tcPr>
            <w:tcW w:w="1244" w:type="dxa"/>
            <w:tcBorders>
              <w:top w:val="nil"/>
              <w:left w:val="nil"/>
              <w:bottom w:val="nil"/>
              <w:right w:val="nil"/>
            </w:tcBorders>
            <w:shd w:val="clear" w:color="auto" w:fill="auto"/>
            <w:noWrap/>
            <w:vAlign w:val="bottom"/>
            <w:hideMark/>
          </w:tcPr>
          <w:p w:rsidR="00230672" w:rsidRPr="00441F0A" w:rsidRDefault="00230672" w:rsidP="00305B4B">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2006</w:t>
            </w:r>
          </w:p>
        </w:tc>
        <w:tc>
          <w:tcPr>
            <w:tcW w:w="2194" w:type="dxa"/>
            <w:tcBorders>
              <w:top w:val="nil"/>
              <w:left w:val="nil"/>
              <w:bottom w:val="nil"/>
              <w:right w:val="nil"/>
            </w:tcBorders>
            <w:shd w:val="clear" w:color="auto" w:fill="auto"/>
            <w:noWrap/>
            <w:vAlign w:val="bottom"/>
            <w:hideMark/>
          </w:tcPr>
          <w:p w:rsidR="00230672" w:rsidRPr="00441F0A" w:rsidRDefault="00230672" w:rsidP="00305B4B">
            <w:pPr>
              <w:spacing w:after="0" w:line="240" w:lineRule="auto"/>
              <w:jc w:val="center"/>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6</w:t>
            </w:r>
          </w:p>
        </w:tc>
        <w:tc>
          <w:tcPr>
            <w:tcW w:w="2751" w:type="dxa"/>
            <w:tcBorders>
              <w:top w:val="nil"/>
              <w:left w:val="nil"/>
              <w:bottom w:val="nil"/>
              <w:right w:val="nil"/>
            </w:tcBorders>
            <w:shd w:val="clear" w:color="auto" w:fill="auto"/>
            <w:noWrap/>
            <w:vAlign w:val="bottom"/>
            <w:hideMark/>
          </w:tcPr>
          <w:p w:rsidR="00230672" w:rsidRPr="00441F0A" w:rsidRDefault="00230672" w:rsidP="00305B4B">
            <w:pPr>
              <w:spacing w:after="0" w:line="240" w:lineRule="auto"/>
              <w:jc w:val="center"/>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10</w:t>
            </w:r>
          </w:p>
        </w:tc>
        <w:tc>
          <w:tcPr>
            <w:tcW w:w="4144" w:type="dxa"/>
            <w:tcBorders>
              <w:top w:val="nil"/>
              <w:left w:val="nil"/>
              <w:bottom w:val="nil"/>
              <w:right w:val="nil"/>
            </w:tcBorders>
            <w:shd w:val="clear" w:color="auto" w:fill="auto"/>
            <w:noWrap/>
            <w:vAlign w:val="bottom"/>
            <w:hideMark/>
          </w:tcPr>
          <w:p w:rsidR="00230672" w:rsidRPr="00441F0A" w:rsidRDefault="00230672" w:rsidP="00305B4B">
            <w:pPr>
              <w:spacing w:after="0" w:line="240" w:lineRule="auto"/>
              <w:rPr>
                <w:rFonts w:ascii="Times New Roman" w:eastAsia="Times New Roman" w:hAnsi="Times New Roman" w:cs="Times New Roman"/>
                <w:color w:val="000000"/>
                <w:sz w:val="24"/>
                <w:szCs w:val="24"/>
                <w:lang w:eastAsia="fr-CA"/>
              </w:rPr>
            </w:pPr>
          </w:p>
        </w:tc>
        <w:tc>
          <w:tcPr>
            <w:tcW w:w="164" w:type="dxa"/>
            <w:tcBorders>
              <w:top w:val="nil"/>
              <w:left w:val="nil"/>
              <w:bottom w:val="nil"/>
              <w:right w:val="nil"/>
            </w:tcBorders>
            <w:shd w:val="clear" w:color="auto" w:fill="auto"/>
            <w:noWrap/>
            <w:vAlign w:val="bottom"/>
            <w:hideMark/>
          </w:tcPr>
          <w:p w:rsidR="00230672" w:rsidRPr="00441F0A" w:rsidRDefault="00230672" w:rsidP="00305B4B">
            <w:pPr>
              <w:spacing w:after="0" w:line="240" w:lineRule="auto"/>
              <w:rPr>
                <w:rFonts w:ascii="Times New Roman" w:eastAsia="Times New Roman" w:hAnsi="Times New Roman" w:cs="Times New Roman"/>
                <w:color w:val="000000"/>
                <w:sz w:val="24"/>
                <w:szCs w:val="24"/>
                <w:lang w:eastAsia="fr-CA"/>
              </w:rPr>
            </w:pPr>
          </w:p>
        </w:tc>
        <w:tc>
          <w:tcPr>
            <w:tcW w:w="164" w:type="dxa"/>
            <w:tcBorders>
              <w:top w:val="nil"/>
              <w:left w:val="nil"/>
              <w:bottom w:val="nil"/>
              <w:right w:val="nil"/>
            </w:tcBorders>
            <w:shd w:val="clear" w:color="auto" w:fill="auto"/>
            <w:noWrap/>
            <w:vAlign w:val="bottom"/>
            <w:hideMark/>
          </w:tcPr>
          <w:p w:rsidR="00230672" w:rsidRPr="00441F0A" w:rsidRDefault="00230672" w:rsidP="00305B4B">
            <w:pPr>
              <w:spacing w:after="0" w:line="240" w:lineRule="auto"/>
              <w:rPr>
                <w:rFonts w:ascii="Times New Roman" w:eastAsia="Times New Roman" w:hAnsi="Times New Roman" w:cs="Times New Roman"/>
                <w:color w:val="000000"/>
                <w:sz w:val="24"/>
                <w:szCs w:val="24"/>
                <w:lang w:eastAsia="fr-CA"/>
              </w:rPr>
            </w:pPr>
          </w:p>
        </w:tc>
      </w:tr>
      <w:tr w:rsidR="00230672" w:rsidRPr="00441F0A" w:rsidTr="00305B4B">
        <w:trPr>
          <w:trHeight w:val="297"/>
        </w:trPr>
        <w:tc>
          <w:tcPr>
            <w:tcW w:w="1244" w:type="dxa"/>
            <w:tcBorders>
              <w:top w:val="nil"/>
              <w:left w:val="nil"/>
              <w:bottom w:val="nil"/>
              <w:right w:val="nil"/>
            </w:tcBorders>
            <w:shd w:val="clear" w:color="auto" w:fill="auto"/>
            <w:noWrap/>
            <w:vAlign w:val="bottom"/>
            <w:hideMark/>
          </w:tcPr>
          <w:p w:rsidR="00230672" w:rsidRPr="00441F0A" w:rsidRDefault="00230672" w:rsidP="00305B4B">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2007</w:t>
            </w:r>
          </w:p>
        </w:tc>
        <w:tc>
          <w:tcPr>
            <w:tcW w:w="2194" w:type="dxa"/>
            <w:tcBorders>
              <w:top w:val="nil"/>
              <w:left w:val="nil"/>
              <w:bottom w:val="nil"/>
              <w:right w:val="nil"/>
            </w:tcBorders>
            <w:shd w:val="clear" w:color="auto" w:fill="auto"/>
            <w:noWrap/>
            <w:vAlign w:val="bottom"/>
            <w:hideMark/>
          </w:tcPr>
          <w:p w:rsidR="00230672" w:rsidRPr="00441F0A" w:rsidRDefault="00230672" w:rsidP="00305B4B">
            <w:pPr>
              <w:spacing w:after="0" w:line="240" w:lineRule="auto"/>
              <w:jc w:val="center"/>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8</w:t>
            </w:r>
          </w:p>
        </w:tc>
        <w:tc>
          <w:tcPr>
            <w:tcW w:w="2751" w:type="dxa"/>
            <w:tcBorders>
              <w:top w:val="nil"/>
              <w:left w:val="nil"/>
              <w:bottom w:val="nil"/>
              <w:right w:val="nil"/>
            </w:tcBorders>
            <w:shd w:val="clear" w:color="auto" w:fill="auto"/>
            <w:noWrap/>
            <w:vAlign w:val="bottom"/>
            <w:hideMark/>
          </w:tcPr>
          <w:p w:rsidR="00230672" w:rsidRPr="00441F0A" w:rsidRDefault="00230672" w:rsidP="00305B4B">
            <w:pPr>
              <w:spacing w:after="0" w:line="240" w:lineRule="auto"/>
              <w:jc w:val="center"/>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9</w:t>
            </w:r>
          </w:p>
        </w:tc>
        <w:tc>
          <w:tcPr>
            <w:tcW w:w="4144" w:type="dxa"/>
            <w:tcBorders>
              <w:top w:val="nil"/>
              <w:left w:val="nil"/>
              <w:bottom w:val="nil"/>
              <w:right w:val="nil"/>
            </w:tcBorders>
            <w:shd w:val="clear" w:color="auto" w:fill="auto"/>
            <w:noWrap/>
            <w:vAlign w:val="bottom"/>
            <w:hideMark/>
          </w:tcPr>
          <w:p w:rsidR="00230672" w:rsidRPr="00441F0A" w:rsidRDefault="00230672" w:rsidP="00305B4B">
            <w:pPr>
              <w:spacing w:after="0" w:line="240" w:lineRule="auto"/>
              <w:rPr>
                <w:rFonts w:ascii="Times New Roman" w:eastAsia="Times New Roman" w:hAnsi="Times New Roman" w:cs="Times New Roman"/>
                <w:color w:val="000000"/>
                <w:sz w:val="24"/>
                <w:szCs w:val="24"/>
                <w:lang w:eastAsia="fr-CA"/>
              </w:rPr>
            </w:pPr>
          </w:p>
        </w:tc>
        <w:tc>
          <w:tcPr>
            <w:tcW w:w="164" w:type="dxa"/>
            <w:tcBorders>
              <w:top w:val="nil"/>
              <w:left w:val="nil"/>
              <w:bottom w:val="nil"/>
              <w:right w:val="nil"/>
            </w:tcBorders>
            <w:shd w:val="clear" w:color="auto" w:fill="auto"/>
            <w:noWrap/>
            <w:vAlign w:val="bottom"/>
            <w:hideMark/>
          </w:tcPr>
          <w:p w:rsidR="00230672" w:rsidRPr="00441F0A" w:rsidRDefault="00230672" w:rsidP="00305B4B">
            <w:pPr>
              <w:spacing w:after="0" w:line="240" w:lineRule="auto"/>
              <w:rPr>
                <w:rFonts w:ascii="Times New Roman" w:eastAsia="Times New Roman" w:hAnsi="Times New Roman" w:cs="Times New Roman"/>
                <w:color w:val="000000"/>
                <w:sz w:val="24"/>
                <w:szCs w:val="24"/>
                <w:lang w:eastAsia="fr-CA"/>
              </w:rPr>
            </w:pPr>
          </w:p>
        </w:tc>
        <w:tc>
          <w:tcPr>
            <w:tcW w:w="164" w:type="dxa"/>
            <w:tcBorders>
              <w:top w:val="nil"/>
              <w:left w:val="nil"/>
              <w:bottom w:val="nil"/>
              <w:right w:val="nil"/>
            </w:tcBorders>
            <w:shd w:val="clear" w:color="auto" w:fill="auto"/>
            <w:noWrap/>
            <w:vAlign w:val="bottom"/>
            <w:hideMark/>
          </w:tcPr>
          <w:p w:rsidR="00230672" w:rsidRPr="00441F0A" w:rsidRDefault="00230672" w:rsidP="00305B4B">
            <w:pPr>
              <w:spacing w:after="0" w:line="240" w:lineRule="auto"/>
              <w:rPr>
                <w:rFonts w:ascii="Times New Roman" w:eastAsia="Times New Roman" w:hAnsi="Times New Roman" w:cs="Times New Roman"/>
                <w:color w:val="000000"/>
                <w:sz w:val="24"/>
                <w:szCs w:val="24"/>
                <w:lang w:eastAsia="fr-CA"/>
              </w:rPr>
            </w:pPr>
          </w:p>
        </w:tc>
      </w:tr>
      <w:tr w:rsidR="00230672" w:rsidRPr="00441F0A" w:rsidTr="00305B4B">
        <w:trPr>
          <w:trHeight w:val="297"/>
        </w:trPr>
        <w:tc>
          <w:tcPr>
            <w:tcW w:w="1244" w:type="dxa"/>
            <w:tcBorders>
              <w:top w:val="nil"/>
              <w:left w:val="nil"/>
              <w:bottom w:val="nil"/>
              <w:right w:val="nil"/>
            </w:tcBorders>
            <w:shd w:val="clear" w:color="auto" w:fill="auto"/>
            <w:noWrap/>
            <w:vAlign w:val="bottom"/>
            <w:hideMark/>
          </w:tcPr>
          <w:p w:rsidR="00230672" w:rsidRPr="00441F0A" w:rsidRDefault="00230672" w:rsidP="00305B4B">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2008</w:t>
            </w:r>
          </w:p>
        </w:tc>
        <w:tc>
          <w:tcPr>
            <w:tcW w:w="2194" w:type="dxa"/>
            <w:tcBorders>
              <w:top w:val="nil"/>
              <w:left w:val="nil"/>
              <w:bottom w:val="nil"/>
              <w:right w:val="nil"/>
            </w:tcBorders>
            <w:shd w:val="clear" w:color="auto" w:fill="auto"/>
            <w:noWrap/>
            <w:vAlign w:val="bottom"/>
            <w:hideMark/>
          </w:tcPr>
          <w:p w:rsidR="00230672" w:rsidRPr="00441F0A" w:rsidRDefault="00230672" w:rsidP="00305B4B">
            <w:pPr>
              <w:spacing w:after="0" w:line="240" w:lineRule="auto"/>
              <w:jc w:val="center"/>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8</w:t>
            </w:r>
          </w:p>
        </w:tc>
        <w:tc>
          <w:tcPr>
            <w:tcW w:w="2751" w:type="dxa"/>
            <w:tcBorders>
              <w:top w:val="nil"/>
              <w:left w:val="nil"/>
              <w:bottom w:val="nil"/>
              <w:right w:val="nil"/>
            </w:tcBorders>
            <w:shd w:val="clear" w:color="auto" w:fill="auto"/>
            <w:noWrap/>
            <w:vAlign w:val="bottom"/>
            <w:hideMark/>
          </w:tcPr>
          <w:p w:rsidR="00230672" w:rsidRPr="00441F0A" w:rsidRDefault="00230672" w:rsidP="00305B4B">
            <w:pPr>
              <w:spacing w:after="0" w:line="240" w:lineRule="auto"/>
              <w:jc w:val="center"/>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11</w:t>
            </w:r>
          </w:p>
        </w:tc>
        <w:tc>
          <w:tcPr>
            <w:tcW w:w="4144" w:type="dxa"/>
            <w:tcBorders>
              <w:top w:val="nil"/>
              <w:left w:val="nil"/>
              <w:bottom w:val="nil"/>
              <w:right w:val="nil"/>
            </w:tcBorders>
            <w:shd w:val="clear" w:color="auto" w:fill="auto"/>
            <w:noWrap/>
            <w:vAlign w:val="bottom"/>
            <w:hideMark/>
          </w:tcPr>
          <w:p w:rsidR="00230672" w:rsidRPr="00441F0A" w:rsidRDefault="00230672" w:rsidP="00305B4B">
            <w:pPr>
              <w:spacing w:after="0" w:line="240" w:lineRule="auto"/>
              <w:rPr>
                <w:rFonts w:ascii="Times New Roman" w:eastAsia="Times New Roman" w:hAnsi="Times New Roman" w:cs="Times New Roman"/>
                <w:color w:val="000000"/>
                <w:sz w:val="24"/>
                <w:szCs w:val="24"/>
                <w:lang w:eastAsia="fr-CA"/>
              </w:rPr>
            </w:pPr>
          </w:p>
        </w:tc>
        <w:tc>
          <w:tcPr>
            <w:tcW w:w="164" w:type="dxa"/>
            <w:tcBorders>
              <w:top w:val="nil"/>
              <w:left w:val="nil"/>
              <w:bottom w:val="nil"/>
              <w:right w:val="nil"/>
            </w:tcBorders>
            <w:shd w:val="clear" w:color="auto" w:fill="auto"/>
            <w:noWrap/>
            <w:vAlign w:val="bottom"/>
            <w:hideMark/>
          </w:tcPr>
          <w:p w:rsidR="00230672" w:rsidRPr="00441F0A" w:rsidRDefault="00230672" w:rsidP="00305B4B">
            <w:pPr>
              <w:spacing w:after="0" w:line="240" w:lineRule="auto"/>
              <w:rPr>
                <w:rFonts w:ascii="Times New Roman" w:eastAsia="Times New Roman" w:hAnsi="Times New Roman" w:cs="Times New Roman"/>
                <w:color w:val="000000"/>
                <w:sz w:val="24"/>
                <w:szCs w:val="24"/>
                <w:lang w:eastAsia="fr-CA"/>
              </w:rPr>
            </w:pPr>
          </w:p>
        </w:tc>
        <w:tc>
          <w:tcPr>
            <w:tcW w:w="164" w:type="dxa"/>
            <w:tcBorders>
              <w:top w:val="nil"/>
              <w:left w:val="nil"/>
              <w:bottom w:val="nil"/>
              <w:right w:val="nil"/>
            </w:tcBorders>
            <w:shd w:val="clear" w:color="auto" w:fill="auto"/>
            <w:noWrap/>
            <w:vAlign w:val="bottom"/>
            <w:hideMark/>
          </w:tcPr>
          <w:p w:rsidR="00230672" w:rsidRPr="00441F0A" w:rsidRDefault="00230672" w:rsidP="00305B4B">
            <w:pPr>
              <w:spacing w:after="0" w:line="240" w:lineRule="auto"/>
              <w:rPr>
                <w:rFonts w:ascii="Times New Roman" w:eastAsia="Times New Roman" w:hAnsi="Times New Roman" w:cs="Times New Roman"/>
                <w:color w:val="000000"/>
                <w:sz w:val="24"/>
                <w:szCs w:val="24"/>
                <w:lang w:eastAsia="fr-CA"/>
              </w:rPr>
            </w:pPr>
          </w:p>
        </w:tc>
      </w:tr>
      <w:tr w:rsidR="00230672" w:rsidRPr="00441F0A" w:rsidTr="00305B4B">
        <w:trPr>
          <w:trHeight w:val="297"/>
        </w:trPr>
        <w:tc>
          <w:tcPr>
            <w:tcW w:w="1244" w:type="dxa"/>
            <w:tcBorders>
              <w:top w:val="nil"/>
              <w:left w:val="nil"/>
              <w:bottom w:val="nil"/>
              <w:right w:val="nil"/>
            </w:tcBorders>
            <w:shd w:val="clear" w:color="auto" w:fill="auto"/>
            <w:noWrap/>
            <w:vAlign w:val="bottom"/>
            <w:hideMark/>
          </w:tcPr>
          <w:p w:rsidR="00230672" w:rsidRPr="00441F0A" w:rsidRDefault="00230672" w:rsidP="00305B4B">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2009</w:t>
            </w:r>
          </w:p>
        </w:tc>
        <w:tc>
          <w:tcPr>
            <w:tcW w:w="2194" w:type="dxa"/>
            <w:tcBorders>
              <w:top w:val="nil"/>
              <w:left w:val="nil"/>
              <w:bottom w:val="nil"/>
              <w:right w:val="nil"/>
            </w:tcBorders>
            <w:shd w:val="clear" w:color="auto" w:fill="auto"/>
            <w:noWrap/>
            <w:vAlign w:val="bottom"/>
            <w:hideMark/>
          </w:tcPr>
          <w:p w:rsidR="00230672" w:rsidRPr="00441F0A" w:rsidRDefault="00230672" w:rsidP="00305B4B">
            <w:pPr>
              <w:spacing w:after="0" w:line="240" w:lineRule="auto"/>
              <w:jc w:val="center"/>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7</w:t>
            </w:r>
          </w:p>
        </w:tc>
        <w:tc>
          <w:tcPr>
            <w:tcW w:w="2751" w:type="dxa"/>
            <w:tcBorders>
              <w:top w:val="nil"/>
              <w:left w:val="nil"/>
              <w:bottom w:val="nil"/>
              <w:right w:val="nil"/>
            </w:tcBorders>
            <w:shd w:val="clear" w:color="auto" w:fill="auto"/>
            <w:noWrap/>
            <w:vAlign w:val="bottom"/>
            <w:hideMark/>
          </w:tcPr>
          <w:p w:rsidR="00230672" w:rsidRPr="00441F0A" w:rsidRDefault="00230672" w:rsidP="00305B4B">
            <w:pPr>
              <w:spacing w:after="0" w:line="240" w:lineRule="auto"/>
              <w:jc w:val="center"/>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11</w:t>
            </w:r>
          </w:p>
        </w:tc>
        <w:tc>
          <w:tcPr>
            <w:tcW w:w="4144" w:type="dxa"/>
            <w:tcBorders>
              <w:top w:val="nil"/>
              <w:left w:val="nil"/>
              <w:bottom w:val="nil"/>
              <w:right w:val="nil"/>
            </w:tcBorders>
            <w:shd w:val="clear" w:color="auto" w:fill="auto"/>
            <w:noWrap/>
            <w:vAlign w:val="bottom"/>
            <w:hideMark/>
          </w:tcPr>
          <w:p w:rsidR="00230672" w:rsidRPr="00441F0A" w:rsidRDefault="00230672" w:rsidP="00305B4B">
            <w:pPr>
              <w:spacing w:after="0" w:line="240" w:lineRule="auto"/>
              <w:rPr>
                <w:rFonts w:ascii="Times New Roman" w:eastAsia="Times New Roman" w:hAnsi="Times New Roman" w:cs="Times New Roman"/>
                <w:color w:val="000000"/>
                <w:sz w:val="24"/>
                <w:szCs w:val="24"/>
                <w:lang w:eastAsia="fr-CA"/>
              </w:rPr>
            </w:pPr>
          </w:p>
        </w:tc>
        <w:tc>
          <w:tcPr>
            <w:tcW w:w="164" w:type="dxa"/>
            <w:tcBorders>
              <w:top w:val="nil"/>
              <w:left w:val="nil"/>
              <w:bottom w:val="nil"/>
              <w:right w:val="nil"/>
            </w:tcBorders>
            <w:shd w:val="clear" w:color="auto" w:fill="auto"/>
            <w:noWrap/>
            <w:vAlign w:val="bottom"/>
            <w:hideMark/>
          </w:tcPr>
          <w:p w:rsidR="00230672" w:rsidRPr="00441F0A" w:rsidRDefault="00230672" w:rsidP="00305B4B">
            <w:pPr>
              <w:spacing w:after="0" w:line="240" w:lineRule="auto"/>
              <w:rPr>
                <w:rFonts w:ascii="Times New Roman" w:eastAsia="Times New Roman" w:hAnsi="Times New Roman" w:cs="Times New Roman"/>
                <w:color w:val="000000"/>
                <w:sz w:val="24"/>
                <w:szCs w:val="24"/>
                <w:lang w:eastAsia="fr-CA"/>
              </w:rPr>
            </w:pPr>
          </w:p>
        </w:tc>
        <w:tc>
          <w:tcPr>
            <w:tcW w:w="164" w:type="dxa"/>
            <w:tcBorders>
              <w:top w:val="nil"/>
              <w:left w:val="nil"/>
              <w:bottom w:val="nil"/>
              <w:right w:val="nil"/>
            </w:tcBorders>
            <w:shd w:val="clear" w:color="auto" w:fill="auto"/>
            <w:noWrap/>
            <w:vAlign w:val="bottom"/>
            <w:hideMark/>
          </w:tcPr>
          <w:p w:rsidR="00230672" w:rsidRPr="00441F0A" w:rsidRDefault="00230672" w:rsidP="00305B4B">
            <w:pPr>
              <w:spacing w:after="0" w:line="240" w:lineRule="auto"/>
              <w:rPr>
                <w:rFonts w:ascii="Times New Roman" w:eastAsia="Times New Roman" w:hAnsi="Times New Roman" w:cs="Times New Roman"/>
                <w:color w:val="000000"/>
                <w:sz w:val="24"/>
                <w:szCs w:val="24"/>
                <w:lang w:eastAsia="fr-CA"/>
              </w:rPr>
            </w:pPr>
          </w:p>
        </w:tc>
      </w:tr>
      <w:tr w:rsidR="00230672" w:rsidRPr="00441F0A" w:rsidTr="00305B4B">
        <w:trPr>
          <w:trHeight w:val="297"/>
        </w:trPr>
        <w:tc>
          <w:tcPr>
            <w:tcW w:w="1244" w:type="dxa"/>
            <w:tcBorders>
              <w:top w:val="nil"/>
              <w:left w:val="nil"/>
              <w:bottom w:val="nil"/>
              <w:right w:val="nil"/>
            </w:tcBorders>
            <w:shd w:val="clear" w:color="auto" w:fill="auto"/>
            <w:noWrap/>
            <w:vAlign w:val="bottom"/>
            <w:hideMark/>
          </w:tcPr>
          <w:p w:rsidR="00230672" w:rsidRPr="00441F0A" w:rsidRDefault="00230672" w:rsidP="00305B4B">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2010</w:t>
            </w:r>
          </w:p>
        </w:tc>
        <w:tc>
          <w:tcPr>
            <w:tcW w:w="2194" w:type="dxa"/>
            <w:tcBorders>
              <w:top w:val="nil"/>
              <w:left w:val="nil"/>
              <w:bottom w:val="nil"/>
              <w:right w:val="nil"/>
            </w:tcBorders>
            <w:shd w:val="clear" w:color="auto" w:fill="auto"/>
            <w:noWrap/>
            <w:vAlign w:val="bottom"/>
            <w:hideMark/>
          </w:tcPr>
          <w:p w:rsidR="00230672" w:rsidRPr="00441F0A" w:rsidRDefault="00230672" w:rsidP="00305B4B">
            <w:pPr>
              <w:spacing w:after="0" w:line="240" w:lineRule="auto"/>
              <w:jc w:val="center"/>
              <w:rPr>
                <w:rFonts w:ascii="Times New Roman" w:eastAsia="Times New Roman" w:hAnsi="Times New Roman" w:cs="Times New Roman"/>
                <w:sz w:val="24"/>
                <w:szCs w:val="24"/>
                <w:lang w:eastAsia="fr-CA"/>
              </w:rPr>
            </w:pPr>
            <w:r w:rsidRPr="00441F0A">
              <w:rPr>
                <w:rFonts w:ascii="Times New Roman" w:eastAsia="Times New Roman" w:hAnsi="Times New Roman" w:cs="Times New Roman"/>
                <w:sz w:val="24"/>
                <w:szCs w:val="24"/>
                <w:lang w:eastAsia="fr-CA"/>
              </w:rPr>
              <w:t>14</w:t>
            </w:r>
          </w:p>
        </w:tc>
        <w:tc>
          <w:tcPr>
            <w:tcW w:w="2751" w:type="dxa"/>
            <w:tcBorders>
              <w:top w:val="nil"/>
              <w:left w:val="nil"/>
              <w:bottom w:val="nil"/>
              <w:right w:val="nil"/>
            </w:tcBorders>
            <w:shd w:val="clear" w:color="auto" w:fill="auto"/>
            <w:noWrap/>
            <w:vAlign w:val="bottom"/>
            <w:hideMark/>
          </w:tcPr>
          <w:p w:rsidR="00230672" w:rsidRPr="00441F0A" w:rsidRDefault="00230672" w:rsidP="00305B4B">
            <w:pPr>
              <w:spacing w:after="0" w:line="240" w:lineRule="auto"/>
              <w:jc w:val="center"/>
              <w:rPr>
                <w:rFonts w:ascii="Times New Roman" w:eastAsia="Times New Roman" w:hAnsi="Times New Roman" w:cs="Times New Roman"/>
                <w:sz w:val="24"/>
                <w:szCs w:val="24"/>
                <w:lang w:eastAsia="fr-CA"/>
              </w:rPr>
            </w:pPr>
            <w:r w:rsidRPr="00441F0A">
              <w:rPr>
                <w:rFonts w:ascii="Times New Roman" w:eastAsia="Times New Roman" w:hAnsi="Times New Roman" w:cs="Times New Roman"/>
                <w:sz w:val="24"/>
                <w:szCs w:val="24"/>
                <w:lang w:eastAsia="fr-CA"/>
              </w:rPr>
              <w:t>9</w:t>
            </w:r>
          </w:p>
        </w:tc>
        <w:tc>
          <w:tcPr>
            <w:tcW w:w="4144" w:type="dxa"/>
            <w:tcBorders>
              <w:top w:val="nil"/>
              <w:left w:val="nil"/>
              <w:bottom w:val="nil"/>
              <w:right w:val="nil"/>
            </w:tcBorders>
            <w:shd w:val="clear" w:color="auto" w:fill="auto"/>
            <w:noWrap/>
            <w:vAlign w:val="bottom"/>
            <w:hideMark/>
          </w:tcPr>
          <w:p w:rsidR="00230672" w:rsidRPr="00441F0A" w:rsidRDefault="00230672" w:rsidP="00305B4B">
            <w:pPr>
              <w:spacing w:after="0" w:line="240" w:lineRule="auto"/>
              <w:rPr>
                <w:rFonts w:ascii="Times New Roman" w:eastAsia="Times New Roman" w:hAnsi="Times New Roman" w:cs="Times New Roman"/>
                <w:color w:val="000000"/>
                <w:sz w:val="24"/>
                <w:szCs w:val="24"/>
                <w:lang w:eastAsia="fr-CA"/>
              </w:rPr>
            </w:pPr>
          </w:p>
        </w:tc>
        <w:tc>
          <w:tcPr>
            <w:tcW w:w="164" w:type="dxa"/>
            <w:tcBorders>
              <w:top w:val="nil"/>
              <w:left w:val="nil"/>
              <w:bottom w:val="nil"/>
              <w:right w:val="nil"/>
            </w:tcBorders>
            <w:shd w:val="clear" w:color="auto" w:fill="auto"/>
            <w:noWrap/>
            <w:vAlign w:val="bottom"/>
            <w:hideMark/>
          </w:tcPr>
          <w:p w:rsidR="00230672" w:rsidRPr="00441F0A" w:rsidRDefault="00230672" w:rsidP="00305B4B">
            <w:pPr>
              <w:spacing w:after="0" w:line="240" w:lineRule="auto"/>
              <w:rPr>
                <w:rFonts w:ascii="Times New Roman" w:eastAsia="Times New Roman" w:hAnsi="Times New Roman" w:cs="Times New Roman"/>
                <w:color w:val="000000"/>
                <w:sz w:val="24"/>
                <w:szCs w:val="24"/>
                <w:lang w:eastAsia="fr-CA"/>
              </w:rPr>
            </w:pPr>
          </w:p>
        </w:tc>
        <w:tc>
          <w:tcPr>
            <w:tcW w:w="164" w:type="dxa"/>
            <w:tcBorders>
              <w:top w:val="nil"/>
              <w:left w:val="nil"/>
              <w:bottom w:val="nil"/>
              <w:right w:val="nil"/>
            </w:tcBorders>
            <w:shd w:val="clear" w:color="auto" w:fill="auto"/>
            <w:noWrap/>
            <w:vAlign w:val="bottom"/>
            <w:hideMark/>
          </w:tcPr>
          <w:p w:rsidR="00230672" w:rsidRPr="00441F0A" w:rsidRDefault="00230672" w:rsidP="00305B4B">
            <w:pPr>
              <w:spacing w:after="0" w:line="240" w:lineRule="auto"/>
              <w:rPr>
                <w:rFonts w:ascii="Times New Roman" w:eastAsia="Times New Roman" w:hAnsi="Times New Roman" w:cs="Times New Roman"/>
                <w:color w:val="000000"/>
                <w:sz w:val="24"/>
                <w:szCs w:val="24"/>
                <w:lang w:eastAsia="fr-CA"/>
              </w:rPr>
            </w:pPr>
          </w:p>
        </w:tc>
      </w:tr>
      <w:tr w:rsidR="00230672" w:rsidRPr="00441F0A" w:rsidTr="00305B4B">
        <w:trPr>
          <w:trHeight w:val="297"/>
        </w:trPr>
        <w:tc>
          <w:tcPr>
            <w:tcW w:w="1244" w:type="dxa"/>
            <w:tcBorders>
              <w:top w:val="nil"/>
              <w:left w:val="nil"/>
              <w:bottom w:val="nil"/>
              <w:right w:val="nil"/>
            </w:tcBorders>
            <w:shd w:val="clear" w:color="auto" w:fill="auto"/>
            <w:noWrap/>
            <w:vAlign w:val="bottom"/>
            <w:hideMark/>
          </w:tcPr>
          <w:p w:rsidR="00230672" w:rsidRPr="00441F0A" w:rsidRDefault="00230672" w:rsidP="00305B4B">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2011</w:t>
            </w:r>
          </w:p>
        </w:tc>
        <w:tc>
          <w:tcPr>
            <w:tcW w:w="2194" w:type="dxa"/>
            <w:tcBorders>
              <w:top w:val="nil"/>
              <w:left w:val="nil"/>
              <w:bottom w:val="nil"/>
              <w:right w:val="nil"/>
            </w:tcBorders>
            <w:shd w:val="clear" w:color="auto" w:fill="auto"/>
            <w:noWrap/>
            <w:vAlign w:val="bottom"/>
            <w:hideMark/>
          </w:tcPr>
          <w:p w:rsidR="00230672" w:rsidRPr="00441F0A" w:rsidRDefault="00230672" w:rsidP="00305B4B">
            <w:pPr>
              <w:spacing w:after="0" w:line="240" w:lineRule="auto"/>
              <w:jc w:val="center"/>
              <w:rPr>
                <w:rFonts w:ascii="Times New Roman" w:eastAsia="Times New Roman" w:hAnsi="Times New Roman" w:cs="Times New Roman"/>
                <w:sz w:val="24"/>
                <w:szCs w:val="24"/>
                <w:lang w:eastAsia="fr-CA"/>
              </w:rPr>
            </w:pPr>
            <w:r w:rsidRPr="00441F0A">
              <w:rPr>
                <w:rFonts w:ascii="Times New Roman" w:eastAsia="Times New Roman" w:hAnsi="Times New Roman" w:cs="Times New Roman"/>
                <w:sz w:val="24"/>
                <w:szCs w:val="24"/>
                <w:lang w:eastAsia="fr-CA"/>
              </w:rPr>
              <w:t>13</w:t>
            </w:r>
          </w:p>
        </w:tc>
        <w:tc>
          <w:tcPr>
            <w:tcW w:w="2751" w:type="dxa"/>
            <w:tcBorders>
              <w:top w:val="nil"/>
              <w:left w:val="nil"/>
              <w:bottom w:val="nil"/>
              <w:right w:val="nil"/>
            </w:tcBorders>
            <w:shd w:val="clear" w:color="auto" w:fill="auto"/>
            <w:noWrap/>
            <w:vAlign w:val="bottom"/>
            <w:hideMark/>
          </w:tcPr>
          <w:p w:rsidR="00230672" w:rsidRPr="00441F0A" w:rsidRDefault="00230672" w:rsidP="00305B4B">
            <w:pPr>
              <w:spacing w:after="0" w:line="240" w:lineRule="auto"/>
              <w:jc w:val="center"/>
              <w:rPr>
                <w:rFonts w:ascii="Times New Roman" w:eastAsia="Times New Roman" w:hAnsi="Times New Roman" w:cs="Times New Roman"/>
                <w:sz w:val="24"/>
                <w:szCs w:val="24"/>
                <w:lang w:eastAsia="fr-CA"/>
              </w:rPr>
            </w:pPr>
            <w:r w:rsidRPr="00441F0A">
              <w:rPr>
                <w:rFonts w:ascii="Times New Roman" w:eastAsia="Times New Roman" w:hAnsi="Times New Roman" w:cs="Times New Roman"/>
                <w:sz w:val="24"/>
                <w:szCs w:val="24"/>
                <w:lang w:eastAsia="fr-CA"/>
              </w:rPr>
              <w:t>12</w:t>
            </w:r>
          </w:p>
        </w:tc>
        <w:tc>
          <w:tcPr>
            <w:tcW w:w="4144" w:type="dxa"/>
            <w:tcBorders>
              <w:top w:val="nil"/>
              <w:left w:val="nil"/>
              <w:bottom w:val="nil"/>
              <w:right w:val="nil"/>
            </w:tcBorders>
            <w:shd w:val="clear" w:color="auto" w:fill="auto"/>
            <w:noWrap/>
            <w:vAlign w:val="bottom"/>
            <w:hideMark/>
          </w:tcPr>
          <w:p w:rsidR="00230672" w:rsidRPr="00441F0A" w:rsidRDefault="00230672" w:rsidP="00305B4B">
            <w:pPr>
              <w:spacing w:after="0" w:line="240" w:lineRule="auto"/>
              <w:rPr>
                <w:rFonts w:ascii="Times New Roman" w:eastAsia="Times New Roman" w:hAnsi="Times New Roman" w:cs="Times New Roman"/>
                <w:color w:val="000000"/>
                <w:sz w:val="24"/>
                <w:szCs w:val="24"/>
                <w:lang w:eastAsia="fr-CA"/>
              </w:rPr>
            </w:pPr>
          </w:p>
        </w:tc>
        <w:tc>
          <w:tcPr>
            <w:tcW w:w="164" w:type="dxa"/>
            <w:tcBorders>
              <w:top w:val="nil"/>
              <w:left w:val="nil"/>
              <w:bottom w:val="nil"/>
              <w:right w:val="nil"/>
            </w:tcBorders>
            <w:shd w:val="clear" w:color="auto" w:fill="auto"/>
            <w:noWrap/>
            <w:vAlign w:val="bottom"/>
            <w:hideMark/>
          </w:tcPr>
          <w:p w:rsidR="00230672" w:rsidRPr="00441F0A" w:rsidRDefault="00230672" w:rsidP="00305B4B">
            <w:pPr>
              <w:spacing w:after="0" w:line="240" w:lineRule="auto"/>
              <w:rPr>
                <w:rFonts w:ascii="Times New Roman" w:eastAsia="Times New Roman" w:hAnsi="Times New Roman" w:cs="Times New Roman"/>
                <w:color w:val="000000"/>
                <w:sz w:val="24"/>
                <w:szCs w:val="24"/>
                <w:lang w:eastAsia="fr-CA"/>
              </w:rPr>
            </w:pPr>
          </w:p>
        </w:tc>
        <w:tc>
          <w:tcPr>
            <w:tcW w:w="164" w:type="dxa"/>
            <w:tcBorders>
              <w:top w:val="nil"/>
              <w:left w:val="nil"/>
              <w:bottom w:val="nil"/>
              <w:right w:val="nil"/>
            </w:tcBorders>
            <w:shd w:val="clear" w:color="auto" w:fill="auto"/>
            <w:noWrap/>
            <w:vAlign w:val="bottom"/>
            <w:hideMark/>
          </w:tcPr>
          <w:p w:rsidR="00230672" w:rsidRPr="00441F0A" w:rsidRDefault="00230672" w:rsidP="00305B4B">
            <w:pPr>
              <w:spacing w:after="0" w:line="240" w:lineRule="auto"/>
              <w:rPr>
                <w:rFonts w:ascii="Times New Roman" w:eastAsia="Times New Roman" w:hAnsi="Times New Roman" w:cs="Times New Roman"/>
                <w:color w:val="000000"/>
                <w:sz w:val="24"/>
                <w:szCs w:val="24"/>
                <w:lang w:eastAsia="fr-CA"/>
              </w:rPr>
            </w:pPr>
          </w:p>
        </w:tc>
      </w:tr>
      <w:tr w:rsidR="00230672" w:rsidRPr="00441F0A" w:rsidTr="00305B4B">
        <w:trPr>
          <w:trHeight w:val="297"/>
        </w:trPr>
        <w:tc>
          <w:tcPr>
            <w:tcW w:w="1244" w:type="dxa"/>
            <w:tcBorders>
              <w:top w:val="nil"/>
              <w:left w:val="nil"/>
              <w:bottom w:val="nil"/>
              <w:right w:val="nil"/>
            </w:tcBorders>
            <w:shd w:val="clear" w:color="auto" w:fill="auto"/>
            <w:noWrap/>
            <w:vAlign w:val="bottom"/>
            <w:hideMark/>
          </w:tcPr>
          <w:p w:rsidR="00230672" w:rsidRPr="00441F0A" w:rsidRDefault="00230672" w:rsidP="00305B4B">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2012</w:t>
            </w:r>
          </w:p>
        </w:tc>
        <w:tc>
          <w:tcPr>
            <w:tcW w:w="2194" w:type="dxa"/>
            <w:tcBorders>
              <w:top w:val="nil"/>
              <w:left w:val="nil"/>
              <w:bottom w:val="nil"/>
              <w:right w:val="nil"/>
            </w:tcBorders>
            <w:shd w:val="clear" w:color="auto" w:fill="auto"/>
            <w:noWrap/>
            <w:vAlign w:val="bottom"/>
            <w:hideMark/>
          </w:tcPr>
          <w:p w:rsidR="00230672" w:rsidRPr="00441F0A" w:rsidRDefault="00230672" w:rsidP="00305B4B">
            <w:pPr>
              <w:spacing w:after="0" w:line="240" w:lineRule="auto"/>
              <w:jc w:val="center"/>
              <w:rPr>
                <w:rFonts w:ascii="Times New Roman" w:eastAsia="Times New Roman" w:hAnsi="Times New Roman" w:cs="Times New Roman"/>
                <w:sz w:val="24"/>
                <w:szCs w:val="24"/>
                <w:lang w:eastAsia="fr-CA"/>
              </w:rPr>
            </w:pPr>
            <w:r w:rsidRPr="00441F0A">
              <w:rPr>
                <w:rFonts w:ascii="Times New Roman" w:eastAsia="Times New Roman" w:hAnsi="Times New Roman" w:cs="Times New Roman"/>
                <w:sz w:val="24"/>
                <w:szCs w:val="24"/>
                <w:lang w:eastAsia="fr-CA"/>
              </w:rPr>
              <w:t>14</w:t>
            </w:r>
          </w:p>
        </w:tc>
        <w:tc>
          <w:tcPr>
            <w:tcW w:w="2751" w:type="dxa"/>
            <w:tcBorders>
              <w:top w:val="nil"/>
              <w:left w:val="nil"/>
              <w:bottom w:val="nil"/>
              <w:right w:val="nil"/>
            </w:tcBorders>
            <w:shd w:val="clear" w:color="auto" w:fill="auto"/>
            <w:noWrap/>
            <w:vAlign w:val="bottom"/>
            <w:hideMark/>
          </w:tcPr>
          <w:p w:rsidR="00230672" w:rsidRPr="00441F0A" w:rsidRDefault="00230672" w:rsidP="00305B4B">
            <w:pPr>
              <w:spacing w:after="0" w:line="240" w:lineRule="auto"/>
              <w:jc w:val="center"/>
              <w:rPr>
                <w:rFonts w:ascii="Times New Roman" w:eastAsia="Times New Roman" w:hAnsi="Times New Roman" w:cs="Times New Roman"/>
                <w:sz w:val="24"/>
                <w:szCs w:val="24"/>
                <w:lang w:eastAsia="fr-CA"/>
              </w:rPr>
            </w:pPr>
            <w:r w:rsidRPr="00441F0A">
              <w:rPr>
                <w:rFonts w:ascii="Times New Roman" w:eastAsia="Times New Roman" w:hAnsi="Times New Roman" w:cs="Times New Roman"/>
                <w:sz w:val="24"/>
                <w:szCs w:val="24"/>
                <w:lang w:eastAsia="fr-CA"/>
              </w:rPr>
              <w:t>12</w:t>
            </w:r>
          </w:p>
        </w:tc>
        <w:tc>
          <w:tcPr>
            <w:tcW w:w="4144" w:type="dxa"/>
            <w:tcBorders>
              <w:top w:val="nil"/>
              <w:left w:val="nil"/>
              <w:bottom w:val="nil"/>
              <w:right w:val="nil"/>
            </w:tcBorders>
            <w:shd w:val="clear" w:color="auto" w:fill="auto"/>
            <w:noWrap/>
            <w:vAlign w:val="bottom"/>
            <w:hideMark/>
          </w:tcPr>
          <w:p w:rsidR="00230672" w:rsidRPr="00441F0A" w:rsidRDefault="00230672" w:rsidP="00305B4B">
            <w:pPr>
              <w:spacing w:after="0" w:line="240" w:lineRule="auto"/>
              <w:rPr>
                <w:rFonts w:ascii="Times New Roman" w:eastAsia="Times New Roman" w:hAnsi="Times New Roman" w:cs="Times New Roman"/>
                <w:color w:val="000000"/>
                <w:sz w:val="24"/>
                <w:szCs w:val="24"/>
                <w:lang w:eastAsia="fr-CA"/>
              </w:rPr>
            </w:pPr>
          </w:p>
        </w:tc>
        <w:tc>
          <w:tcPr>
            <w:tcW w:w="164" w:type="dxa"/>
            <w:tcBorders>
              <w:top w:val="nil"/>
              <w:left w:val="nil"/>
              <w:bottom w:val="nil"/>
              <w:right w:val="nil"/>
            </w:tcBorders>
            <w:shd w:val="clear" w:color="auto" w:fill="auto"/>
            <w:noWrap/>
            <w:vAlign w:val="bottom"/>
            <w:hideMark/>
          </w:tcPr>
          <w:p w:rsidR="00230672" w:rsidRPr="00441F0A" w:rsidRDefault="00230672" w:rsidP="00305B4B">
            <w:pPr>
              <w:spacing w:after="0" w:line="240" w:lineRule="auto"/>
              <w:rPr>
                <w:rFonts w:ascii="Times New Roman" w:eastAsia="Times New Roman" w:hAnsi="Times New Roman" w:cs="Times New Roman"/>
                <w:color w:val="000000"/>
                <w:sz w:val="24"/>
                <w:szCs w:val="24"/>
                <w:lang w:eastAsia="fr-CA"/>
              </w:rPr>
            </w:pPr>
          </w:p>
        </w:tc>
        <w:tc>
          <w:tcPr>
            <w:tcW w:w="164" w:type="dxa"/>
            <w:tcBorders>
              <w:top w:val="nil"/>
              <w:left w:val="nil"/>
              <w:bottom w:val="nil"/>
              <w:right w:val="nil"/>
            </w:tcBorders>
            <w:shd w:val="clear" w:color="auto" w:fill="auto"/>
            <w:noWrap/>
            <w:vAlign w:val="bottom"/>
            <w:hideMark/>
          </w:tcPr>
          <w:p w:rsidR="00230672" w:rsidRPr="00441F0A" w:rsidRDefault="00230672" w:rsidP="00305B4B">
            <w:pPr>
              <w:spacing w:after="0" w:line="240" w:lineRule="auto"/>
              <w:rPr>
                <w:rFonts w:ascii="Times New Roman" w:eastAsia="Times New Roman" w:hAnsi="Times New Roman" w:cs="Times New Roman"/>
                <w:color w:val="000000"/>
                <w:sz w:val="24"/>
                <w:szCs w:val="24"/>
                <w:lang w:eastAsia="fr-CA"/>
              </w:rPr>
            </w:pPr>
          </w:p>
        </w:tc>
      </w:tr>
      <w:tr w:rsidR="00230672" w:rsidRPr="00441F0A" w:rsidTr="00305B4B">
        <w:trPr>
          <w:trHeight w:val="297"/>
        </w:trPr>
        <w:tc>
          <w:tcPr>
            <w:tcW w:w="1244" w:type="dxa"/>
            <w:tcBorders>
              <w:top w:val="nil"/>
              <w:left w:val="nil"/>
              <w:bottom w:val="nil"/>
              <w:right w:val="nil"/>
            </w:tcBorders>
            <w:shd w:val="clear" w:color="auto" w:fill="auto"/>
            <w:noWrap/>
            <w:vAlign w:val="bottom"/>
            <w:hideMark/>
          </w:tcPr>
          <w:p w:rsidR="00230672" w:rsidRPr="00441F0A" w:rsidRDefault="00230672" w:rsidP="00305B4B">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2013</w:t>
            </w:r>
          </w:p>
        </w:tc>
        <w:tc>
          <w:tcPr>
            <w:tcW w:w="2194" w:type="dxa"/>
            <w:tcBorders>
              <w:top w:val="nil"/>
              <w:left w:val="nil"/>
              <w:bottom w:val="nil"/>
              <w:right w:val="nil"/>
            </w:tcBorders>
            <w:shd w:val="clear" w:color="auto" w:fill="auto"/>
            <w:noWrap/>
            <w:vAlign w:val="bottom"/>
            <w:hideMark/>
          </w:tcPr>
          <w:p w:rsidR="00230672" w:rsidRPr="00441F0A" w:rsidRDefault="00230672" w:rsidP="00305B4B">
            <w:pPr>
              <w:spacing w:after="0" w:line="240" w:lineRule="auto"/>
              <w:jc w:val="center"/>
              <w:rPr>
                <w:rFonts w:ascii="Times New Roman" w:eastAsia="Times New Roman" w:hAnsi="Times New Roman" w:cs="Times New Roman"/>
                <w:color w:val="FF0000"/>
                <w:sz w:val="24"/>
                <w:szCs w:val="24"/>
                <w:lang w:eastAsia="fr-CA"/>
              </w:rPr>
            </w:pPr>
            <w:r w:rsidRPr="00441F0A">
              <w:rPr>
                <w:rFonts w:ascii="Times New Roman" w:eastAsia="Times New Roman" w:hAnsi="Times New Roman" w:cs="Times New Roman"/>
                <w:color w:val="FF0000"/>
                <w:sz w:val="24"/>
                <w:szCs w:val="24"/>
                <w:lang w:eastAsia="fr-CA"/>
              </w:rPr>
              <w:t>14</w:t>
            </w:r>
          </w:p>
        </w:tc>
        <w:tc>
          <w:tcPr>
            <w:tcW w:w="2751" w:type="dxa"/>
            <w:tcBorders>
              <w:top w:val="nil"/>
              <w:left w:val="nil"/>
              <w:bottom w:val="nil"/>
              <w:right w:val="nil"/>
            </w:tcBorders>
            <w:shd w:val="clear" w:color="auto" w:fill="auto"/>
            <w:noWrap/>
            <w:vAlign w:val="bottom"/>
            <w:hideMark/>
          </w:tcPr>
          <w:p w:rsidR="00230672" w:rsidRPr="00441F0A" w:rsidRDefault="00230672" w:rsidP="00305B4B">
            <w:pPr>
              <w:spacing w:after="0" w:line="240" w:lineRule="auto"/>
              <w:jc w:val="center"/>
              <w:rPr>
                <w:rFonts w:ascii="Times New Roman" w:eastAsia="Times New Roman" w:hAnsi="Times New Roman" w:cs="Times New Roman"/>
                <w:color w:val="FF0000"/>
                <w:sz w:val="24"/>
                <w:szCs w:val="24"/>
                <w:lang w:eastAsia="fr-CA"/>
              </w:rPr>
            </w:pPr>
            <w:r w:rsidRPr="00441F0A">
              <w:rPr>
                <w:rFonts w:ascii="Times New Roman" w:eastAsia="Times New Roman" w:hAnsi="Times New Roman" w:cs="Times New Roman"/>
                <w:color w:val="FF0000"/>
                <w:sz w:val="24"/>
                <w:szCs w:val="24"/>
                <w:lang w:eastAsia="fr-CA"/>
              </w:rPr>
              <w:t>12</w:t>
            </w:r>
          </w:p>
        </w:tc>
        <w:tc>
          <w:tcPr>
            <w:tcW w:w="4144" w:type="dxa"/>
            <w:tcBorders>
              <w:top w:val="nil"/>
              <w:left w:val="nil"/>
              <w:bottom w:val="nil"/>
              <w:right w:val="nil"/>
            </w:tcBorders>
            <w:shd w:val="clear" w:color="auto" w:fill="auto"/>
            <w:noWrap/>
            <w:vAlign w:val="bottom"/>
            <w:hideMark/>
          </w:tcPr>
          <w:p w:rsidR="00230672" w:rsidRPr="00441F0A" w:rsidRDefault="00230672" w:rsidP="00305B4B">
            <w:pPr>
              <w:spacing w:after="0" w:line="240" w:lineRule="auto"/>
              <w:rPr>
                <w:rFonts w:ascii="Times New Roman" w:eastAsia="Times New Roman" w:hAnsi="Times New Roman" w:cs="Times New Roman"/>
                <w:color w:val="000000"/>
                <w:sz w:val="24"/>
                <w:szCs w:val="24"/>
                <w:lang w:eastAsia="fr-CA"/>
              </w:rPr>
            </w:pPr>
          </w:p>
        </w:tc>
        <w:tc>
          <w:tcPr>
            <w:tcW w:w="164" w:type="dxa"/>
            <w:tcBorders>
              <w:top w:val="nil"/>
              <w:left w:val="nil"/>
              <w:bottom w:val="nil"/>
              <w:right w:val="nil"/>
            </w:tcBorders>
            <w:shd w:val="clear" w:color="auto" w:fill="auto"/>
            <w:noWrap/>
            <w:vAlign w:val="bottom"/>
            <w:hideMark/>
          </w:tcPr>
          <w:p w:rsidR="00230672" w:rsidRPr="00441F0A" w:rsidRDefault="00230672" w:rsidP="00305B4B">
            <w:pPr>
              <w:spacing w:after="0" w:line="240" w:lineRule="auto"/>
              <w:rPr>
                <w:rFonts w:ascii="Times New Roman" w:eastAsia="Times New Roman" w:hAnsi="Times New Roman" w:cs="Times New Roman"/>
                <w:color w:val="000000"/>
                <w:sz w:val="24"/>
                <w:szCs w:val="24"/>
                <w:lang w:eastAsia="fr-CA"/>
              </w:rPr>
            </w:pPr>
          </w:p>
        </w:tc>
        <w:tc>
          <w:tcPr>
            <w:tcW w:w="164" w:type="dxa"/>
            <w:tcBorders>
              <w:top w:val="nil"/>
              <w:left w:val="nil"/>
              <w:bottom w:val="nil"/>
              <w:right w:val="nil"/>
            </w:tcBorders>
            <w:shd w:val="clear" w:color="auto" w:fill="auto"/>
            <w:noWrap/>
            <w:vAlign w:val="bottom"/>
            <w:hideMark/>
          </w:tcPr>
          <w:p w:rsidR="00230672" w:rsidRPr="00441F0A" w:rsidRDefault="00230672" w:rsidP="00305B4B">
            <w:pPr>
              <w:spacing w:after="0" w:line="240" w:lineRule="auto"/>
              <w:rPr>
                <w:rFonts w:ascii="Times New Roman" w:eastAsia="Times New Roman" w:hAnsi="Times New Roman" w:cs="Times New Roman"/>
                <w:color w:val="000000"/>
                <w:sz w:val="24"/>
                <w:szCs w:val="24"/>
                <w:lang w:eastAsia="fr-CA"/>
              </w:rPr>
            </w:pPr>
          </w:p>
        </w:tc>
      </w:tr>
      <w:tr w:rsidR="00230672" w:rsidRPr="00441F0A" w:rsidTr="00305B4B">
        <w:trPr>
          <w:trHeight w:val="297"/>
        </w:trPr>
        <w:tc>
          <w:tcPr>
            <w:tcW w:w="1244" w:type="dxa"/>
            <w:tcBorders>
              <w:top w:val="nil"/>
              <w:left w:val="nil"/>
              <w:bottom w:val="nil"/>
              <w:right w:val="nil"/>
            </w:tcBorders>
            <w:shd w:val="clear" w:color="auto" w:fill="auto"/>
            <w:noWrap/>
            <w:vAlign w:val="bottom"/>
            <w:hideMark/>
          </w:tcPr>
          <w:p w:rsidR="00230672" w:rsidRPr="00441F0A" w:rsidRDefault="00230672" w:rsidP="00305B4B">
            <w:pPr>
              <w:spacing w:after="0" w:line="240" w:lineRule="auto"/>
              <w:jc w:val="right"/>
              <w:rPr>
                <w:rFonts w:ascii="Times New Roman" w:eastAsia="Times New Roman" w:hAnsi="Times New Roman" w:cs="Times New Roman"/>
                <w:color w:val="000000"/>
                <w:sz w:val="24"/>
                <w:szCs w:val="24"/>
                <w:lang w:eastAsia="fr-CA"/>
              </w:rPr>
            </w:pPr>
            <w:r w:rsidRPr="00441F0A">
              <w:rPr>
                <w:rFonts w:ascii="Times New Roman" w:eastAsia="Times New Roman" w:hAnsi="Times New Roman" w:cs="Times New Roman"/>
                <w:color w:val="000000"/>
                <w:sz w:val="24"/>
                <w:szCs w:val="24"/>
                <w:lang w:eastAsia="fr-CA"/>
              </w:rPr>
              <w:t>2014</w:t>
            </w:r>
          </w:p>
        </w:tc>
        <w:tc>
          <w:tcPr>
            <w:tcW w:w="2194" w:type="dxa"/>
            <w:tcBorders>
              <w:top w:val="nil"/>
              <w:left w:val="nil"/>
              <w:bottom w:val="nil"/>
              <w:right w:val="nil"/>
            </w:tcBorders>
            <w:shd w:val="clear" w:color="auto" w:fill="auto"/>
            <w:noWrap/>
            <w:vAlign w:val="bottom"/>
            <w:hideMark/>
          </w:tcPr>
          <w:p w:rsidR="00230672" w:rsidRPr="00441F0A" w:rsidRDefault="00230672" w:rsidP="00305B4B">
            <w:pPr>
              <w:spacing w:after="0" w:line="240" w:lineRule="auto"/>
              <w:jc w:val="center"/>
              <w:rPr>
                <w:rFonts w:ascii="Times New Roman" w:eastAsia="Times New Roman" w:hAnsi="Times New Roman" w:cs="Times New Roman"/>
                <w:color w:val="FF0000"/>
                <w:sz w:val="24"/>
                <w:szCs w:val="24"/>
                <w:lang w:eastAsia="fr-CA"/>
              </w:rPr>
            </w:pPr>
            <w:r w:rsidRPr="00441F0A">
              <w:rPr>
                <w:rFonts w:ascii="Times New Roman" w:eastAsia="Times New Roman" w:hAnsi="Times New Roman" w:cs="Times New Roman"/>
                <w:color w:val="FF0000"/>
                <w:sz w:val="24"/>
                <w:szCs w:val="24"/>
                <w:lang w:eastAsia="fr-CA"/>
              </w:rPr>
              <w:t>13</w:t>
            </w:r>
          </w:p>
        </w:tc>
        <w:tc>
          <w:tcPr>
            <w:tcW w:w="2751" w:type="dxa"/>
            <w:tcBorders>
              <w:top w:val="nil"/>
              <w:left w:val="nil"/>
              <w:bottom w:val="nil"/>
              <w:right w:val="nil"/>
            </w:tcBorders>
            <w:shd w:val="clear" w:color="auto" w:fill="auto"/>
            <w:noWrap/>
            <w:vAlign w:val="bottom"/>
            <w:hideMark/>
          </w:tcPr>
          <w:p w:rsidR="00230672" w:rsidRPr="00441F0A" w:rsidRDefault="00230672" w:rsidP="00305B4B">
            <w:pPr>
              <w:spacing w:after="0" w:line="240" w:lineRule="auto"/>
              <w:jc w:val="center"/>
              <w:rPr>
                <w:rFonts w:ascii="Times New Roman" w:eastAsia="Times New Roman" w:hAnsi="Times New Roman" w:cs="Times New Roman"/>
                <w:color w:val="FF0000"/>
                <w:sz w:val="24"/>
                <w:szCs w:val="24"/>
                <w:lang w:eastAsia="fr-CA"/>
              </w:rPr>
            </w:pPr>
            <w:r w:rsidRPr="00441F0A">
              <w:rPr>
                <w:rFonts w:ascii="Times New Roman" w:eastAsia="Times New Roman" w:hAnsi="Times New Roman" w:cs="Times New Roman"/>
                <w:color w:val="FF0000"/>
                <w:sz w:val="24"/>
                <w:szCs w:val="24"/>
                <w:lang w:eastAsia="fr-CA"/>
              </w:rPr>
              <w:t>13</w:t>
            </w:r>
          </w:p>
        </w:tc>
        <w:tc>
          <w:tcPr>
            <w:tcW w:w="4144" w:type="dxa"/>
            <w:tcBorders>
              <w:top w:val="nil"/>
              <w:left w:val="nil"/>
              <w:bottom w:val="nil"/>
              <w:right w:val="nil"/>
            </w:tcBorders>
            <w:shd w:val="clear" w:color="auto" w:fill="auto"/>
            <w:noWrap/>
            <w:vAlign w:val="bottom"/>
            <w:hideMark/>
          </w:tcPr>
          <w:p w:rsidR="00230672" w:rsidRPr="00441F0A" w:rsidRDefault="00230672" w:rsidP="00305B4B">
            <w:pPr>
              <w:spacing w:after="0" w:line="240" w:lineRule="auto"/>
              <w:rPr>
                <w:rFonts w:ascii="Times New Roman" w:eastAsia="Times New Roman" w:hAnsi="Times New Roman" w:cs="Times New Roman"/>
                <w:color w:val="000000"/>
                <w:sz w:val="24"/>
                <w:szCs w:val="24"/>
                <w:lang w:eastAsia="fr-CA"/>
              </w:rPr>
            </w:pPr>
          </w:p>
        </w:tc>
        <w:tc>
          <w:tcPr>
            <w:tcW w:w="164" w:type="dxa"/>
            <w:tcBorders>
              <w:top w:val="nil"/>
              <w:left w:val="nil"/>
              <w:bottom w:val="nil"/>
              <w:right w:val="nil"/>
            </w:tcBorders>
            <w:shd w:val="clear" w:color="auto" w:fill="auto"/>
            <w:noWrap/>
            <w:vAlign w:val="bottom"/>
            <w:hideMark/>
          </w:tcPr>
          <w:p w:rsidR="00230672" w:rsidRPr="00441F0A" w:rsidRDefault="00230672" w:rsidP="00305B4B">
            <w:pPr>
              <w:spacing w:after="0" w:line="240" w:lineRule="auto"/>
              <w:rPr>
                <w:rFonts w:ascii="Times New Roman" w:eastAsia="Times New Roman" w:hAnsi="Times New Roman" w:cs="Times New Roman"/>
                <w:color w:val="000000"/>
                <w:sz w:val="24"/>
                <w:szCs w:val="24"/>
                <w:lang w:eastAsia="fr-CA"/>
              </w:rPr>
            </w:pPr>
          </w:p>
        </w:tc>
        <w:tc>
          <w:tcPr>
            <w:tcW w:w="164" w:type="dxa"/>
            <w:tcBorders>
              <w:top w:val="nil"/>
              <w:left w:val="nil"/>
              <w:bottom w:val="nil"/>
              <w:right w:val="nil"/>
            </w:tcBorders>
            <w:shd w:val="clear" w:color="auto" w:fill="auto"/>
            <w:noWrap/>
            <w:vAlign w:val="bottom"/>
            <w:hideMark/>
          </w:tcPr>
          <w:p w:rsidR="00230672" w:rsidRPr="00441F0A" w:rsidRDefault="00230672" w:rsidP="00305B4B">
            <w:pPr>
              <w:spacing w:after="0" w:line="240" w:lineRule="auto"/>
              <w:rPr>
                <w:rFonts w:ascii="Times New Roman" w:eastAsia="Times New Roman" w:hAnsi="Times New Roman" w:cs="Times New Roman"/>
                <w:color w:val="000000"/>
                <w:sz w:val="24"/>
                <w:szCs w:val="24"/>
                <w:lang w:eastAsia="fr-CA"/>
              </w:rPr>
            </w:pPr>
          </w:p>
        </w:tc>
      </w:tr>
    </w:tbl>
    <w:p w:rsidR="00F22DBA" w:rsidRPr="00441F0A" w:rsidRDefault="00F22DBA" w:rsidP="00F90F3A">
      <w:pPr>
        <w:tabs>
          <w:tab w:val="left" w:pos="1751"/>
        </w:tabs>
        <w:rPr>
          <w:rFonts w:ascii="Times New Roman" w:hAnsi="Times New Roman" w:cs="Times New Roman"/>
          <w:sz w:val="24"/>
          <w:szCs w:val="24"/>
        </w:rPr>
      </w:pPr>
    </w:p>
    <w:p w:rsidR="00F22DBA" w:rsidRPr="00441F0A" w:rsidRDefault="00F22DBA">
      <w:pPr>
        <w:rPr>
          <w:rFonts w:ascii="Times New Roman" w:hAnsi="Times New Roman" w:cs="Times New Roman"/>
          <w:sz w:val="24"/>
          <w:szCs w:val="24"/>
        </w:rPr>
      </w:pPr>
      <w:r w:rsidRPr="00441F0A">
        <w:rPr>
          <w:rFonts w:ascii="Times New Roman" w:hAnsi="Times New Roman" w:cs="Times New Roman"/>
          <w:sz w:val="24"/>
          <w:szCs w:val="24"/>
        </w:rPr>
        <w:br w:type="page"/>
      </w:r>
    </w:p>
    <w:p w:rsidR="00E57237" w:rsidRPr="009A3991" w:rsidRDefault="00E57237" w:rsidP="009A3991">
      <w:pPr>
        <w:pStyle w:val="Titre1"/>
      </w:pPr>
      <w:bookmarkStart w:id="65" w:name="_Toc417486276"/>
      <w:r w:rsidRPr="009A3991">
        <w:lastRenderedPageBreak/>
        <w:t>A</w:t>
      </w:r>
      <w:r w:rsidR="007734AB">
        <w:t>NNEXE</w:t>
      </w:r>
      <w:r w:rsidRPr="009A3991">
        <w:t xml:space="preserve"> C</w:t>
      </w:r>
      <w:r w:rsidR="00470BEF" w:rsidRPr="009A3991">
        <w:t xml:space="preserve"> – Graphique Océan Bleu</w:t>
      </w:r>
      <w:bookmarkEnd w:id="65"/>
      <w:r w:rsidR="00910D16">
        <w:t xml:space="preserve"> </w:t>
      </w:r>
    </w:p>
    <w:p w:rsidR="00910D16" w:rsidRDefault="00910D16" w:rsidP="009A3991">
      <w:pPr>
        <w:pStyle w:val="Titre1"/>
        <w:sectPr w:rsidR="00910D16" w:rsidSect="005C7BD2">
          <w:pgSz w:w="12240" w:h="15840"/>
          <w:pgMar w:top="1440" w:right="1800" w:bottom="1440" w:left="1800" w:header="708" w:footer="708" w:gutter="0"/>
          <w:cols w:space="708"/>
          <w:docGrid w:linePitch="360"/>
        </w:sectPr>
      </w:pPr>
    </w:p>
    <w:p w:rsidR="00F22DBA" w:rsidRPr="009A3991" w:rsidRDefault="00910D16" w:rsidP="009A3991">
      <w:pPr>
        <w:pStyle w:val="Titre1"/>
      </w:pPr>
      <w:bookmarkStart w:id="66" w:name="_Toc417486277"/>
      <w:r>
        <w:lastRenderedPageBreak/>
        <w:t>ANNEXE D</w:t>
      </w:r>
      <w:r w:rsidR="00470BEF" w:rsidRPr="009A3991">
        <w:t xml:space="preserve"> - Sondage</w:t>
      </w:r>
      <w:bookmarkEnd w:id="66"/>
    </w:p>
    <w:p w:rsidR="00F22DBA" w:rsidRPr="00441F0A" w:rsidRDefault="00F22DBA" w:rsidP="00F22DBA">
      <w:pPr>
        <w:jc w:val="center"/>
        <w:rPr>
          <w:rFonts w:ascii="Times New Roman" w:hAnsi="Times New Roman" w:cs="Times New Roman"/>
          <w:sz w:val="24"/>
          <w:szCs w:val="24"/>
          <w:u w:val="single"/>
        </w:rPr>
      </w:pPr>
      <w:r w:rsidRPr="00441F0A">
        <w:rPr>
          <w:rFonts w:ascii="Times New Roman" w:hAnsi="Times New Roman" w:cs="Times New Roman"/>
          <w:sz w:val="24"/>
          <w:szCs w:val="24"/>
          <w:u w:val="single"/>
        </w:rPr>
        <w:t>Questions Sondage (Version française)</w:t>
      </w:r>
    </w:p>
    <w:p w:rsidR="00F22DBA" w:rsidRPr="001A5F5A" w:rsidRDefault="00F22DBA" w:rsidP="00540A65">
      <w:pPr>
        <w:pStyle w:val="Paragraphedeliste"/>
        <w:numPr>
          <w:ilvl w:val="0"/>
          <w:numId w:val="9"/>
        </w:numPr>
        <w:spacing w:line="360" w:lineRule="auto"/>
        <w:jc w:val="both"/>
        <w:rPr>
          <w:rFonts w:ascii="Times New Roman" w:hAnsi="Times New Roman" w:cs="Times New Roman"/>
          <w:sz w:val="24"/>
          <w:szCs w:val="24"/>
        </w:rPr>
      </w:pPr>
      <w:r w:rsidRPr="001A5F5A">
        <w:rPr>
          <w:rFonts w:ascii="Times New Roman" w:hAnsi="Times New Roman" w:cs="Times New Roman"/>
          <w:sz w:val="24"/>
          <w:szCs w:val="24"/>
        </w:rPr>
        <w:t>À quelle université étudiez-vous?</w:t>
      </w:r>
    </w:p>
    <w:p w:rsidR="00F22DBA" w:rsidRPr="001A5F5A" w:rsidRDefault="00F22DBA" w:rsidP="00540A65">
      <w:pPr>
        <w:pStyle w:val="Paragraphedeliste"/>
        <w:numPr>
          <w:ilvl w:val="0"/>
          <w:numId w:val="9"/>
        </w:numPr>
        <w:spacing w:line="360" w:lineRule="auto"/>
        <w:jc w:val="both"/>
        <w:rPr>
          <w:rFonts w:ascii="Times New Roman" w:hAnsi="Times New Roman" w:cs="Times New Roman"/>
          <w:sz w:val="24"/>
          <w:szCs w:val="24"/>
        </w:rPr>
      </w:pPr>
      <w:r w:rsidRPr="001A5F5A">
        <w:rPr>
          <w:rFonts w:ascii="Times New Roman" w:hAnsi="Times New Roman" w:cs="Times New Roman"/>
          <w:sz w:val="24"/>
          <w:szCs w:val="24"/>
        </w:rPr>
        <w:t>Dans quel programme universitaire étudiez-vous?</w:t>
      </w:r>
    </w:p>
    <w:p w:rsidR="00F22DBA" w:rsidRPr="001A5F5A" w:rsidRDefault="00F22DBA" w:rsidP="00540A65">
      <w:pPr>
        <w:pStyle w:val="Paragraphedeliste"/>
        <w:numPr>
          <w:ilvl w:val="0"/>
          <w:numId w:val="9"/>
        </w:numPr>
        <w:spacing w:line="360" w:lineRule="auto"/>
        <w:jc w:val="both"/>
        <w:rPr>
          <w:rFonts w:ascii="Times New Roman" w:hAnsi="Times New Roman" w:cs="Times New Roman"/>
          <w:sz w:val="24"/>
          <w:szCs w:val="24"/>
        </w:rPr>
      </w:pPr>
      <w:r w:rsidRPr="001A5F5A">
        <w:rPr>
          <w:rFonts w:ascii="Times New Roman" w:hAnsi="Times New Roman" w:cs="Times New Roman"/>
          <w:sz w:val="24"/>
          <w:szCs w:val="24"/>
        </w:rPr>
        <w:t>Dans quel pays est située votre université?</w:t>
      </w:r>
    </w:p>
    <w:p w:rsidR="00F22DBA" w:rsidRPr="001A5F5A" w:rsidRDefault="00F22DBA" w:rsidP="00540A65">
      <w:pPr>
        <w:pStyle w:val="Paragraphedeliste"/>
        <w:numPr>
          <w:ilvl w:val="0"/>
          <w:numId w:val="9"/>
        </w:numPr>
        <w:spacing w:line="360" w:lineRule="auto"/>
        <w:jc w:val="both"/>
        <w:rPr>
          <w:rFonts w:ascii="Times New Roman" w:hAnsi="Times New Roman" w:cs="Times New Roman"/>
          <w:sz w:val="24"/>
          <w:szCs w:val="24"/>
        </w:rPr>
      </w:pPr>
      <w:r w:rsidRPr="001A5F5A">
        <w:rPr>
          <w:rFonts w:ascii="Times New Roman" w:hAnsi="Times New Roman" w:cs="Times New Roman"/>
          <w:sz w:val="24"/>
          <w:szCs w:val="24"/>
        </w:rPr>
        <w:t>Dans quelle ville est située votre université?</w:t>
      </w:r>
    </w:p>
    <w:p w:rsidR="00F22DBA" w:rsidRPr="001A5F5A" w:rsidRDefault="00F22DBA" w:rsidP="00540A65">
      <w:pPr>
        <w:pStyle w:val="Paragraphedeliste"/>
        <w:numPr>
          <w:ilvl w:val="0"/>
          <w:numId w:val="9"/>
        </w:numPr>
        <w:spacing w:line="360" w:lineRule="auto"/>
        <w:jc w:val="both"/>
        <w:rPr>
          <w:rFonts w:ascii="Times New Roman" w:hAnsi="Times New Roman" w:cs="Times New Roman"/>
          <w:sz w:val="24"/>
          <w:szCs w:val="24"/>
        </w:rPr>
      </w:pPr>
      <w:r w:rsidRPr="001A5F5A">
        <w:rPr>
          <w:rFonts w:ascii="Times New Roman" w:hAnsi="Times New Roman" w:cs="Times New Roman"/>
          <w:sz w:val="24"/>
          <w:szCs w:val="24"/>
        </w:rPr>
        <w:t>À quel niveau d’étude êtes-vous ? (1 er cycle, etc.)</w:t>
      </w:r>
    </w:p>
    <w:p w:rsidR="00F22DBA" w:rsidRPr="001A5F5A" w:rsidRDefault="00F22DBA" w:rsidP="00540A65">
      <w:pPr>
        <w:pStyle w:val="Paragraphedeliste"/>
        <w:numPr>
          <w:ilvl w:val="0"/>
          <w:numId w:val="9"/>
        </w:numPr>
        <w:spacing w:line="360" w:lineRule="auto"/>
        <w:jc w:val="both"/>
        <w:rPr>
          <w:rFonts w:ascii="Times New Roman" w:hAnsi="Times New Roman" w:cs="Times New Roman"/>
          <w:sz w:val="24"/>
          <w:szCs w:val="24"/>
        </w:rPr>
      </w:pPr>
      <w:r w:rsidRPr="001A5F5A">
        <w:rPr>
          <w:rFonts w:ascii="Times New Roman" w:hAnsi="Times New Roman" w:cs="Times New Roman"/>
          <w:sz w:val="24"/>
          <w:szCs w:val="24"/>
        </w:rPr>
        <w:t>Combien payez-vous en frais de scolarité par session ? Tranches : 0-3000, etc.</w:t>
      </w:r>
    </w:p>
    <w:p w:rsidR="00F22DBA" w:rsidRPr="001A5F5A" w:rsidRDefault="00F22DBA" w:rsidP="00540A65">
      <w:pPr>
        <w:pStyle w:val="Paragraphedeliste"/>
        <w:numPr>
          <w:ilvl w:val="0"/>
          <w:numId w:val="9"/>
        </w:numPr>
        <w:spacing w:line="360" w:lineRule="auto"/>
        <w:jc w:val="both"/>
        <w:rPr>
          <w:rFonts w:ascii="Times New Roman" w:hAnsi="Times New Roman" w:cs="Times New Roman"/>
          <w:sz w:val="24"/>
          <w:szCs w:val="24"/>
        </w:rPr>
      </w:pPr>
      <w:r w:rsidRPr="001A5F5A">
        <w:rPr>
          <w:rFonts w:ascii="Times New Roman" w:hAnsi="Times New Roman" w:cs="Times New Roman"/>
          <w:sz w:val="24"/>
          <w:szCs w:val="24"/>
        </w:rPr>
        <w:t>En moyenne, quel est le nombre moyen d’étudiants présents dans vos salles de classe?</w:t>
      </w:r>
    </w:p>
    <w:p w:rsidR="00F22DBA" w:rsidRPr="001A5F5A" w:rsidRDefault="00F22DBA" w:rsidP="00540A65">
      <w:pPr>
        <w:pStyle w:val="Paragraphedeliste"/>
        <w:numPr>
          <w:ilvl w:val="0"/>
          <w:numId w:val="9"/>
        </w:numPr>
        <w:spacing w:line="360" w:lineRule="auto"/>
        <w:jc w:val="both"/>
        <w:rPr>
          <w:rFonts w:ascii="Times New Roman" w:hAnsi="Times New Roman" w:cs="Times New Roman"/>
          <w:sz w:val="24"/>
          <w:szCs w:val="24"/>
        </w:rPr>
      </w:pPr>
      <w:r w:rsidRPr="001A5F5A">
        <w:rPr>
          <w:rFonts w:ascii="Times New Roman" w:hAnsi="Times New Roman" w:cs="Times New Roman"/>
          <w:sz w:val="24"/>
          <w:szCs w:val="24"/>
        </w:rPr>
        <w:t>Quelle est la durée moyenne d’une session de cours?</w:t>
      </w:r>
    </w:p>
    <w:p w:rsidR="00F22DBA" w:rsidRPr="001A5F5A" w:rsidRDefault="00F22DBA" w:rsidP="00540A65">
      <w:pPr>
        <w:pStyle w:val="Paragraphedeliste"/>
        <w:numPr>
          <w:ilvl w:val="0"/>
          <w:numId w:val="9"/>
        </w:numPr>
        <w:spacing w:after="0" w:line="360" w:lineRule="auto"/>
        <w:jc w:val="both"/>
        <w:rPr>
          <w:rFonts w:ascii="Times New Roman" w:hAnsi="Times New Roman" w:cs="Times New Roman"/>
          <w:sz w:val="24"/>
          <w:szCs w:val="24"/>
        </w:rPr>
      </w:pPr>
      <w:r w:rsidRPr="001A5F5A">
        <w:rPr>
          <w:rFonts w:ascii="Times New Roman" w:hAnsi="Times New Roman" w:cs="Times New Roman"/>
          <w:sz w:val="24"/>
          <w:szCs w:val="24"/>
        </w:rPr>
        <w:t>Est-ce que votre école offre des cours en ligne ?</w:t>
      </w:r>
    </w:p>
    <w:p w:rsidR="00F22DBA" w:rsidRPr="001A5F5A" w:rsidRDefault="00F22DBA" w:rsidP="00540A65">
      <w:pPr>
        <w:pStyle w:val="Paragraphedeliste"/>
        <w:numPr>
          <w:ilvl w:val="0"/>
          <w:numId w:val="9"/>
        </w:numPr>
        <w:spacing w:after="0" w:line="360" w:lineRule="auto"/>
        <w:jc w:val="both"/>
        <w:rPr>
          <w:rFonts w:ascii="Times New Roman" w:hAnsi="Times New Roman" w:cs="Times New Roman"/>
          <w:sz w:val="24"/>
          <w:szCs w:val="24"/>
        </w:rPr>
      </w:pPr>
      <w:r w:rsidRPr="001A5F5A">
        <w:rPr>
          <w:rFonts w:ascii="Times New Roman" w:hAnsi="Times New Roman" w:cs="Times New Roman"/>
          <w:sz w:val="24"/>
          <w:szCs w:val="24"/>
        </w:rPr>
        <w:t>Si oui, comment évaluez-vous la structure de ces cours en ligne?</w:t>
      </w:r>
    </w:p>
    <w:p w:rsidR="00F22DBA" w:rsidRPr="001A5F5A" w:rsidRDefault="00F22DBA" w:rsidP="00540A65">
      <w:pPr>
        <w:pStyle w:val="Paragraphedeliste"/>
        <w:numPr>
          <w:ilvl w:val="0"/>
          <w:numId w:val="9"/>
        </w:numPr>
        <w:spacing w:line="360" w:lineRule="auto"/>
        <w:jc w:val="both"/>
        <w:rPr>
          <w:rFonts w:ascii="Times New Roman" w:hAnsi="Times New Roman" w:cs="Times New Roman"/>
          <w:sz w:val="24"/>
          <w:szCs w:val="24"/>
        </w:rPr>
      </w:pPr>
      <w:r w:rsidRPr="001A5F5A">
        <w:rPr>
          <w:rFonts w:ascii="Times New Roman" w:hAnsi="Times New Roman" w:cs="Times New Roman"/>
          <w:sz w:val="24"/>
          <w:szCs w:val="24"/>
        </w:rPr>
        <w:t>Est-ce que vos cours magistraux sont enregistrés sous forme vidéo afin de permettre une consultation ultérieure?</w:t>
      </w:r>
    </w:p>
    <w:p w:rsidR="00F22DBA" w:rsidRPr="001A5F5A" w:rsidRDefault="00F22DBA" w:rsidP="00540A65">
      <w:pPr>
        <w:pStyle w:val="Paragraphedeliste"/>
        <w:numPr>
          <w:ilvl w:val="0"/>
          <w:numId w:val="9"/>
        </w:numPr>
        <w:spacing w:line="360" w:lineRule="auto"/>
        <w:jc w:val="both"/>
        <w:rPr>
          <w:rFonts w:ascii="Times New Roman" w:hAnsi="Times New Roman" w:cs="Times New Roman"/>
          <w:sz w:val="24"/>
          <w:szCs w:val="24"/>
        </w:rPr>
      </w:pPr>
      <w:r w:rsidRPr="001A5F5A">
        <w:rPr>
          <w:rFonts w:ascii="Times New Roman" w:hAnsi="Times New Roman" w:cs="Times New Roman"/>
          <w:sz w:val="24"/>
          <w:szCs w:val="24"/>
        </w:rPr>
        <w:t xml:space="preserve">En général, comment évaluez-vous la performance de vos enseignants? </w:t>
      </w:r>
    </w:p>
    <w:p w:rsidR="00F22DBA" w:rsidRPr="001A5F5A" w:rsidRDefault="00F22DBA" w:rsidP="00540A65">
      <w:pPr>
        <w:pStyle w:val="Paragraphedeliste"/>
        <w:numPr>
          <w:ilvl w:val="0"/>
          <w:numId w:val="9"/>
        </w:numPr>
        <w:spacing w:line="360" w:lineRule="auto"/>
        <w:jc w:val="both"/>
        <w:rPr>
          <w:rFonts w:ascii="Times New Roman" w:hAnsi="Times New Roman" w:cs="Times New Roman"/>
          <w:sz w:val="24"/>
          <w:szCs w:val="24"/>
        </w:rPr>
      </w:pPr>
      <w:r w:rsidRPr="001A5F5A">
        <w:rPr>
          <w:rFonts w:ascii="Times New Roman" w:hAnsi="Times New Roman" w:cs="Times New Roman"/>
          <w:sz w:val="24"/>
          <w:szCs w:val="24"/>
        </w:rPr>
        <w:t>Comment évaluez-vous la qualité du programme dans lequel vous étudiez présentement?</w:t>
      </w:r>
    </w:p>
    <w:p w:rsidR="00F22DBA" w:rsidRPr="001A5F5A" w:rsidRDefault="00F22DBA" w:rsidP="00540A65">
      <w:pPr>
        <w:pStyle w:val="Paragraphedeliste"/>
        <w:numPr>
          <w:ilvl w:val="0"/>
          <w:numId w:val="9"/>
        </w:numPr>
        <w:spacing w:line="360" w:lineRule="auto"/>
        <w:jc w:val="both"/>
        <w:rPr>
          <w:rFonts w:ascii="Times New Roman" w:hAnsi="Times New Roman" w:cs="Times New Roman"/>
          <w:sz w:val="24"/>
          <w:szCs w:val="24"/>
        </w:rPr>
      </w:pPr>
      <w:r w:rsidRPr="001A5F5A">
        <w:rPr>
          <w:rFonts w:ascii="Times New Roman" w:hAnsi="Times New Roman" w:cs="Times New Roman"/>
          <w:sz w:val="24"/>
          <w:szCs w:val="24"/>
        </w:rPr>
        <w:t xml:space="preserve">Comment évaluez-vous la vie étudiante de votre université (activités parascolaires, soirées étudiantes, fêtes, etc.) ?  </w:t>
      </w:r>
    </w:p>
    <w:p w:rsidR="00F22DBA" w:rsidRPr="001A5F5A" w:rsidRDefault="00F22DBA" w:rsidP="00540A65">
      <w:pPr>
        <w:pStyle w:val="Paragraphedeliste"/>
        <w:numPr>
          <w:ilvl w:val="0"/>
          <w:numId w:val="9"/>
        </w:numPr>
        <w:spacing w:line="360" w:lineRule="auto"/>
        <w:jc w:val="both"/>
        <w:rPr>
          <w:rFonts w:ascii="Times New Roman" w:hAnsi="Times New Roman" w:cs="Times New Roman"/>
          <w:sz w:val="24"/>
          <w:szCs w:val="24"/>
        </w:rPr>
      </w:pPr>
      <w:r w:rsidRPr="001A5F5A">
        <w:rPr>
          <w:rFonts w:ascii="Times New Roman" w:hAnsi="Times New Roman" w:cs="Times New Roman"/>
          <w:sz w:val="24"/>
          <w:szCs w:val="24"/>
        </w:rPr>
        <w:t>Quel est votre sentiment d’appartenance face à votre université ?</w:t>
      </w:r>
    </w:p>
    <w:p w:rsidR="00F22DBA" w:rsidRPr="001A5F5A" w:rsidRDefault="00F22DBA" w:rsidP="00540A65">
      <w:pPr>
        <w:pStyle w:val="Paragraphedeliste"/>
        <w:numPr>
          <w:ilvl w:val="0"/>
          <w:numId w:val="9"/>
        </w:numPr>
        <w:spacing w:line="360" w:lineRule="auto"/>
        <w:jc w:val="both"/>
        <w:rPr>
          <w:rFonts w:ascii="Times New Roman" w:hAnsi="Times New Roman" w:cs="Times New Roman"/>
          <w:sz w:val="24"/>
          <w:szCs w:val="24"/>
        </w:rPr>
      </w:pPr>
      <w:r w:rsidRPr="001A5F5A">
        <w:rPr>
          <w:rFonts w:ascii="Times New Roman" w:hAnsi="Times New Roman" w:cs="Times New Roman"/>
          <w:sz w:val="24"/>
          <w:szCs w:val="24"/>
        </w:rPr>
        <w:t xml:space="preserve">Quelle note générale donneriez-vous à votre université?  </w:t>
      </w:r>
    </w:p>
    <w:p w:rsidR="00F22DBA" w:rsidRPr="001A5F5A" w:rsidRDefault="00F22DBA" w:rsidP="00540A65">
      <w:pPr>
        <w:pStyle w:val="Paragraphedeliste"/>
        <w:numPr>
          <w:ilvl w:val="0"/>
          <w:numId w:val="9"/>
        </w:numPr>
        <w:spacing w:line="360" w:lineRule="auto"/>
        <w:jc w:val="both"/>
        <w:rPr>
          <w:rFonts w:ascii="Times New Roman" w:hAnsi="Times New Roman" w:cs="Times New Roman"/>
          <w:sz w:val="24"/>
          <w:szCs w:val="24"/>
        </w:rPr>
      </w:pPr>
      <w:r w:rsidRPr="001A5F5A">
        <w:rPr>
          <w:rFonts w:ascii="Times New Roman" w:hAnsi="Times New Roman" w:cs="Times New Roman"/>
          <w:sz w:val="24"/>
          <w:szCs w:val="24"/>
        </w:rPr>
        <w:t>Parmi ces choix, quelle caractéristique a été la plus importante lors du choix de votre université? (Proximité de l’établissement – Existence d’un programme d’enseignement spécifique pas présent dans d’autres universités à proximité – Réputation du programme choisi et des enseignants – Réputation de la vie étudiante – Coût d’inscription à l’université choisie – Autre)</w:t>
      </w:r>
    </w:p>
    <w:p w:rsidR="00F22DBA" w:rsidRPr="001A5F5A" w:rsidRDefault="00F22DBA" w:rsidP="00540A65">
      <w:pPr>
        <w:pStyle w:val="Paragraphedeliste"/>
        <w:numPr>
          <w:ilvl w:val="0"/>
          <w:numId w:val="9"/>
        </w:numPr>
        <w:spacing w:line="360" w:lineRule="auto"/>
        <w:jc w:val="both"/>
        <w:rPr>
          <w:rFonts w:ascii="Times New Roman" w:hAnsi="Times New Roman" w:cs="Times New Roman"/>
          <w:sz w:val="24"/>
          <w:szCs w:val="24"/>
        </w:rPr>
      </w:pPr>
      <w:r w:rsidRPr="001A5F5A">
        <w:rPr>
          <w:rFonts w:ascii="Times New Roman" w:hAnsi="Times New Roman" w:cs="Times New Roman"/>
          <w:sz w:val="24"/>
          <w:szCs w:val="24"/>
        </w:rPr>
        <w:t>Selon vous, quelle caractéristique rend votre université supérieure ou inférieure aux autres? (Précisez si cette caractéristique rend votre université supérieure ou inférieure aux autres).</w:t>
      </w:r>
    </w:p>
    <w:p w:rsidR="001A5F5A" w:rsidRPr="001A5F5A" w:rsidRDefault="001A5F5A" w:rsidP="001A5F5A">
      <w:pPr>
        <w:rPr>
          <w:rFonts w:ascii="Times New Roman" w:hAnsi="Times New Roman" w:cs="Times New Roman"/>
          <w:b/>
          <w:noProof/>
          <w:sz w:val="24"/>
          <w:lang w:eastAsia="fr-CA"/>
        </w:rPr>
      </w:pPr>
      <w:r w:rsidRPr="001A5F5A">
        <w:rPr>
          <w:rFonts w:ascii="Times New Roman" w:hAnsi="Times New Roman" w:cs="Times New Roman"/>
          <w:b/>
          <w:noProof/>
          <w:sz w:val="24"/>
          <w:lang w:eastAsia="fr-CA"/>
        </w:rPr>
        <w:lastRenderedPageBreak/>
        <w:t xml:space="preserve">Résultats du sondage : </w:t>
      </w:r>
    </w:p>
    <w:p w:rsidR="001A5F5A" w:rsidRPr="001A5F5A" w:rsidRDefault="001A5F5A" w:rsidP="001A5F5A">
      <w:pPr>
        <w:spacing w:line="360" w:lineRule="auto"/>
        <w:jc w:val="both"/>
        <w:rPr>
          <w:rFonts w:ascii="Times New Roman" w:hAnsi="Times New Roman" w:cs="Times New Roman"/>
          <w:noProof/>
          <w:sz w:val="24"/>
          <w:szCs w:val="24"/>
          <w:u w:val="single"/>
          <w:lang w:eastAsia="fr-CA"/>
        </w:rPr>
      </w:pPr>
      <w:r w:rsidRPr="001A5F5A">
        <w:rPr>
          <w:rFonts w:ascii="Times New Roman" w:hAnsi="Times New Roman" w:cs="Times New Roman"/>
          <w:noProof/>
          <w:sz w:val="24"/>
          <w:szCs w:val="24"/>
          <w:lang w:eastAsia="fr-CA"/>
        </w:rPr>
        <w:t xml:space="preserve">          Voici</w:t>
      </w:r>
      <w:r>
        <w:rPr>
          <w:rFonts w:ascii="Times New Roman" w:hAnsi="Times New Roman" w:cs="Times New Roman"/>
          <w:noProof/>
          <w:sz w:val="24"/>
          <w:szCs w:val="24"/>
          <w:lang w:eastAsia="fr-CA"/>
        </w:rPr>
        <w:t>,</w:t>
      </w:r>
      <w:r w:rsidRPr="001A5F5A">
        <w:rPr>
          <w:rFonts w:ascii="Times New Roman" w:hAnsi="Times New Roman" w:cs="Times New Roman"/>
          <w:noProof/>
          <w:sz w:val="24"/>
          <w:szCs w:val="24"/>
          <w:lang w:eastAsia="fr-CA"/>
        </w:rPr>
        <w:t xml:space="preserve"> dans les pages suivantes</w:t>
      </w:r>
      <w:r>
        <w:rPr>
          <w:rFonts w:ascii="Times New Roman" w:hAnsi="Times New Roman" w:cs="Times New Roman"/>
          <w:noProof/>
          <w:sz w:val="24"/>
          <w:szCs w:val="24"/>
          <w:lang w:eastAsia="fr-CA"/>
        </w:rPr>
        <w:t>,</w:t>
      </w:r>
      <w:r w:rsidRPr="001A5F5A">
        <w:rPr>
          <w:rFonts w:ascii="Times New Roman" w:hAnsi="Times New Roman" w:cs="Times New Roman"/>
          <w:noProof/>
          <w:sz w:val="24"/>
          <w:szCs w:val="24"/>
          <w:lang w:eastAsia="fr-CA"/>
        </w:rPr>
        <w:t xml:space="preserve"> la compilation des résultats du sondage effectué auprès de 141 étudiants universitaires à travers le monde. Le but de ce sondage était principalement de faire ressortir les éléments qui rendent certaines universités supérieures à d’autres. Vous pourrez constater que le sondage a été rédigé sous deux versions, soit une francophone et l’autre anglophone afin de rejoindre le plus de répondants possible. Vous pourrez de même porter une attention particulière à la diversité de nos répondants (surtout dans la version anglophone) qui proviennent de plus de 43 universités différentes répartit dans près de 25 pays et dont certains étudiants sont issus d’institutions prestigieuses telles que Harvard, Stanford, UCLA et </w:t>
      </w:r>
      <w:hyperlink r:id="rId125" w:history="1">
        <w:r w:rsidRPr="001A5F5A">
          <w:rPr>
            <w:rStyle w:val="Lienhypertexte"/>
            <w:rFonts w:ascii="Times New Roman" w:hAnsi="Times New Roman" w:cs="Times New Roman"/>
            <w:color w:val="auto"/>
            <w:sz w:val="24"/>
            <w:szCs w:val="24"/>
            <w:shd w:val="clear" w:color="auto" w:fill="FFFFFF"/>
          </w:rPr>
          <w:t xml:space="preserve">Shanghai </w:t>
        </w:r>
        <w:proofErr w:type="spellStart"/>
        <w:r w:rsidRPr="001A5F5A">
          <w:rPr>
            <w:rStyle w:val="Lienhypertexte"/>
            <w:rFonts w:ascii="Times New Roman" w:hAnsi="Times New Roman" w:cs="Times New Roman"/>
            <w:color w:val="auto"/>
            <w:sz w:val="24"/>
            <w:szCs w:val="24"/>
            <w:shd w:val="clear" w:color="auto" w:fill="FFFFFF"/>
          </w:rPr>
          <w:t>university</w:t>
        </w:r>
        <w:proofErr w:type="spellEnd"/>
        <w:r w:rsidRPr="001A5F5A">
          <w:rPr>
            <w:rStyle w:val="Lienhypertexte"/>
            <w:rFonts w:ascii="Times New Roman" w:hAnsi="Times New Roman" w:cs="Times New Roman"/>
            <w:color w:val="auto"/>
            <w:sz w:val="24"/>
            <w:szCs w:val="24"/>
            <w:shd w:val="clear" w:color="auto" w:fill="FFFFFF"/>
          </w:rPr>
          <w:t xml:space="preserve"> of finance and </w:t>
        </w:r>
        <w:proofErr w:type="spellStart"/>
        <w:r w:rsidRPr="001A5F5A">
          <w:rPr>
            <w:rStyle w:val="Lienhypertexte"/>
            <w:rFonts w:ascii="Times New Roman" w:hAnsi="Times New Roman" w:cs="Times New Roman"/>
            <w:color w:val="auto"/>
            <w:sz w:val="24"/>
            <w:szCs w:val="24"/>
            <w:shd w:val="clear" w:color="auto" w:fill="FFFFFF"/>
          </w:rPr>
          <w:t>economics</w:t>
        </w:r>
        <w:proofErr w:type="spellEnd"/>
      </w:hyperlink>
      <w:r w:rsidRPr="001A5F5A">
        <w:rPr>
          <w:rFonts w:ascii="Times New Roman" w:hAnsi="Times New Roman" w:cs="Times New Roman"/>
          <w:noProof/>
          <w:sz w:val="24"/>
          <w:szCs w:val="24"/>
          <w:lang w:eastAsia="fr-CA"/>
        </w:rPr>
        <w:t>.</w:t>
      </w:r>
      <w:r w:rsidRPr="001A5F5A">
        <w:rPr>
          <w:rFonts w:ascii="Times New Roman" w:hAnsi="Times New Roman" w:cs="Times New Roman"/>
          <w:noProof/>
          <w:sz w:val="28"/>
          <w:szCs w:val="24"/>
          <w:u w:val="single"/>
          <w:lang w:eastAsia="fr-CA"/>
        </w:rPr>
        <w:t xml:space="preserve"> </w:t>
      </w:r>
    </w:p>
    <w:p w:rsidR="001A5F5A" w:rsidRDefault="001A5F5A" w:rsidP="001A5F5A">
      <w:pPr>
        <w:rPr>
          <w:noProof/>
          <w:lang w:eastAsia="fr-CA"/>
        </w:rPr>
      </w:pPr>
    </w:p>
    <w:p w:rsidR="008F35C8" w:rsidRDefault="001A5F5A" w:rsidP="001A5F5A">
      <w:pPr>
        <w:rPr>
          <w:noProof/>
          <w:lang w:eastAsia="fr-CA"/>
        </w:rPr>
      </w:pPr>
      <w:r w:rsidRPr="001A5F5A">
        <w:rPr>
          <w:rFonts w:ascii="Times New Roman" w:hAnsi="Times New Roman" w:cs="Times New Roman"/>
          <w:b/>
          <w:noProof/>
          <w:sz w:val="24"/>
          <w:szCs w:val="24"/>
          <w:lang w:eastAsia="fr-CA"/>
        </w:rPr>
        <w:t>Voici un aperçu de la répartition géographique des étudiants interrogés :</w:t>
      </w:r>
      <w:r w:rsidR="00E63459">
        <w:rPr>
          <w:noProof/>
          <w:lang w:eastAsia="fr-CA"/>
        </w:rPr>
        <w:drawing>
          <wp:inline distT="0" distB="0" distL="0" distR="0">
            <wp:extent cx="5734050" cy="4114800"/>
            <wp:effectExtent l="19050" t="0" r="0" b="0"/>
            <wp:docPr id="46" name="Image 5" descr="C:\Users\Célia\Documents\Administration des affaires\Hiver 2015\Gestion stratégique des entreprises\carte sondage université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élia\Documents\Administration des affaires\Hiver 2015\Gestion stratégique des entreprises\carte sondage universités.png"/>
                    <pic:cNvPicPr>
                      <a:picLocks noChangeAspect="1" noChangeArrowheads="1"/>
                    </pic:cNvPicPr>
                  </pic:nvPicPr>
                  <pic:blipFill>
                    <a:blip r:embed="rId126" cstate="print"/>
                    <a:srcRect/>
                    <a:stretch>
                      <a:fillRect/>
                    </a:stretch>
                  </pic:blipFill>
                  <pic:spPr bwMode="auto">
                    <a:xfrm>
                      <a:off x="0" y="0"/>
                      <a:ext cx="5734050" cy="4114800"/>
                    </a:xfrm>
                    <a:prstGeom prst="rect">
                      <a:avLst/>
                    </a:prstGeom>
                    <a:noFill/>
                    <a:ln w="9525">
                      <a:noFill/>
                      <a:miter lim="800000"/>
                      <a:headEnd/>
                      <a:tailEnd/>
                    </a:ln>
                  </pic:spPr>
                </pic:pic>
              </a:graphicData>
            </a:graphic>
          </wp:inline>
        </w:drawing>
      </w:r>
    </w:p>
    <w:p w:rsidR="008F35C8" w:rsidRDefault="008F35C8" w:rsidP="001A5F5A">
      <w:pPr>
        <w:rPr>
          <w:noProof/>
          <w:lang w:eastAsia="fr-CA"/>
        </w:rPr>
      </w:pPr>
    </w:p>
    <w:p w:rsidR="001A5F5A" w:rsidRDefault="001A5F5A" w:rsidP="001A5F5A"/>
    <w:p w:rsidR="001A5F5A" w:rsidRPr="001A5F5A" w:rsidRDefault="001A5F5A" w:rsidP="001A5F5A">
      <w:pPr>
        <w:rPr>
          <w:rFonts w:ascii="Times New Roman" w:hAnsi="Times New Roman" w:cs="Times New Roman"/>
          <w:b/>
          <w:sz w:val="24"/>
        </w:rPr>
      </w:pPr>
      <w:r w:rsidRPr="001A5F5A">
        <w:rPr>
          <w:rFonts w:ascii="Times New Roman" w:hAnsi="Times New Roman" w:cs="Times New Roman"/>
          <w:b/>
          <w:sz w:val="24"/>
        </w:rPr>
        <w:lastRenderedPageBreak/>
        <w:t xml:space="preserve">Résultats de la version francophone du sondage : </w:t>
      </w:r>
    </w:p>
    <w:p w:rsidR="001A5F5A" w:rsidRDefault="001A5F5A" w:rsidP="001A5F5A">
      <w:r>
        <w:rPr>
          <w:noProof/>
          <w:lang w:eastAsia="fr-CA"/>
        </w:rPr>
        <w:drawing>
          <wp:inline distT="0" distB="0" distL="0" distR="0">
            <wp:extent cx="5438775" cy="5695950"/>
            <wp:effectExtent l="19050" t="0" r="9525"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7" cstate="print"/>
                    <a:srcRect/>
                    <a:stretch>
                      <a:fillRect/>
                    </a:stretch>
                  </pic:blipFill>
                  <pic:spPr bwMode="auto">
                    <a:xfrm>
                      <a:off x="0" y="0"/>
                      <a:ext cx="5438775" cy="5695950"/>
                    </a:xfrm>
                    <a:prstGeom prst="rect">
                      <a:avLst/>
                    </a:prstGeom>
                    <a:noFill/>
                    <a:ln w="9525">
                      <a:noFill/>
                      <a:miter lim="800000"/>
                      <a:headEnd/>
                      <a:tailEnd/>
                    </a:ln>
                  </pic:spPr>
                </pic:pic>
              </a:graphicData>
            </a:graphic>
          </wp:inline>
        </w:drawing>
      </w:r>
    </w:p>
    <w:p w:rsidR="001A5F5A" w:rsidRDefault="001A5F5A" w:rsidP="001A5F5A">
      <w:r>
        <w:rPr>
          <w:noProof/>
          <w:lang w:eastAsia="fr-CA"/>
        </w:rPr>
        <w:lastRenderedPageBreak/>
        <w:drawing>
          <wp:inline distT="0" distB="0" distL="0" distR="0">
            <wp:extent cx="6200775" cy="8410575"/>
            <wp:effectExtent l="19050" t="0" r="9525"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8" cstate="print"/>
                    <a:srcRect/>
                    <a:stretch>
                      <a:fillRect/>
                    </a:stretch>
                  </pic:blipFill>
                  <pic:spPr bwMode="auto">
                    <a:xfrm>
                      <a:off x="0" y="0"/>
                      <a:ext cx="6200775" cy="8410575"/>
                    </a:xfrm>
                    <a:prstGeom prst="rect">
                      <a:avLst/>
                    </a:prstGeom>
                    <a:noFill/>
                    <a:ln w="9525">
                      <a:noFill/>
                      <a:miter lim="800000"/>
                      <a:headEnd/>
                      <a:tailEnd/>
                    </a:ln>
                  </pic:spPr>
                </pic:pic>
              </a:graphicData>
            </a:graphic>
          </wp:inline>
        </w:drawing>
      </w:r>
    </w:p>
    <w:p w:rsidR="001A5F5A" w:rsidRDefault="001A5F5A" w:rsidP="001A5F5A">
      <w:r>
        <w:rPr>
          <w:noProof/>
          <w:lang w:eastAsia="fr-CA"/>
        </w:rPr>
        <w:lastRenderedPageBreak/>
        <w:drawing>
          <wp:inline distT="0" distB="0" distL="0" distR="0">
            <wp:extent cx="5383090" cy="2257425"/>
            <wp:effectExtent l="19050" t="0" r="806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9" cstate="print"/>
                    <a:srcRect/>
                    <a:stretch>
                      <a:fillRect/>
                    </a:stretch>
                  </pic:blipFill>
                  <pic:spPr bwMode="auto">
                    <a:xfrm>
                      <a:off x="0" y="0"/>
                      <a:ext cx="5383090" cy="2257425"/>
                    </a:xfrm>
                    <a:prstGeom prst="rect">
                      <a:avLst/>
                    </a:prstGeom>
                    <a:noFill/>
                    <a:ln w="9525">
                      <a:noFill/>
                      <a:miter lim="800000"/>
                      <a:headEnd/>
                      <a:tailEnd/>
                    </a:ln>
                  </pic:spPr>
                </pic:pic>
              </a:graphicData>
            </a:graphic>
          </wp:inline>
        </w:drawing>
      </w:r>
    </w:p>
    <w:p w:rsidR="001A5F5A" w:rsidRDefault="001A5F5A" w:rsidP="001A5F5A">
      <w:pPr>
        <w:pStyle w:val="Paragraphedeliste"/>
        <w:ind w:left="360"/>
      </w:pPr>
      <w:r>
        <w:rPr>
          <w:noProof/>
          <w:lang w:eastAsia="fr-CA"/>
        </w:rPr>
        <w:drawing>
          <wp:inline distT="0" distB="0" distL="0" distR="0">
            <wp:extent cx="3048000" cy="2533650"/>
            <wp:effectExtent l="1905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0" cstate="print"/>
                    <a:srcRect/>
                    <a:stretch>
                      <a:fillRect/>
                    </a:stretch>
                  </pic:blipFill>
                  <pic:spPr bwMode="auto">
                    <a:xfrm>
                      <a:off x="0" y="0"/>
                      <a:ext cx="3048000" cy="2533650"/>
                    </a:xfrm>
                    <a:prstGeom prst="rect">
                      <a:avLst/>
                    </a:prstGeom>
                    <a:noFill/>
                    <a:ln w="9525">
                      <a:noFill/>
                      <a:miter lim="800000"/>
                      <a:headEnd/>
                      <a:tailEnd/>
                    </a:ln>
                  </pic:spPr>
                </pic:pic>
              </a:graphicData>
            </a:graphic>
          </wp:inline>
        </w:drawing>
      </w:r>
    </w:p>
    <w:p w:rsidR="001A5F5A" w:rsidRDefault="001A5F5A" w:rsidP="001A5F5A">
      <w:pPr>
        <w:pStyle w:val="Paragraphedeliste"/>
        <w:ind w:left="360"/>
      </w:pPr>
      <w:r>
        <w:rPr>
          <w:noProof/>
          <w:lang w:eastAsia="fr-CA"/>
        </w:rPr>
        <w:lastRenderedPageBreak/>
        <w:drawing>
          <wp:inline distT="0" distB="0" distL="0" distR="0">
            <wp:extent cx="3743325" cy="5029200"/>
            <wp:effectExtent l="19050" t="0" r="9525"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1" cstate="print"/>
                    <a:srcRect/>
                    <a:stretch>
                      <a:fillRect/>
                    </a:stretch>
                  </pic:blipFill>
                  <pic:spPr bwMode="auto">
                    <a:xfrm>
                      <a:off x="0" y="0"/>
                      <a:ext cx="3743325" cy="5029200"/>
                    </a:xfrm>
                    <a:prstGeom prst="rect">
                      <a:avLst/>
                    </a:prstGeom>
                    <a:noFill/>
                    <a:ln w="9525">
                      <a:noFill/>
                      <a:miter lim="800000"/>
                      <a:headEnd/>
                      <a:tailEnd/>
                    </a:ln>
                  </pic:spPr>
                </pic:pic>
              </a:graphicData>
            </a:graphic>
          </wp:inline>
        </w:drawing>
      </w:r>
    </w:p>
    <w:p w:rsidR="001A5F5A" w:rsidRDefault="001A5F5A" w:rsidP="001A5F5A">
      <w:r>
        <w:rPr>
          <w:noProof/>
          <w:lang w:eastAsia="fr-CA"/>
        </w:rPr>
        <w:drawing>
          <wp:anchor distT="0" distB="0" distL="114300" distR="114300" simplePos="0" relativeHeight="251647488" behindDoc="0" locked="0" layoutInCell="1" allowOverlap="1">
            <wp:simplePos x="0" y="0"/>
            <wp:positionH relativeFrom="column">
              <wp:posOffset>-200025</wp:posOffset>
            </wp:positionH>
            <wp:positionV relativeFrom="paragraph">
              <wp:posOffset>314325</wp:posOffset>
            </wp:positionV>
            <wp:extent cx="6248400" cy="2390775"/>
            <wp:effectExtent l="19050" t="0" r="0" b="0"/>
            <wp:wrapThrough wrapText="bothSides">
              <wp:wrapPolygon edited="0">
                <wp:start x="-66" y="0"/>
                <wp:lineTo x="-66" y="21514"/>
                <wp:lineTo x="21600" y="21514"/>
                <wp:lineTo x="21600" y="0"/>
                <wp:lineTo x="-66" y="0"/>
              </wp:wrapPolygon>
            </wp:wrapThrough>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2" cstate="print"/>
                    <a:srcRect/>
                    <a:stretch>
                      <a:fillRect/>
                    </a:stretch>
                  </pic:blipFill>
                  <pic:spPr bwMode="auto">
                    <a:xfrm>
                      <a:off x="0" y="0"/>
                      <a:ext cx="6248400" cy="2390775"/>
                    </a:xfrm>
                    <a:prstGeom prst="rect">
                      <a:avLst/>
                    </a:prstGeom>
                    <a:noFill/>
                    <a:ln w="9525">
                      <a:noFill/>
                      <a:miter lim="800000"/>
                      <a:headEnd/>
                      <a:tailEnd/>
                    </a:ln>
                  </pic:spPr>
                </pic:pic>
              </a:graphicData>
            </a:graphic>
          </wp:anchor>
        </w:drawing>
      </w:r>
    </w:p>
    <w:p w:rsidR="001A5F5A" w:rsidRPr="00381AFA" w:rsidRDefault="001A5F5A" w:rsidP="009A3991"/>
    <w:p w:rsidR="001A5F5A" w:rsidRDefault="001A5F5A" w:rsidP="001A5F5A">
      <w:pPr>
        <w:tabs>
          <w:tab w:val="left" w:pos="1185"/>
        </w:tabs>
      </w:pPr>
      <w:r>
        <w:lastRenderedPageBreak/>
        <w:tab/>
      </w:r>
      <w:r>
        <w:rPr>
          <w:noProof/>
          <w:lang w:eastAsia="fr-CA"/>
        </w:rPr>
        <w:drawing>
          <wp:inline distT="0" distB="0" distL="0" distR="0">
            <wp:extent cx="5143500" cy="1962150"/>
            <wp:effectExtent l="19050" t="0" r="0" b="0"/>
            <wp:docPr id="34"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3" cstate="print"/>
                    <a:srcRect/>
                    <a:stretch>
                      <a:fillRect/>
                    </a:stretch>
                  </pic:blipFill>
                  <pic:spPr bwMode="auto">
                    <a:xfrm>
                      <a:off x="0" y="0"/>
                      <a:ext cx="5143500" cy="1962150"/>
                    </a:xfrm>
                    <a:prstGeom prst="rect">
                      <a:avLst/>
                    </a:prstGeom>
                    <a:noFill/>
                    <a:ln w="9525">
                      <a:noFill/>
                      <a:miter lim="800000"/>
                      <a:headEnd/>
                      <a:tailEnd/>
                    </a:ln>
                  </pic:spPr>
                </pic:pic>
              </a:graphicData>
            </a:graphic>
          </wp:inline>
        </w:drawing>
      </w:r>
    </w:p>
    <w:p w:rsidR="001A5F5A" w:rsidRDefault="001A5F5A" w:rsidP="001A5F5A">
      <w:pPr>
        <w:tabs>
          <w:tab w:val="left" w:pos="1185"/>
        </w:tabs>
      </w:pPr>
      <w:r>
        <w:rPr>
          <w:noProof/>
          <w:lang w:eastAsia="fr-CA"/>
        </w:rPr>
        <w:drawing>
          <wp:inline distT="0" distB="0" distL="0" distR="0">
            <wp:extent cx="5057775" cy="2228850"/>
            <wp:effectExtent l="19050" t="0" r="9525" b="0"/>
            <wp:docPr id="12"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4" cstate="print"/>
                    <a:srcRect/>
                    <a:stretch>
                      <a:fillRect/>
                    </a:stretch>
                  </pic:blipFill>
                  <pic:spPr bwMode="auto">
                    <a:xfrm>
                      <a:off x="0" y="0"/>
                      <a:ext cx="5057775" cy="2228850"/>
                    </a:xfrm>
                    <a:prstGeom prst="rect">
                      <a:avLst/>
                    </a:prstGeom>
                    <a:noFill/>
                    <a:ln w="9525">
                      <a:noFill/>
                      <a:miter lim="800000"/>
                      <a:headEnd/>
                      <a:tailEnd/>
                    </a:ln>
                  </pic:spPr>
                </pic:pic>
              </a:graphicData>
            </a:graphic>
          </wp:inline>
        </w:drawing>
      </w:r>
    </w:p>
    <w:p w:rsidR="001A5F5A" w:rsidRDefault="001A5F5A" w:rsidP="001A5F5A">
      <w:pPr>
        <w:pStyle w:val="Paragraphedeliste"/>
        <w:tabs>
          <w:tab w:val="left" w:pos="1185"/>
        </w:tabs>
        <w:ind w:left="360"/>
      </w:pPr>
      <w:r>
        <w:rPr>
          <w:noProof/>
          <w:lang w:eastAsia="fr-CA"/>
        </w:rPr>
        <w:drawing>
          <wp:inline distT="0" distB="0" distL="0" distR="0">
            <wp:extent cx="4667250" cy="2124075"/>
            <wp:effectExtent l="19050" t="0" r="0" b="0"/>
            <wp:docPr id="13"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5" cstate="print"/>
                    <a:srcRect/>
                    <a:stretch>
                      <a:fillRect/>
                    </a:stretch>
                  </pic:blipFill>
                  <pic:spPr bwMode="auto">
                    <a:xfrm>
                      <a:off x="0" y="0"/>
                      <a:ext cx="4667250" cy="2124075"/>
                    </a:xfrm>
                    <a:prstGeom prst="rect">
                      <a:avLst/>
                    </a:prstGeom>
                    <a:noFill/>
                    <a:ln w="9525">
                      <a:noFill/>
                      <a:miter lim="800000"/>
                      <a:headEnd/>
                      <a:tailEnd/>
                    </a:ln>
                  </pic:spPr>
                </pic:pic>
              </a:graphicData>
            </a:graphic>
          </wp:inline>
        </w:drawing>
      </w:r>
    </w:p>
    <w:p w:rsidR="001A5F5A" w:rsidRDefault="001A5F5A" w:rsidP="001A5F5A">
      <w:pPr>
        <w:tabs>
          <w:tab w:val="left" w:pos="1185"/>
        </w:tabs>
      </w:pPr>
      <w:r>
        <w:rPr>
          <w:noProof/>
          <w:lang w:eastAsia="fr-CA"/>
        </w:rPr>
        <w:lastRenderedPageBreak/>
        <w:drawing>
          <wp:inline distT="0" distB="0" distL="0" distR="0">
            <wp:extent cx="5876925" cy="2790825"/>
            <wp:effectExtent l="19050" t="0" r="952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6" cstate="print"/>
                    <a:srcRect/>
                    <a:stretch>
                      <a:fillRect/>
                    </a:stretch>
                  </pic:blipFill>
                  <pic:spPr bwMode="auto">
                    <a:xfrm>
                      <a:off x="0" y="0"/>
                      <a:ext cx="5876925" cy="2790825"/>
                    </a:xfrm>
                    <a:prstGeom prst="rect">
                      <a:avLst/>
                    </a:prstGeom>
                    <a:noFill/>
                    <a:ln w="9525">
                      <a:noFill/>
                      <a:miter lim="800000"/>
                      <a:headEnd/>
                      <a:tailEnd/>
                    </a:ln>
                  </pic:spPr>
                </pic:pic>
              </a:graphicData>
            </a:graphic>
          </wp:inline>
        </w:drawing>
      </w:r>
    </w:p>
    <w:p w:rsidR="001A5F5A" w:rsidRDefault="001A5F5A" w:rsidP="001A5F5A">
      <w:pPr>
        <w:tabs>
          <w:tab w:val="left" w:pos="1185"/>
        </w:tabs>
      </w:pPr>
      <w:r>
        <w:rPr>
          <w:noProof/>
          <w:lang w:eastAsia="fr-CA"/>
        </w:rPr>
        <w:drawing>
          <wp:inline distT="0" distB="0" distL="0" distR="0">
            <wp:extent cx="5177470" cy="2276475"/>
            <wp:effectExtent l="19050" t="0" r="4130" b="0"/>
            <wp:docPr id="35"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7" cstate="print"/>
                    <a:srcRect/>
                    <a:stretch>
                      <a:fillRect/>
                    </a:stretch>
                  </pic:blipFill>
                  <pic:spPr bwMode="auto">
                    <a:xfrm>
                      <a:off x="0" y="0"/>
                      <a:ext cx="5177470" cy="2276475"/>
                    </a:xfrm>
                    <a:prstGeom prst="rect">
                      <a:avLst/>
                    </a:prstGeom>
                    <a:noFill/>
                    <a:ln w="9525">
                      <a:noFill/>
                      <a:miter lim="800000"/>
                      <a:headEnd/>
                      <a:tailEnd/>
                    </a:ln>
                  </pic:spPr>
                </pic:pic>
              </a:graphicData>
            </a:graphic>
          </wp:inline>
        </w:drawing>
      </w:r>
    </w:p>
    <w:p w:rsidR="001A5F5A" w:rsidRDefault="001A5F5A" w:rsidP="001A5F5A">
      <w:pPr>
        <w:pStyle w:val="Paragraphedeliste"/>
        <w:tabs>
          <w:tab w:val="left" w:pos="1185"/>
        </w:tabs>
        <w:ind w:left="360"/>
      </w:pPr>
      <w:r>
        <w:rPr>
          <w:noProof/>
          <w:lang w:eastAsia="fr-CA"/>
        </w:rPr>
        <w:drawing>
          <wp:anchor distT="0" distB="0" distL="114300" distR="114300" simplePos="0" relativeHeight="251650560" behindDoc="0" locked="0" layoutInCell="1" allowOverlap="1">
            <wp:simplePos x="0" y="0"/>
            <wp:positionH relativeFrom="column">
              <wp:posOffset>19050</wp:posOffset>
            </wp:positionH>
            <wp:positionV relativeFrom="paragraph">
              <wp:posOffset>1684020</wp:posOffset>
            </wp:positionV>
            <wp:extent cx="5876925" cy="1152525"/>
            <wp:effectExtent l="19050" t="0" r="9525" b="0"/>
            <wp:wrapThrough wrapText="bothSides">
              <wp:wrapPolygon edited="0">
                <wp:start x="-70" y="0"/>
                <wp:lineTo x="-70" y="21421"/>
                <wp:lineTo x="21635" y="21421"/>
                <wp:lineTo x="21635" y="0"/>
                <wp:lineTo x="-70" y="0"/>
              </wp:wrapPolygon>
            </wp:wrapThrough>
            <wp:docPr id="37"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8" cstate="print"/>
                    <a:srcRect/>
                    <a:stretch>
                      <a:fillRect/>
                    </a:stretch>
                  </pic:blipFill>
                  <pic:spPr bwMode="auto">
                    <a:xfrm>
                      <a:off x="0" y="0"/>
                      <a:ext cx="5876925" cy="1152525"/>
                    </a:xfrm>
                    <a:prstGeom prst="rect">
                      <a:avLst/>
                    </a:prstGeom>
                    <a:noFill/>
                    <a:ln w="9525">
                      <a:noFill/>
                      <a:miter lim="800000"/>
                      <a:headEnd/>
                      <a:tailEnd/>
                    </a:ln>
                  </pic:spPr>
                </pic:pic>
              </a:graphicData>
            </a:graphic>
          </wp:anchor>
        </w:drawing>
      </w:r>
      <w:r>
        <w:rPr>
          <w:noProof/>
          <w:lang w:eastAsia="fr-CA"/>
        </w:rPr>
        <w:drawing>
          <wp:inline distT="0" distB="0" distL="0" distR="0">
            <wp:extent cx="6056987" cy="1314450"/>
            <wp:effectExtent l="19050" t="0" r="913" b="0"/>
            <wp:docPr id="36"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9" cstate="print"/>
                    <a:srcRect/>
                    <a:stretch>
                      <a:fillRect/>
                    </a:stretch>
                  </pic:blipFill>
                  <pic:spPr bwMode="auto">
                    <a:xfrm>
                      <a:off x="0" y="0"/>
                      <a:ext cx="6075787" cy="1318530"/>
                    </a:xfrm>
                    <a:prstGeom prst="rect">
                      <a:avLst/>
                    </a:prstGeom>
                    <a:noFill/>
                    <a:ln w="9525">
                      <a:noFill/>
                      <a:miter lim="800000"/>
                      <a:headEnd/>
                      <a:tailEnd/>
                    </a:ln>
                  </pic:spPr>
                </pic:pic>
              </a:graphicData>
            </a:graphic>
          </wp:inline>
        </w:drawing>
      </w:r>
    </w:p>
    <w:p w:rsidR="001A5F5A" w:rsidRDefault="001A5F5A" w:rsidP="001A5F5A">
      <w:pPr>
        <w:tabs>
          <w:tab w:val="left" w:pos="1185"/>
        </w:tabs>
      </w:pPr>
    </w:p>
    <w:p w:rsidR="001A5F5A" w:rsidRDefault="001A5F5A" w:rsidP="001A5F5A">
      <w:pPr>
        <w:pStyle w:val="Paragraphedeliste"/>
        <w:tabs>
          <w:tab w:val="left" w:pos="1185"/>
        </w:tabs>
        <w:ind w:left="360"/>
      </w:pPr>
    </w:p>
    <w:p w:rsidR="001A5F5A" w:rsidRDefault="001A5F5A" w:rsidP="001A5F5A">
      <w:pPr>
        <w:pStyle w:val="Paragraphedeliste"/>
        <w:tabs>
          <w:tab w:val="left" w:pos="1185"/>
        </w:tabs>
        <w:ind w:left="360"/>
      </w:pPr>
      <w:r>
        <w:rPr>
          <w:noProof/>
          <w:lang w:eastAsia="fr-CA"/>
        </w:rPr>
        <w:drawing>
          <wp:inline distT="0" distB="0" distL="0" distR="0">
            <wp:extent cx="5619750" cy="1323975"/>
            <wp:effectExtent l="1905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0" cstate="print"/>
                    <a:srcRect/>
                    <a:stretch>
                      <a:fillRect/>
                    </a:stretch>
                  </pic:blipFill>
                  <pic:spPr bwMode="auto">
                    <a:xfrm>
                      <a:off x="0" y="0"/>
                      <a:ext cx="5619750" cy="1323975"/>
                    </a:xfrm>
                    <a:prstGeom prst="rect">
                      <a:avLst/>
                    </a:prstGeom>
                    <a:noFill/>
                    <a:ln w="9525">
                      <a:noFill/>
                      <a:miter lim="800000"/>
                      <a:headEnd/>
                      <a:tailEnd/>
                    </a:ln>
                  </pic:spPr>
                </pic:pic>
              </a:graphicData>
            </a:graphic>
          </wp:inline>
        </w:drawing>
      </w:r>
    </w:p>
    <w:p w:rsidR="001A5F5A" w:rsidRDefault="001A5F5A" w:rsidP="001A5F5A">
      <w:pPr>
        <w:tabs>
          <w:tab w:val="left" w:pos="1185"/>
        </w:tabs>
      </w:pPr>
      <w:r>
        <w:rPr>
          <w:noProof/>
          <w:lang w:eastAsia="fr-CA"/>
        </w:rPr>
        <w:drawing>
          <wp:anchor distT="0" distB="0" distL="114300" distR="114300" simplePos="0" relativeHeight="251648512" behindDoc="0" locked="0" layoutInCell="1" allowOverlap="1">
            <wp:simplePos x="0" y="0"/>
            <wp:positionH relativeFrom="column">
              <wp:posOffset>-371475</wp:posOffset>
            </wp:positionH>
            <wp:positionV relativeFrom="paragraph">
              <wp:posOffset>381635</wp:posOffset>
            </wp:positionV>
            <wp:extent cx="6334125" cy="3581400"/>
            <wp:effectExtent l="19050" t="0" r="9525" b="0"/>
            <wp:wrapThrough wrapText="bothSides">
              <wp:wrapPolygon edited="0">
                <wp:start x="-65" y="0"/>
                <wp:lineTo x="-65" y="21485"/>
                <wp:lineTo x="21632" y="21485"/>
                <wp:lineTo x="21632" y="0"/>
                <wp:lineTo x="-65" y="0"/>
              </wp:wrapPolygon>
            </wp:wrapThrough>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1" cstate="print"/>
                    <a:srcRect/>
                    <a:stretch>
                      <a:fillRect/>
                    </a:stretch>
                  </pic:blipFill>
                  <pic:spPr bwMode="auto">
                    <a:xfrm>
                      <a:off x="0" y="0"/>
                      <a:ext cx="6334125" cy="3581400"/>
                    </a:xfrm>
                    <a:prstGeom prst="rect">
                      <a:avLst/>
                    </a:prstGeom>
                    <a:noFill/>
                    <a:ln w="9525">
                      <a:noFill/>
                      <a:miter lim="800000"/>
                      <a:headEnd/>
                      <a:tailEnd/>
                    </a:ln>
                  </pic:spPr>
                </pic:pic>
              </a:graphicData>
            </a:graphic>
          </wp:anchor>
        </w:drawing>
      </w:r>
    </w:p>
    <w:p w:rsidR="001A5F5A" w:rsidRDefault="001A5F5A" w:rsidP="001A5F5A">
      <w:pPr>
        <w:tabs>
          <w:tab w:val="left" w:pos="1185"/>
        </w:tabs>
      </w:pPr>
    </w:p>
    <w:p w:rsidR="001A5F5A" w:rsidRDefault="001A5F5A" w:rsidP="001A5F5A">
      <w:pPr>
        <w:pStyle w:val="Paragraphedeliste"/>
        <w:tabs>
          <w:tab w:val="left" w:pos="1185"/>
        </w:tabs>
        <w:ind w:left="360"/>
      </w:pPr>
      <w:r>
        <w:rPr>
          <w:noProof/>
          <w:lang w:eastAsia="fr-CA"/>
        </w:rPr>
        <w:lastRenderedPageBreak/>
        <w:drawing>
          <wp:anchor distT="0" distB="0" distL="114300" distR="114300" simplePos="0" relativeHeight="251649536" behindDoc="0" locked="0" layoutInCell="1" allowOverlap="1">
            <wp:simplePos x="0" y="0"/>
            <wp:positionH relativeFrom="column">
              <wp:posOffset>-238125</wp:posOffset>
            </wp:positionH>
            <wp:positionV relativeFrom="paragraph">
              <wp:posOffset>0</wp:posOffset>
            </wp:positionV>
            <wp:extent cx="6200775" cy="7791450"/>
            <wp:effectExtent l="19050" t="0" r="9525" b="0"/>
            <wp:wrapThrough wrapText="bothSides">
              <wp:wrapPolygon edited="0">
                <wp:start x="-66" y="0"/>
                <wp:lineTo x="-66" y="21547"/>
                <wp:lineTo x="21633" y="21547"/>
                <wp:lineTo x="21633" y="0"/>
                <wp:lineTo x="-66" y="0"/>
              </wp:wrapPolygon>
            </wp:wrapThrough>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2" cstate="print"/>
                    <a:srcRect/>
                    <a:stretch>
                      <a:fillRect/>
                    </a:stretch>
                  </pic:blipFill>
                  <pic:spPr bwMode="auto">
                    <a:xfrm>
                      <a:off x="0" y="0"/>
                      <a:ext cx="6200775" cy="7791450"/>
                    </a:xfrm>
                    <a:prstGeom prst="rect">
                      <a:avLst/>
                    </a:prstGeom>
                    <a:noFill/>
                    <a:ln w="9525">
                      <a:noFill/>
                      <a:miter lim="800000"/>
                      <a:headEnd/>
                      <a:tailEnd/>
                    </a:ln>
                  </pic:spPr>
                </pic:pic>
              </a:graphicData>
            </a:graphic>
          </wp:anchor>
        </w:drawing>
      </w:r>
    </w:p>
    <w:p w:rsidR="001A5F5A" w:rsidRDefault="001A5F5A" w:rsidP="001A5F5A">
      <w:pPr>
        <w:pStyle w:val="Paragraphedeliste"/>
        <w:tabs>
          <w:tab w:val="left" w:pos="1185"/>
        </w:tabs>
        <w:ind w:left="360"/>
        <w:rPr>
          <w:rFonts w:ascii="Times New Roman" w:hAnsi="Times New Roman" w:cs="Times New Roman"/>
          <w:b/>
          <w:sz w:val="24"/>
        </w:rPr>
      </w:pPr>
    </w:p>
    <w:p w:rsidR="001A5F5A" w:rsidRPr="001A5F5A" w:rsidRDefault="001A5F5A" w:rsidP="001A5F5A">
      <w:pPr>
        <w:tabs>
          <w:tab w:val="left" w:pos="1185"/>
        </w:tabs>
        <w:rPr>
          <w:rFonts w:ascii="Times New Roman" w:hAnsi="Times New Roman" w:cs="Times New Roman"/>
          <w:b/>
          <w:sz w:val="24"/>
        </w:rPr>
      </w:pPr>
      <w:r w:rsidRPr="001A5F5A">
        <w:rPr>
          <w:rFonts w:ascii="Times New Roman" w:hAnsi="Times New Roman" w:cs="Times New Roman"/>
          <w:b/>
          <w:sz w:val="24"/>
        </w:rPr>
        <w:lastRenderedPageBreak/>
        <w:t xml:space="preserve">Résultats de la version anglophone du sondage: </w:t>
      </w:r>
    </w:p>
    <w:p w:rsidR="001A5F5A" w:rsidRPr="001A5F5A" w:rsidRDefault="001A5F5A" w:rsidP="001A5F5A">
      <w:pPr>
        <w:tabs>
          <w:tab w:val="left" w:pos="1185"/>
        </w:tabs>
        <w:rPr>
          <w:b/>
        </w:rPr>
      </w:pPr>
      <w:r>
        <w:rPr>
          <w:noProof/>
          <w:lang w:eastAsia="fr-CA"/>
        </w:rPr>
        <w:drawing>
          <wp:inline distT="0" distB="0" distL="0" distR="0">
            <wp:extent cx="5305425" cy="4619625"/>
            <wp:effectExtent l="19050" t="0" r="9525"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43" cstate="print"/>
                    <a:srcRect/>
                    <a:stretch>
                      <a:fillRect/>
                    </a:stretch>
                  </pic:blipFill>
                  <pic:spPr bwMode="auto">
                    <a:xfrm>
                      <a:off x="0" y="0"/>
                      <a:ext cx="5305425" cy="4619625"/>
                    </a:xfrm>
                    <a:prstGeom prst="rect">
                      <a:avLst/>
                    </a:prstGeom>
                    <a:noFill/>
                    <a:ln w="9525">
                      <a:noFill/>
                      <a:miter lim="800000"/>
                      <a:headEnd/>
                      <a:tailEnd/>
                    </a:ln>
                  </pic:spPr>
                </pic:pic>
              </a:graphicData>
            </a:graphic>
          </wp:inline>
        </w:drawing>
      </w:r>
    </w:p>
    <w:p w:rsidR="001A5F5A" w:rsidRPr="001A5F5A" w:rsidRDefault="001A5F5A" w:rsidP="001A5F5A">
      <w:pPr>
        <w:tabs>
          <w:tab w:val="left" w:pos="1185"/>
        </w:tabs>
        <w:rPr>
          <w:b/>
        </w:rPr>
      </w:pPr>
      <w:r>
        <w:rPr>
          <w:noProof/>
          <w:lang w:eastAsia="fr-CA"/>
        </w:rPr>
        <w:lastRenderedPageBreak/>
        <w:drawing>
          <wp:inline distT="0" distB="0" distL="0" distR="0">
            <wp:extent cx="4610100" cy="4810125"/>
            <wp:effectExtent l="19050" t="0"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4" cstate="print"/>
                    <a:srcRect/>
                    <a:stretch>
                      <a:fillRect/>
                    </a:stretch>
                  </pic:blipFill>
                  <pic:spPr bwMode="auto">
                    <a:xfrm>
                      <a:off x="0" y="0"/>
                      <a:ext cx="4610100" cy="4810125"/>
                    </a:xfrm>
                    <a:prstGeom prst="rect">
                      <a:avLst/>
                    </a:prstGeom>
                    <a:noFill/>
                    <a:ln w="9525">
                      <a:noFill/>
                      <a:miter lim="800000"/>
                      <a:headEnd/>
                      <a:tailEnd/>
                    </a:ln>
                  </pic:spPr>
                </pic:pic>
              </a:graphicData>
            </a:graphic>
          </wp:inline>
        </w:drawing>
      </w:r>
    </w:p>
    <w:p w:rsidR="001A5F5A" w:rsidRPr="001A5F5A" w:rsidRDefault="001A5F5A" w:rsidP="001A5F5A">
      <w:pPr>
        <w:tabs>
          <w:tab w:val="left" w:pos="1185"/>
        </w:tabs>
        <w:rPr>
          <w:b/>
        </w:rPr>
      </w:pPr>
    </w:p>
    <w:p w:rsidR="001A5F5A" w:rsidRPr="001A5F5A" w:rsidRDefault="001A5F5A" w:rsidP="001A5F5A">
      <w:pPr>
        <w:tabs>
          <w:tab w:val="left" w:pos="1185"/>
        </w:tabs>
        <w:rPr>
          <w:b/>
        </w:rPr>
      </w:pPr>
      <w:r>
        <w:rPr>
          <w:noProof/>
          <w:lang w:eastAsia="fr-CA"/>
        </w:rPr>
        <w:drawing>
          <wp:inline distT="0" distB="0" distL="0" distR="0">
            <wp:extent cx="5324475" cy="1028700"/>
            <wp:effectExtent l="19050" t="0" r="952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5" cstate="print"/>
                    <a:srcRect/>
                    <a:stretch>
                      <a:fillRect/>
                    </a:stretch>
                  </pic:blipFill>
                  <pic:spPr bwMode="auto">
                    <a:xfrm>
                      <a:off x="0" y="0"/>
                      <a:ext cx="5324475" cy="1028700"/>
                    </a:xfrm>
                    <a:prstGeom prst="rect">
                      <a:avLst/>
                    </a:prstGeom>
                    <a:noFill/>
                    <a:ln w="9525">
                      <a:noFill/>
                      <a:miter lim="800000"/>
                      <a:headEnd/>
                      <a:tailEnd/>
                    </a:ln>
                  </pic:spPr>
                </pic:pic>
              </a:graphicData>
            </a:graphic>
          </wp:inline>
        </w:drawing>
      </w:r>
    </w:p>
    <w:p w:rsidR="001A5F5A" w:rsidRPr="001A5F5A" w:rsidRDefault="001A5F5A" w:rsidP="001A5F5A">
      <w:pPr>
        <w:tabs>
          <w:tab w:val="left" w:pos="1185"/>
        </w:tabs>
        <w:rPr>
          <w:b/>
        </w:rPr>
      </w:pPr>
      <w:r>
        <w:rPr>
          <w:noProof/>
          <w:lang w:eastAsia="fr-CA"/>
        </w:rPr>
        <w:lastRenderedPageBreak/>
        <w:drawing>
          <wp:inline distT="0" distB="0" distL="0" distR="0">
            <wp:extent cx="3819525" cy="2924175"/>
            <wp:effectExtent l="19050" t="0" r="9525"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6" cstate="print"/>
                    <a:srcRect/>
                    <a:stretch>
                      <a:fillRect/>
                    </a:stretch>
                  </pic:blipFill>
                  <pic:spPr bwMode="auto">
                    <a:xfrm>
                      <a:off x="0" y="0"/>
                      <a:ext cx="3819525" cy="2924175"/>
                    </a:xfrm>
                    <a:prstGeom prst="rect">
                      <a:avLst/>
                    </a:prstGeom>
                    <a:noFill/>
                    <a:ln w="9525">
                      <a:noFill/>
                      <a:miter lim="800000"/>
                      <a:headEnd/>
                      <a:tailEnd/>
                    </a:ln>
                  </pic:spPr>
                </pic:pic>
              </a:graphicData>
            </a:graphic>
          </wp:inline>
        </w:drawing>
      </w:r>
    </w:p>
    <w:p w:rsidR="001A5F5A" w:rsidRPr="001A5F5A" w:rsidRDefault="001A5F5A" w:rsidP="001A5F5A">
      <w:pPr>
        <w:tabs>
          <w:tab w:val="left" w:pos="1185"/>
        </w:tabs>
        <w:rPr>
          <w:b/>
        </w:rPr>
      </w:pPr>
      <w:r>
        <w:rPr>
          <w:noProof/>
          <w:lang w:eastAsia="fr-CA"/>
        </w:rPr>
        <w:drawing>
          <wp:inline distT="0" distB="0" distL="0" distR="0">
            <wp:extent cx="1809750" cy="4505325"/>
            <wp:effectExtent l="1905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7" cstate="print"/>
                    <a:srcRect/>
                    <a:stretch>
                      <a:fillRect/>
                    </a:stretch>
                  </pic:blipFill>
                  <pic:spPr bwMode="auto">
                    <a:xfrm>
                      <a:off x="0" y="0"/>
                      <a:ext cx="1809750" cy="4505325"/>
                    </a:xfrm>
                    <a:prstGeom prst="rect">
                      <a:avLst/>
                    </a:prstGeom>
                    <a:noFill/>
                    <a:ln w="9525">
                      <a:noFill/>
                      <a:miter lim="800000"/>
                      <a:headEnd/>
                      <a:tailEnd/>
                    </a:ln>
                  </pic:spPr>
                </pic:pic>
              </a:graphicData>
            </a:graphic>
          </wp:inline>
        </w:drawing>
      </w:r>
      <w:r>
        <w:rPr>
          <w:noProof/>
          <w:lang w:eastAsia="fr-CA"/>
        </w:rPr>
        <w:drawing>
          <wp:inline distT="0" distB="0" distL="0" distR="0">
            <wp:extent cx="1085850" cy="3990975"/>
            <wp:effectExtent l="1905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8" cstate="print"/>
                    <a:srcRect/>
                    <a:stretch>
                      <a:fillRect/>
                    </a:stretch>
                  </pic:blipFill>
                  <pic:spPr bwMode="auto">
                    <a:xfrm>
                      <a:off x="0" y="0"/>
                      <a:ext cx="1085850" cy="3990975"/>
                    </a:xfrm>
                    <a:prstGeom prst="rect">
                      <a:avLst/>
                    </a:prstGeom>
                    <a:noFill/>
                    <a:ln w="9525">
                      <a:noFill/>
                      <a:miter lim="800000"/>
                      <a:headEnd/>
                      <a:tailEnd/>
                    </a:ln>
                  </pic:spPr>
                </pic:pic>
              </a:graphicData>
            </a:graphic>
          </wp:inline>
        </w:drawing>
      </w:r>
    </w:p>
    <w:p w:rsidR="001A5F5A" w:rsidRPr="001A5F5A" w:rsidRDefault="001A5F5A" w:rsidP="001A5F5A">
      <w:pPr>
        <w:tabs>
          <w:tab w:val="left" w:pos="1185"/>
        </w:tabs>
        <w:rPr>
          <w:b/>
        </w:rPr>
      </w:pPr>
      <w:r>
        <w:rPr>
          <w:noProof/>
          <w:lang w:eastAsia="fr-CA"/>
        </w:rPr>
        <w:lastRenderedPageBreak/>
        <w:drawing>
          <wp:inline distT="0" distB="0" distL="0" distR="0">
            <wp:extent cx="5630148" cy="2238375"/>
            <wp:effectExtent l="19050" t="0" r="8652"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9" cstate="print"/>
                    <a:srcRect/>
                    <a:stretch>
                      <a:fillRect/>
                    </a:stretch>
                  </pic:blipFill>
                  <pic:spPr bwMode="auto">
                    <a:xfrm>
                      <a:off x="0" y="0"/>
                      <a:ext cx="5630148" cy="2238375"/>
                    </a:xfrm>
                    <a:prstGeom prst="rect">
                      <a:avLst/>
                    </a:prstGeom>
                    <a:noFill/>
                    <a:ln w="9525">
                      <a:noFill/>
                      <a:miter lim="800000"/>
                      <a:headEnd/>
                      <a:tailEnd/>
                    </a:ln>
                  </pic:spPr>
                </pic:pic>
              </a:graphicData>
            </a:graphic>
          </wp:inline>
        </w:drawing>
      </w:r>
    </w:p>
    <w:p w:rsidR="001A5F5A" w:rsidRPr="001A5F5A" w:rsidRDefault="001A5F5A" w:rsidP="001A5F5A">
      <w:pPr>
        <w:tabs>
          <w:tab w:val="left" w:pos="1185"/>
        </w:tabs>
        <w:rPr>
          <w:b/>
        </w:rPr>
      </w:pPr>
      <w:r>
        <w:rPr>
          <w:noProof/>
          <w:lang w:eastAsia="fr-CA"/>
        </w:rPr>
        <w:drawing>
          <wp:inline distT="0" distB="0" distL="0" distR="0">
            <wp:extent cx="5010150" cy="2066925"/>
            <wp:effectExtent l="1905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0" cstate="print"/>
                    <a:srcRect/>
                    <a:stretch>
                      <a:fillRect/>
                    </a:stretch>
                  </pic:blipFill>
                  <pic:spPr bwMode="auto">
                    <a:xfrm>
                      <a:off x="0" y="0"/>
                      <a:ext cx="5010150" cy="2066925"/>
                    </a:xfrm>
                    <a:prstGeom prst="rect">
                      <a:avLst/>
                    </a:prstGeom>
                    <a:noFill/>
                    <a:ln w="9525">
                      <a:noFill/>
                      <a:miter lim="800000"/>
                      <a:headEnd/>
                      <a:tailEnd/>
                    </a:ln>
                  </pic:spPr>
                </pic:pic>
              </a:graphicData>
            </a:graphic>
          </wp:inline>
        </w:drawing>
      </w:r>
    </w:p>
    <w:p w:rsidR="001A5F5A" w:rsidRPr="001A5F5A" w:rsidRDefault="001A5F5A" w:rsidP="001A5F5A">
      <w:pPr>
        <w:tabs>
          <w:tab w:val="left" w:pos="1185"/>
        </w:tabs>
        <w:rPr>
          <w:b/>
        </w:rPr>
      </w:pPr>
      <w:r>
        <w:rPr>
          <w:noProof/>
          <w:lang w:eastAsia="fr-CA"/>
        </w:rPr>
        <w:drawing>
          <wp:inline distT="0" distB="0" distL="0" distR="0">
            <wp:extent cx="5257800" cy="2057400"/>
            <wp:effectExtent l="1905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1" cstate="print"/>
                    <a:srcRect/>
                    <a:stretch>
                      <a:fillRect/>
                    </a:stretch>
                  </pic:blipFill>
                  <pic:spPr bwMode="auto">
                    <a:xfrm>
                      <a:off x="0" y="0"/>
                      <a:ext cx="5257800" cy="2057400"/>
                    </a:xfrm>
                    <a:prstGeom prst="rect">
                      <a:avLst/>
                    </a:prstGeom>
                    <a:noFill/>
                    <a:ln w="9525">
                      <a:noFill/>
                      <a:miter lim="800000"/>
                      <a:headEnd/>
                      <a:tailEnd/>
                    </a:ln>
                  </pic:spPr>
                </pic:pic>
              </a:graphicData>
            </a:graphic>
          </wp:inline>
        </w:drawing>
      </w:r>
    </w:p>
    <w:p w:rsidR="001A5F5A" w:rsidRPr="001A5F5A" w:rsidRDefault="001A5F5A" w:rsidP="001A5F5A">
      <w:pPr>
        <w:tabs>
          <w:tab w:val="left" w:pos="1185"/>
        </w:tabs>
        <w:rPr>
          <w:b/>
        </w:rPr>
      </w:pPr>
      <w:r>
        <w:rPr>
          <w:noProof/>
          <w:lang w:eastAsia="fr-CA"/>
        </w:rPr>
        <w:lastRenderedPageBreak/>
        <w:drawing>
          <wp:inline distT="0" distB="0" distL="0" distR="0">
            <wp:extent cx="4476750" cy="1876425"/>
            <wp:effectExtent l="1905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2" cstate="print"/>
                    <a:srcRect/>
                    <a:stretch>
                      <a:fillRect/>
                    </a:stretch>
                  </pic:blipFill>
                  <pic:spPr bwMode="auto">
                    <a:xfrm>
                      <a:off x="0" y="0"/>
                      <a:ext cx="4476750" cy="1876425"/>
                    </a:xfrm>
                    <a:prstGeom prst="rect">
                      <a:avLst/>
                    </a:prstGeom>
                    <a:noFill/>
                    <a:ln w="9525">
                      <a:noFill/>
                      <a:miter lim="800000"/>
                      <a:headEnd/>
                      <a:tailEnd/>
                    </a:ln>
                  </pic:spPr>
                </pic:pic>
              </a:graphicData>
            </a:graphic>
          </wp:inline>
        </w:drawing>
      </w:r>
    </w:p>
    <w:p w:rsidR="001A5F5A" w:rsidRPr="001A5F5A" w:rsidRDefault="001A5F5A" w:rsidP="001A5F5A">
      <w:pPr>
        <w:tabs>
          <w:tab w:val="left" w:pos="1185"/>
        </w:tabs>
        <w:rPr>
          <w:b/>
        </w:rPr>
      </w:pPr>
      <w:r>
        <w:rPr>
          <w:noProof/>
          <w:lang w:eastAsia="fr-CA"/>
        </w:rPr>
        <w:drawing>
          <wp:inline distT="0" distB="0" distL="0" distR="0">
            <wp:extent cx="5486400" cy="2228850"/>
            <wp:effectExtent l="1905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3" cstate="print"/>
                    <a:srcRect/>
                    <a:stretch>
                      <a:fillRect/>
                    </a:stretch>
                  </pic:blipFill>
                  <pic:spPr bwMode="auto">
                    <a:xfrm>
                      <a:off x="0" y="0"/>
                      <a:ext cx="5486400" cy="2228850"/>
                    </a:xfrm>
                    <a:prstGeom prst="rect">
                      <a:avLst/>
                    </a:prstGeom>
                    <a:noFill/>
                    <a:ln w="9525">
                      <a:noFill/>
                      <a:miter lim="800000"/>
                      <a:headEnd/>
                      <a:tailEnd/>
                    </a:ln>
                  </pic:spPr>
                </pic:pic>
              </a:graphicData>
            </a:graphic>
          </wp:inline>
        </w:drawing>
      </w:r>
    </w:p>
    <w:p w:rsidR="001A5F5A" w:rsidRPr="001A5F5A" w:rsidRDefault="001A5F5A" w:rsidP="001A5F5A">
      <w:pPr>
        <w:tabs>
          <w:tab w:val="left" w:pos="1185"/>
        </w:tabs>
        <w:rPr>
          <w:b/>
        </w:rPr>
      </w:pPr>
      <w:r>
        <w:rPr>
          <w:noProof/>
          <w:lang w:eastAsia="fr-CA"/>
        </w:rPr>
        <w:drawing>
          <wp:inline distT="0" distB="0" distL="0" distR="0">
            <wp:extent cx="4476750" cy="2114550"/>
            <wp:effectExtent l="1905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4" cstate="print"/>
                    <a:srcRect/>
                    <a:stretch>
                      <a:fillRect/>
                    </a:stretch>
                  </pic:blipFill>
                  <pic:spPr bwMode="auto">
                    <a:xfrm>
                      <a:off x="0" y="0"/>
                      <a:ext cx="4476750" cy="2114550"/>
                    </a:xfrm>
                    <a:prstGeom prst="rect">
                      <a:avLst/>
                    </a:prstGeom>
                    <a:noFill/>
                    <a:ln w="9525">
                      <a:noFill/>
                      <a:miter lim="800000"/>
                      <a:headEnd/>
                      <a:tailEnd/>
                    </a:ln>
                  </pic:spPr>
                </pic:pic>
              </a:graphicData>
            </a:graphic>
          </wp:inline>
        </w:drawing>
      </w:r>
    </w:p>
    <w:p w:rsidR="001A5F5A" w:rsidRPr="001A5F5A" w:rsidRDefault="001A5F5A" w:rsidP="001A5F5A">
      <w:pPr>
        <w:tabs>
          <w:tab w:val="left" w:pos="1185"/>
        </w:tabs>
        <w:rPr>
          <w:b/>
        </w:rPr>
      </w:pPr>
      <w:r>
        <w:rPr>
          <w:noProof/>
          <w:lang w:eastAsia="fr-CA"/>
        </w:rPr>
        <w:drawing>
          <wp:inline distT="0" distB="0" distL="0" distR="0">
            <wp:extent cx="5486400" cy="1371600"/>
            <wp:effectExtent l="1905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5" cstate="print"/>
                    <a:srcRect/>
                    <a:stretch>
                      <a:fillRect/>
                    </a:stretch>
                  </pic:blipFill>
                  <pic:spPr bwMode="auto">
                    <a:xfrm>
                      <a:off x="0" y="0"/>
                      <a:ext cx="5486400" cy="1371600"/>
                    </a:xfrm>
                    <a:prstGeom prst="rect">
                      <a:avLst/>
                    </a:prstGeom>
                    <a:noFill/>
                    <a:ln w="9525">
                      <a:noFill/>
                      <a:miter lim="800000"/>
                      <a:headEnd/>
                      <a:tailEnd/>
                    </a:ln>
                  </pic:spPr>
                </pic:pic>
              </a:graphicData>
            </a:graphic>
          </wp:inline>
        </w:drawing>
      </w:r>
    </w:p>
    <w:p w:rsidR="001A5F5A" w:rsidRPr="001A5F5A" w:rsidRDefault="001A5F5A" w:rsidP="001A5F5A">
      <w:pPr>
        <w:tabs>
          <w:tab w:val="left" w:pos="1185"/>
        </w:tabs>
        <w:rPr>
          <w:b/>
        </w:rPr>
      </w:pPr>
      <w:r>
        <w:rPr>
          <w:noProof/>
          <w:lang w:eastAsia="fr-CA"/>
        </w:rPr>
        <w:lastRenderedPageBreak/>
        <w:drawing>
          <wp:inline distT="0" distB="0" distL="0" distR="0">
            <wp:extent cx="5486400" cy="1152525"/>
            <wp:effectExtent l="1905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6" cstate="print"/>
                    <a:srcRect/>
                    <a:stretch>
                      <a:fillRect/>
                    </a:stretch>
                  </pic:blipFill>
                  <pic:spPr bwMode="auto">
                    <a:xfrm>
                      <a:off x="0" y="0"/>
                      <a:ext cx="5486400" cy="1152525"/>
                    </a:xfrm>
                    <a:prstGeom prst="rect">
                      <a:avLst/>
                    </a:prstGeom>
                    <a:noFill/>
                    <a:ln w="9525">
                      <a:noFill/>
                      <a:miter lim="800000"/>
                      <a:headEnd/>
                      <a:tailEnd/>
                    </a:ln>
                  </pic:spPr>
                </pic:pic>
              </a:graphicData>
            </a:graphic>
          </wp:inline>
        </w:drawing>
      </w:r>
    </w:p>
    <w:p w:rsidR="001A5F5A" w:rsidRPr="001A5F5A" w:rsidRDefault="001A5F5A" w:rsidP="001A5F5A">
      <w:pPr>
        <w:tabs>
          <w:tab w:val="left" w:pos="1185"/>
        </w:tabs>
        <w:rPr>
          <w:b/>
        </w:rPr>
      </w:pPr>
      <w:r>
        <w:rPr>
          <w:noProof/>
          <w:lang w:eastAsia="fr-CA"/>
        </w:rPr>
        <w:drawing>
          <wp:inline distT="0" distB="0" distL="0" distR="0">
            <wp:extent cx="5486400" cy="1323975"/>
            <wp:effectExtent l="1905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7" cstate="print"/>
                    <a:srcRect/>
                    <a:stretch>
                      <a:fillRect/>
                    </a:stretch>
                  </pic:blipFill>
                  <pic:spPr bwMode="auto">
                    <a:xfrm>
                      <a:off x="0" y="0"/>
                      <a:ext cx="5486400" cy="1323975"/>
                    </a:xfrm>
                    <a:prstGeom prst="rect">
                      <a:avLst/>
                    </a:prstGeom>
                    <a:noFill/>
                    <a:ln w="9525">
                      <a:noFill/>
                      <a:miter lim="800000"/>
                      <a:headEnd/>
                      <a:tailEnd/>
                    </a:ln>
                  </pic:spPr>
                </pic:pic>
              </a:graphicData>
            </a:graphic>
          </wp:inline>
        </w:drawing>
      </w:r>
    </w:p>
    <w:p w:rsidR="001A5F5A" w:rsidRPr="001A5F5A" w:rsidRDefault="001A5F5A" w:rsidP="001A5F5A">
      <w:pPr>
        <w:tabs>
          <w:tab w:val="left" w:pos="1185"/>
        </w:tabs>
        <w:rPr>
          <w:b/>
        </w:rPr>
      </w:pPr>
      <w:r>
        <w:rPr>
          <w:noProof/>
          <w:lang w:eastAsia="fr-CA"/>
        </w:rPr>
        <w:drawing>
          <wp:inline distT="0" distB="0" distL="0" distR="0">
            <wp:extent cx="5486400" cy="1247775"/>
            <wp:effectExtent l="1905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8" cstate="print"/>
                    <a:srcRect/>
                    <a:stretch>
                      <a:fillRect/>
                    </a:stretch>
                  </pic:blipFill>
                  <pic:spPr bwMode="auto">
                    <a:xfrm>
                      <a:off x="0" y="0"/>
                      <a:ext cx="5486400" cy="1247775"/>
                    </a:xfrm>
                    <a:prstGeom prst="rect">
                      <a:avLst/>
                    </a:prstGeom>
                    <a:noFill/>
                    <a:ln w="9525">
                      <a:noFill/>
                      <a:miter lim="800000"/>
                      <a:headEnd/>
                      <a:tailEnd/>
                    </a:ln>
                  </pic:spPr>
                </pic:pic>
              </a:graphicData>
            </a:graphic>
          </wp:inline>
        </w:drawing>
      </w:r>
    </w:p>
    <w:p w:rsidR="001A5F5A" w:rsidRPr="001A5F5A" w:rsidRDefault="001A5F5A" w:rsidP="001A5F5A">
      <w:pPr>
        <w:tabs>
          <w:tab w:val="left" w:pos="1185"/>
        </w:tabs>
        <w:rPr>
          <w:b/>
        </w:rPr>
      </w:pPr>
      <w:r>
        <w:rPr>
          <w:noProof/>
          <w:lang w:eastAsia="fr-CA"/>
        </w:rPr>
        <w:drawing>
          <wp:inline distT="0" distB="0" distL="0" distR="0">
            <wp:extent cx="5900468" cy="2171700"/>
            <wp:effectExtent l="19050" t="0" r="5032"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9" cstate="print"/>
                    <a:srcRect/>
                    <a:stretch>
                      <a:fillRect/>
                    </a:stretch>
                  </pic:blipFill>
                  <pic:spPr bwMode="auto">
                    <a:xfrm>
                      <a:off x="0" y="0"/>
                      <a:ext cx="5900468" cy="2171700"/>
                    </a:xfrm>
                    <a:prstGeom prst="rect">
                      <a:avLst/>
                    </a:prstGeom>
                    <a:noFill/>
                    <a:ln w="9525">
                      <a:noFill/>
                      <a:miter lim="800000"/>
                      <a:headEnd/>
                      <a:tailEnd/>
                    </a:ln>
                  </pic:spPr>
                </pic:pic>
              </a:graphicData>
            </a:graphic>
          </wp:inline>
        </w:drawing>
      </w:r>
    </w:p>
    <w:p w:rsidR="001A5F5A" w:rsidRPr="001A5F5A" w:rsidRDefault="001A5F5A" w:rsidP="001A5F5A">
      <w:pPr>
        <w:pStyle w:val="Paragraphedeliste"/>
        <w:tabs>
          <w:tab w:val="left" w:pos="1185"/>
        </w:tabs>
        <w:ind w:left="360"/>
        <w:rPr>
          <w:b/>
        </w:rPr>
      </w:pPr>
    </w:p>
    <w:p w:rsidR="001A5F5A" w:rsidRPr="001A5F5A" w:rsidRDefault="001A5F5A" w:rsidP="001A5F5A">
      <w:pPr>
        <w:tabs>
          <w:tab w:val="left" w:pos="1185"/>
        </w:tabs>
        <w:rPr>
          <w:b/>
        </w:rPr>
      </w:pPr>
    </w:p>
    <w:p w:rsidR="001A5F5A" w:rsidRPr="001A5F5A" w:rsidRDefault="001A5F5A" w:rsidP="001A5F5A">
      <w:pPr>
        <w:tabs>
          <w:tab w:val="left" w:pos="1185"/>
        </w:tabs>
        <w:rPr>
          <w:b/>
        </w:rPr>
      </w:pPr>
    </w:p>
    <w:p w:rsidR="001A5F5A" w:rsidRDefault="001A5F5A">
      <w:pPr>
        <w:rPr>
          <w:noProof/>
          <w:lang w:eastAsia="fr-CA"/>
        </w:rPr>
      </w:pPr>
      <w:r>
        <w:rPr>
          <w:noProof/>
          <w:lang w:eastAsia="fr-CA"/>
        </w:rPr>
        <w:br w:type="page"/>
      </w:r>
    </w:p>
    <w:p w:rsidR="001A5F5A" w:rsidRPr="001A5F5A" w:rsidRDefault="001A5F5A" w:rsidP="001A5F5A">
      <w:pPr>
        <w:pStyle w:val="Paragraphedeliste"/>
        <w:tabs>
          <w:tab w:val="left" w:pos="1185"/>
        </w:tabs>
        <w:ind w:left="360"/>
        <w:rPr>
          <w:b/>
        </w:rPr>
      </w:pPr>
      <w:r>
        <w:rPr>
          <w:noProof/>
          <w:lang w:eastAsia="fr-CA"/>
        </w:rPr>
        <w:lastRenderedPageBreak/>
        <w:drawing>
          <wp:inline distT="0" distB="0" distL="0" distR="0">
            <wp:extent cx="5486400" cy="1009650"/>
            <wp:effectExtent l="19050" t="0" r="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0" cstate="print"/>
                    <a:srcRect/>
                    <a:stretch>
                      <a:fillRect/>
                    </a:stretch>
                  </pic:blipFill>
                  <pic:spPr bwMode="auto">
                    <a:xfrm>
                      <a:off x="0" y="0"/>
                      <a:ext cx="5486400" cy="1009650"/>
                    </a:xfrm>
                    <a:prstGeom prst="rect">
                      <a:avLst/>
                    </a:prstGeom>
                    <a:noFill/>
                    <a:ln w="9525">
                      <a:noFill/>
                      <a:miter lim="800000"/>
                      <a:headEnd/>
                      <a:tailEnd/>
                    </a:ln>
                  </pic:spPr>
                </pic:pic>
              </a:graphicData>
            </a:graphic>
          </wp:inline>
        </w:drawing>
      </w:r>
    </w:p>
    <w:p w:rsidR="001A5F5A" w:rsidRPr="001A5F5A" w:rsidRDefault="001A5F5A" w:rsidP="001A5F5A">
      <w:pPr>
        <w:tabs>
          <w:tab w:val="left" w:pos="1185"/>
        </w:tabs>
        <w:rPr>
          <w:b/>
        </w:rPr>
      </w:pPr>
    </w:p>
    <w:p w:rsidR="00F90F3A" w:rsidRDefault="001A5F5A" w:rsidP="00F90F3A">
      <w:pPr>
        <w:tabs>
          <w:tab w:val="left" w:pos="1751"/>
        </w:tabs>
        <w:rPr>
          <w:rFonts w:ascii="Times New Roman" w:hAnsi="Times New Roman" w:cs="Times New Roman"/>
          <w:sz w:val="24"/>
          <w:szCs w:val="24"/>
        </w:rPr>
      </w:pPr>
      <w:r>
        <w:rPr>
          <w:noProof/>
          <w:lang w:eastAsia="fr-CA"/>
        </w:rPr>
        <w:drawing>
          <wp:inline distT="0" distB="0" distL="0" distR="0">
            <wp:extent cx="5334000" cy="1666875"/>
            <wp:effectExtent l="19050" t="0" r="0" b="0"/>
            <wp:docPr id="1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61" cstate="print"/>
                    <a:srcRect/>
                    <a:stretch>
                      <a:fillRect/>
                    </a:stretch>
                  </pic:blipFill>
                  <pic:spPr bwMode="auto">
                    <a:xfrm>
                      <a:off x="0" y="0"/>
                      <a:ext cx="5334000" cy="1666875"/>
                    </a:xfrm>
                    <a:prstGeom prst="rect">
                      <a:avLst/>
                    </a:prstGeom>
                    <a:noFill/>
                    <a:ln w="9525">
                      <a:noFill/>
                      <a:miter lim="800000"/>
                      <a:headEnd/>
                      <a:tailEnd/>
                    </a:ln>
                  </pic:spPr>
                </pic:pic>
              </a:graphicData>
            </a:graphic>
          </wp:inline>
        </w:drawing>
      </w:r>
    </w:p>
    <w:p w:rsidR="00140BC0" w:rsidRDefault="00140BC0" w:rsidP="00F90F3A">
      <w:pPr>
        <w:tabs>
          <w:tab w:val="left" w:pos="1751"/>
        </w:tabs>
        <w:rPr>
          <w:rFonts w:ascii="Times New Roman" w:hAnsi="Times New Roman" w:cs="Times New Roman"/>
          <w:sz w:val="24"/>
          <w:szCs w:val="24"/>
        </w:rPr>
      </w:pPr>
    </w:p>
    <w:p w:rsidR="009A3991" w:rsidRDefault="009A3991" w:rsidP="00F90F3A">
      <w:pPr>
        <w:tabs>
          <w:tab w:val="left" w:pos="1751"/>
        </w:tabs>
        <w:rPr>
          <w:rFonts w:ascii="Times New Roman" w:hAnsi="Times New Roman" w:cs="Times New Roman"/>
          <w:sz w:val="24"/>
          <w:szCs w:val="24"/>
        </w:rPr>
      </w:pPr>
    </w:p>
    <w:p w:rsidR="009A3991" w:rsidRDefault="009A3991" w:rsidP="00F90F3A">
      <w:pPr>
        <w:tabs>
          <w:tab w:val="left" w:pos="1751"/>
        </w:tabs>
        <w:rPr>
          <w:rFonts w:ascii="Times New Roman" w:hAnsi="Times New Roman" w:cs="Times New Roman"/>
          <w:sz w:val="24"/>
          <w:szCs w:val="24"/>
        </w:rPr>
      </w:pPr>
    </w:p>
    <w:p w:rsidR="009A3991" w:rsidRDefault="00140BC0" w:rsidP="00F90F3A">
      <w:pPr>
        <w:tabs>
          <w:tab w:val="left" w:pos="1751"/>
        </w:tabs>
        <w:rPr>
          <w:rFonts w:ascii="Times New Roman" w:hAnsi="Times New Roman" w:cs="Times New Roman"/>
          <w:sz w:val="24"/>
          <w:szCs w:val="24"/>
        </w:rPr>
      </w:pPr>
      <w:r w:rsidRPr="00140BC0">
        <w:rPr>
          <w:rFonts w:ascii="Times New Roman" w:hAnsi="Times New Roman" w:cs="Times New Roman"/>
          <w:noProof/>
          <w:sz w:val="24"/>
          <w:szCs w:val="24"/>
          <w:lang w:eastAsia="fr-CA"/>
        </w:rPr>
        <w:drawing>
          <wp:anchor distT="0" distB="0" distL="114300" distR="114300" simplePos="0" relativeHeight="251651584" behindDoc="0" locked="0" layoutInCell="1" allowOverlap="1">
            <wp:simplePos x="0" y="0"/>
            <wp:positionH relativeFrom="column">
              <wp:posOffset>457200</wp:posOffset>
            </wp:positionH>
            <wp:positionV relativeFrom="paragraph">
              <wp:posOffset>99695</wp:posOffset>
            </wp:positionV>
            <wp:extent cx="4572000" cy="2743200"/>
            <wp:effectExtent l="19050" t="0" r="19050" b="0"/>
            <wp:wrapThrough wrapText="bothSides">
              <wp:wrapPolygon edited="0">
                <wp:start x="-90" y="0"/>
                <wp:lineTo x="-90" y="21600"/>
                <wp:lineTo x="21690" y="21600"/>
                <wp:lineTo x="21690" y="0"/>
                <wp:lineTo x="-90" y="0"/>
              </wp:wrapPolygon>
            </wp:wrapThrough>
            <wp:docPr id="15"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anchor>
        </w:drawing>
      </w:r>
    </w:p>
    <w:p w:rsidR="009A3991" w:rsidRPr="009A3991" w:rsidRDefault="009A3991" w:rsidP="009A3991">
      <w:pPr>
        <w:rPr>
          <w:rFonts w:ascii="Times New Roman" w:hAnsi="Times New Roman" w:cs="Times New Roman"/>
          <w:sz w:val="24"/>
          <w:szCs w:val="24"/>
        </w:rPr>
      </w:pPr>
    </w:p>
    <w:p w:rsidR="009A3991" w:rsidRPr="009A3991" w:rsidRDefault="009A3991" w:rsidP="009A3991">
      <w:pPr>
        <w:rPr>
          <w:rFonts w:ascii="Times New Roman" w:hAnsi="Times New Roman" w:cs="Times New Roman"/>
          <w:sz w:val="24"/>
          <w:szCs w:val="24"/>
        </w:rPr>
      </w:pPr>
    </w:p>
    <w:p w:rsidR="009A3991" w:rsidRPr="009A3991" w:rsidRDefault="009A3991" w:rsidP="009A3991">
      <w:pPr>
        <w:rPr>
          <w:rFonts w:ascii="Times New Roman" w:hAnsi="Times New Roman" w:cs="Times New Roman"/>
          <w:sz w:val="24"/>
          <w:szCs w:val="24"/>
        </w:rPr>
      </w:pPr>
    </w:p>
    <w:p w:rsidR="009A3991" w:rsidRPr="009A3991" w:rsidRDefault="009A3991" w:rsidP="009A3991">
      <w:pPr>
        <w:rPr>
          <w:rFonts w:ascii="Times New Roman" w:hAnsi="Times New Roman" w:cs="Times New Roman"/>
          <w:sz w:val="24"/>
          <w:szCs w:val="24"/>
        </w:rPr>
      </w:pPr>
    </w:p>
    <w:p w:rsidR="009A3991" w:rsidRPr="009A3991" w:rsidRDefault="009A3991" w:rsidP="009A3991">
      <w:pPr>
        <w:rPr>
          <w:rFonts w:ascii="Times New Roman" w:hAnsi="Times New Roman" w:cs="Times New Roman"/>
          <w:sz w:val="24"/>
          <w:szCs w:val="24"/>
        </w:rPr>
      </w:pPr>
    </w:p>
    <w:p w:rsidR="009A3991" w:rsidRPr="009A3991" w:rsidRDefault="009A3991" w:rsidP="009A3991">
      <w:pPr>
        <w:rPr>
          <w:rFonts w:ascii="Times New Roman" w:hAnsi="Times New Roman" w:cs="Times New Roman"/>
          <w:sz w:val="24"/>
          <w:szCs w:val="24"/>
        </w:rPr>
      </w:pPr>
    </w:p>
    <w:p w:rsidR="009A3991" w:rsidRPr="009A3991" w:rsidRDefault="009A3991" w:rsidP="009A3991">
      <w:pPr>
        <w:rPr>
          <w:rFonts w:ascii="Times New Roman" w:hAnsi="Times New Roman" w:cs="Times New Roman"/>
          <w:sz w:val="24"/>
          <w:szCs w:val="24"/>
        </w:rPr>
      </w:pPr>
    </w:p>
    <w:p w:rsidR="009A3991" w:rsidRPr="009A3991" w:rsidRDefault="009A3991" w:rsidP="009A3991">
      <w:pPr>
        <w:rPr>
          <w:rFonts w:ascii="Times New Roman" w:hAnsi="Times New Roman" w:cs="Times New Roman"/>
          <w:sz w:val="24"/>
          <w:szCs w:val="24"/>
        </w:rPr>
      </w:pPr>
    </w:p>
    <w:p w:rsidR="009A3991" w:rsidRPr="009A3991" w:rsidRDefault="009A3991" w:rsidP="009A3991">
      <w:pPr>
        <w:rPr>
          <w:rFonts w:ascii="Times New Roman" w:hAnsi="Times New Roman" w:cs="Times New Roman"/>
          <w:sz w:val="24"/>
          <w:szCs w:val="24"/>
        </w:rPr>
      </w:pPr>
    </w:p>
    <w:p w:rsidR="009A3991" w:rsidRPr="009A3991" w:rsidRDefault="009A3991" w:rsidP="009A3991">
      <w:pPr>
        <w:rPr>
          <w:rFonts w:ascii="Times New Roman" w:hAnsi="Times New Roman" w:cs="Times New Roman"/>
          <w:sz w:val="24"/>
          <w:szCs w:val="24"/>
        </w:rPr>
      </w:pPr>
    </w:p>
    <w:p w:rsidR="009A3991" w:rsidRPr="009A3991" w:rsidRDefault="009A3991" w:rsidP="009A3991">
      <w:pPr>
        <w:rPr>
          <w:rFonts w:ascii="Times New Roman" w:hAnsi="Times New Roman" w:cs="Times New Roman"/>
          <w:sz w:val="24"/>
          <w:szCs w:val="24"/>
        </w:rPr>
      </w:pPr>
    </w:p>
    <w:p w:rsidR="009A3991" w:rsidRDefault="009A3991" w:rsidP="009A3991">
      <w:pPr>
        <w:rPr>
          <w:rFonts w:ascii="Times New Roman" w:hAnsi="Times New Roman" w:cs="Times New Roman"/>
          <w:sz w:val="24"/>
          <w:szCs w:val="24"/>
        </w:rPr>
      </w:pPr>
    </w:p>
    <w:p w:rsidR="009A3991" w:rsidRDefault="009A3991">
      <w:pPr>
        <w:rPr>
          <w:rStyle w:val="Titre1Car"/>
        </w:rPr>
      </w:pPr>
      <w:r>
        <w:rPr>
          <w:rStyle w:val="Titre1Car"/>
        </w:rPr>
        <w:br w:type="page"/>
      </w:r>
    </w:p>
    <w:p w:rsidR="009A3991" w:rsidRDefault="009A3991">
      <w:pPr>
        <w:rPr>
          <w:rStyle w:val="Titre1Car"/>
        </w:rPr>
      </w:pPr>
      <w:bookmarkStart w:id="67" w:name="_Toc417486278"/>
      <w:r>
        <w:rPr>
          <w:rStyle w:val="Titre1Car"/>
        </w:rPr>
        <w:lastRenderedPageBreak/>
        <w:t>ANNEXE E - Organigramme</w:t>
      </w:r>
      <w:bookmarkEnd w:id="67"/>
      <w:r>
        <w:rPr>
          <w:rStyle w:val="Titre1Car"/>
        </w:rPr>
        <w:br w:type="page"/>
      </w:r>
    </w:p>
    <w:p w:rsidR="00140BC0" w:rsidRDefault="00CE1436" w:rsidP="00660B2C">
      <w:pPr>
        <w:pStyle w:val="Titre1"/>
        <w:rPr>
          <w:rFonts w:ascii="Times New Roman" w:hAnsi="Times New Roman" w:cs="Times New Roman"/>
          <w:sz w:val="24"/>
          <w:szCs w:val="24"/>
        </w:rPr>
      </w:pPr>
      <w:r>
        <w:rPr>
          <w:noProof/>
          <w:lang w:eastAsia="fr-CA"/>
        </w:rPr>
        <w:lastRenderedPageBreak/>
        <w:drawing>
          <wp:anchor distT="0" distB="0" distL="114300" distR="114300" simplePos="0" relativeHeight="251662848" behindDoc="1" locked="0" layoutInCell="1" allowOverlap="1">
            <wp:simplePos x="0" y="0"/>
            <wp:positionH relativeFrom="column">
              <wp:posOffset>-857250</wp:posOffset>
            </wp:positionH>
            <wp:positionV relativeFrom="paragraph">
              <wp:posOffset>1638300</wp:posOffset>
            </wp:positionV>
            <wp:extent cx="7734300" cy="5862955"/>
            <wp:effectExtent l="0" t="933450" r="0" b="918845"/>
            <wp:wrapNone/>
            <wp:docPr id="2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3" cstate="print"/>
                    <a:srcRect/>
                    <a:stretch>
                      <a:fillRect/>
                    </a:stretch>
                  </pic:blipFill>
                  <pic:spPr bwMode="auto">
                    <a:xfrm rot="16200000">
                      <a:off x="0" y="0"/>
                      <a:ext cx="7734300" cy="5862955"/>
                    </a:xfrm>
                    <a:prstGeom prst="rect">
                      <a:avLst/>
                    </a:prstGeom>
                    <a:noFill/>
                    <a:ln w="9525">
                      <a:noFill/>
                      <a:miter lim="800000"/>
                      <a:headEnd/>
                      <a:tailEnd/>
                    </a:ln>
                  </pic:spPr>
                </pic:pic>
              </a:graphicData>
            </a:graphic>
          </wp:anchor>
        </w:drawing>
      </w:r>
      <w:bookmarkStart w:id="68" w:name="_Toc417486279"/>
      <w:r w:rsidR="00660B2C" w:rsidRPr="00660B2C">
        <w:t>ANNEXE F</w:t>
      </w:r>
      <w:r w:rsidR="00660B2C">
        <w:rPr>
          <w:noProof/>
          <w:lang w:eastAsia="fr-CA"/>
        </w:rPr>
        <w:t xml:space="preserve"> – Prévision de l’effectif étudiant universitaire</w:t>
      </w:r>
      <w:bookmarkEnd w:id="68"/>
      <w:r w:rsidR="009A3991">
        <w:rPr>
          <w:rFonts w:ascii="Times New Roman" w:hAnsi="Times New Roman" w:cs="Times New Roman"/>
          <w:sz w:val="24"/>
          <w:szCs w:val="24"/>
        </w:rPr>
        <w:tab/>
      </w:r>
    </w:p>
    <w:p w:rsidR="00CE1436" w:rsidRDefault="00CE1436" w:rsidP="00CE1436"/>
    <w:p w:rsidR="00CE1436" w:rsidRDefault="00CE1436" w:rsidP="00CE1436"/>
    <w:p w:rsidR="00CE1436" w:rsidRDefault="00CE1436" w:rsidP="00CE1436"/>
    <w:p w:rsidR="00CE1436" w:rsidRDefault="00CE1436" w:rsidP="00CE1436"/>
    <w:p w:rsidR="00CE1436" w:rsidRDefault="00CE1436" w:rsidP="00CE1436"/>
    <w:p w:rsidR="00CE1436" w:rsidRDefault="00CE1436" w:rsidP="00CE1436"/>
    <w:p w:rsidR="00CE1436" w:rsidRDefault="00CE1436" w:rsidP="00CE1436"/>
    <w:p w:rsidR="00CE1436" w:rsidRDefault="00CE1436" w:rsidP="00CE1436"/>
    <w:p w:rsidR="00CE1436" w:rsidRDefault="00CE1436" w:rsidP="00CE1436"/>
    <w:p w:rsidR="00CE1436" w:rsidRDefault="00CE1436" w:rsidP="00CE1436"/>
    <w:p w:rsidR="00CE1436" w:rsidRDefault="00CE1436" w:rsidP="00CE1436"/>
    <w:p w:rsidR="00CE1436" w:rsidRDefault="00CE1436" w:rsidP="00CE1436"/>
    <w:p w:rsidR="00CE1436" w:rsidRDefault="00CE1436" w:rsidP="00CE1436"/>
    <w:p w:rsidR="00CE1436" w:rsidRDefault="00CE1436" w:rsidP="00CE1436"/>
    <w:p w:rsidR="00CE1436" w:rsidRDefault="00CE1436" w:rsidP="00CE1436"/>
    <w:p w:rsidR="00CE1436" w:rsidRDefault="00CE1436" w:rsidP="00CE1436"/>
    <w:p w:rsidR="00CE1436" w:rsidRDefault="00CE1436" w:rsidP="00CE1436"/>
    <w:p w:rsidR="00CE1436" w:rsidRDefault="00CE1436" w:rsidP="00CE1436"/>
    <w:p w:rsidR="00CE1436" w:rsidRDefault="00CE1436" w:rsidP="00CE1436"/>
    <w:p w:rsidR="00CE1436" w:rsidRDefault="00CE1436" w:rsidP="00CE1436"/>
    <w:p w:rsidR="00CE1436" w:rsidRDefault="00CE1436" w:rsidP="00CE1436"/>
    <w:p w:rsidR="00CE1436" w:rsidRDefault="00CE1436" w:rsidP="00CE1436"/>
    <w:p w:rsidR="00CE1436" w:rsidRDefault="00CE1436" w:rsidP="00CE1436"/>
    <w:p w:rsidR="00CE1436" w:rsidRDefault="00CE1436" w:rsidP="00CE1436"/>
    <w:p w:rsidR="00CE1436" w:rsidRDefault="00CE1436" w:rsidP="00CE1436"/>
    <w:p w:rsidR="00CE1436" w:rsidRDefault="00CE1436" w:rsidP="00CE1436"/>
    <w:p w:rsidR="00CE1436" w:rsidRDefault="00CE1436" w:rsidP="00CE1436"/>
    <w:p w:rsidR="00CE1436" w:rsidRDefault="00CE1436" w:rsidP="00CE1436"/>
    <w:p w:rsidR="00CE1436" w:rsidRDefault="00CE1436" w:rsidP="00CE1436"/>
    <w:p w:rsidR="00CE1436" w:rsidRDefault="00CE1436" w:rsidP="00CE1436"/>
    <w:p w:rsidR="00CE1436" w:rsidRDefault="00CE1436" w:rsidP="00CE1436">
      <w:pPr>
        <w:pStyle w:val="Titre1"/>
      </w:pPr>
      <w:bookmarkStart w:id="69" w:name="_Toc417486280"/>
      <w:r>
        <w:t>ANNEXE G – Liste des partenariats (SDI)</w:t>
      </w:r>
      <w:bookmarkEnd w:id="69"/>
    </w:p>
    <w:p w:rsidR="00CE1436" w:rsidRPr="00696FA6" w:rsidRDefault="00CE1436" w:rsidP="00CE1436">
      <w:pPr>
        <w:spacing w:after="0" w:line="240" w:lineRule="auto"/>
        <w:rPr>
          <w:rFonts w:ascii="Times New Roman" w:eastAsia="Times New Roman" w:hAnsi="Times New Roman" w:cs="Times New Roman"/>
          <w:sz w:val="24"/>
          <w:szCs w:val="24"/>
          <w:lang w:eastAsia="fr-CA"/>
        </w:rPr>
      </w:pPr>
    </w:p>
    <w:p w:rsidR="00CE1436" w:rsidRPr="00696FA6" w:rsidRDefault="00CE1436" w:rsidP="00CE1436">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sz w:val="24"/>
          <w:szCs w:val="24"/>
          <w:lang w:eastAsia="fr-CA"/>
        </w:rPr>
        <w:t>Voici</w:t>
      </w:r>
      <w:r w:rsidRPr="00696FA6">
        <w:rPr>
          <w:rFonts w:ascii="Times New Roman" w:eastAsia="Times New Roman" w:hAnsi="Times New Roman" w:cs="Times New Roman"/>
          <w:sz w:val="24"/>
          <w:szCs w:val="24"/>
          <w:lang w:eastAsia="fr-CA"/>
        </w:rPr>
        <w:t xml:space="preserve"> une liste des organisations avec lesquels </w:t>
      </w:r>
      <w:r>
        <w:rPr>
          <w:rFonts w:ascii="Times New Roman" w:eastAsia="Times New Roman" w:hAnsi="Times New Roman" w:cs="Times New Roman"/>
          <w:sz w:val="24"/>
          <w:szCs w:val="24"/>
          <w:lang w:eastAsia="fr-CA"/>
        </w:rPr>
        <w:t>l’UQTR est actuellement</w:t>
      </w:r>
      <w:r w:rsidRPr="00696FA6">
        <w:rPr>
          <w:rFonts w:ascii="Times New Roman" w:eastAsia="Times New Roman" w:hAnsi="Times New Roman" w:cs="Times New Roman"/>
          <w:sz w:val="24"/>
          <w:szCs w:val="24"/>
          <w:lang w:eastAsia="fr-CA"/>
        </w:rPr>
        <w:t xml:space="preserve"> partenaires :</w:t>
      </w:r>
    </w:p>
    <w:p w:rsidR="00CE1436" w:rsidRPr="00696FA6" w:rsidRDefault="00CE1436" w:rsidP="00CE1436">
      <w:pPr>
        <w:spacing w:after="0" w:line="240" w:lineRule="auto"/>
        <w:ind w:left="360"/>
        <w:rPr>
          <w:rFonts w:ascii="Times New Roman" w:eastAsia="Times New Roman" w:hAnsi="Times New Roman" w:cs="Times New Roman"/>
          <w:sz w:val="24"/>
          <w:szCs w:val="24"/>
          <w:lang w:eastAsia="fr-CA"/>
        </w:rPr>
      </w:pP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ARQECQ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Association des diplômées et diplômés de l'Université du Québec à Trois-Rivières (ADUQTR)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Association pour la recherche qualitative (ARQ)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Biennale internationale d’estampe contemporaine de Trois-Rivières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Chambre de commerce et d'industrie de Shawinigan (CCIS)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Chambre de commerce et d'industrie de Trois-Rivières (CCITR)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Club Voyages Super Soleil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COOPSCO Trois-Rivières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Corporation de développement culturel de T-R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Corporation pour le développement de l'île St-Quentin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Culture Mauricie (CM)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Diplômés universitaires aînés (DUA)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proofErr w:type="spellStart"/>
      <w:r w:rsidRPr="00696FA6">
        <w:rPr>
          <w:rFonts w:ascii="Times New Roman" w:eastAsia="Times New Roman" w:hAnsi="Times New Roman" w:cs="Times New Roman"/>
          <w:sz w:val="24"/>
          <w:szCs w:val="24"/>
          <w:lang w:eastAsia="fr-CA"/>
        </w:rPr>
        <w:t>Festi'o'muse</w:t>
      </w:r>
      <w:proofErr w:type="spellEnd"/>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Festival international </w:t>
      </w:r>
      <w:proofErr w:type="spellStart"/>
      <w:r w:rsidRPr="00696FA6">
        <w:rPr>
          <w:rFonts w:ascii="Times New Roman" w:eastAsia="Times New Roman" w:hAnsi="Times New Roman" w:cs="Times New Roman"/>
          <w:sz w:val="24"/>
          <w:szCs w:val="24"/>
          <w:lang w:eastAsia="fr-CA"/>
        </w:rPr>
        <w:t>Dans'Encore</w:t>
      </w:r>
      <w:proofErr w:type="spellEnd"/>
      <w:r w:rsidRPr="00696FA6">
        <w:rPr>
          <w:rFonts w:ascii="Times New Roman" w:eastAsia="Times New Roman" w:hAnsi="Times New Roman" w:cs="Times New Roman"/>
          <w:sz w:val="24"/>
          <w:szCs w:val="24"/>
          <w:lang w:eastAsia="fr-CA"/>
        </w:rPr>
        <w:t xml:space="preserv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Festival Western de St-Tite </w:t>
      </w:r>
      <w:proofErr w:type="spellStart"/>
      <w:r w:rsidRPr="00696FA6">
        <w:rPr>
          <w:rFonts w:ascii="Times New Roman" w:eastAsia="Times New Roman" w:hAnsi="Times New Roman" w:cs="Times New Roman"/>
          <w:sz w:val="24"/>
          <w:szCs w:val="24"/>
          <w:lang w:eastAsia="fr-CA"/>
        </w:rPr>
        <w:t>inc</w:t>
      </w:r>
      <w:proofErr w:type="spellEnd"/>
      <w:r w:rsidRPr="00696FA6">
        <w:rPr>
          <w:rFonts w:ascii="Times New Roman" w:eastAsia="Times New Roman" w:hAnsi="Times New Roman" w:cs="Times New Roman"/>
          <w:sz w:val="24"/>
          <w:szCs w:val="24"/>
          <w:lang w:eastAsia="fr-CA"/>
        </w:rPr>
        <w:t xml:space="preserv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proofErr w:type="spellStart"/>
      <w:r w:rsidRPr="00696FA6">
        <w:rPr>
          <w:rFonts w:ascii="Times New Roman" w:eastAsia="Times New Roman" w:hAnsi="Times New Roman" w:cs="Times New Roman"/>
          <w:sz w:val="24"/>
          <w:szCs w:val="24"/>
          <w:lang w:eastAsia="fr-CA"/>
        </w:rPr>
        <w:t>Festivoix</w:t>
      </w:r>
      <w:proofErr w:type="spellEnd"/>
      <w:r w:rsidRPr="00696FA6">
        <w:rPr>
          <w:rFonts w:ascii="Times New Roman" w:eastAsia="Times New Roman" w:hAnsi="Times New Roman" w:cs="Times New Roman"/>
          <w:sz w:val="24"/>
          <w:szCs w:val="24"/>
          <w:lang w:eastAsia="fr-CA"/>
        </w:rPr>
        <w:t xml:space="preserve"> de Trois-Rivières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Fondation de l'UQTR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Fondation Les Forges </w:t>
      </w:r>
      <w:proofErr w:type="spellStart"/>
      <w:r w:rsidRPr="00696FA6">
        <w:rPr>
          <w:rFonts w:ascii="Times New Roman" w:eastAsia="Times New Roman" w:hAnsi="Times New Roman" w:cs="Times New Roman"/>
          <w:sz w:val="24"/>
          <w:szCs w:val="24"/>
          <w:lang w:eastAsia="fr-CA"/>
        </w:rPr>
        <w:t>inc</w:t>
      </w:r>
      <w:proofErr w:type="spellEnd"/>
      <w:r w:rsidRPr="00696FA6">
        <w:rPr>
          <w:rFonts w:ascii="Times New Roman" w:eastAsia="Times New Roman" w:hAnsi="Times New Roman" w:cs="Times New Roman"/>
          <w:sz w:val="24"/>
          <w:szCs w:val="24"/>
          <w:lang w:eastAsia="fr-CA"/>
        </w:rPr>
        <w:t xml:space="preserv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Fonds de solidarité FTQ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Groupe Hospitalité </w:t>
      </w:r>
      <w:proofErr w:type="spellStart"/>
      <w:r w:rsidRPr="00696FA6">
        <w:rPr>
          <w:rFonts w:ascii="Times New Roman" w:eastAsia="Times New Roman" w:hAnsi="Times New Roman" w:cs="Times New Roman"/>
          <w:sz w:val="24"/>
          <w:szCs w:val="24"/>
          <w:lang w:eastAsia="fr-CA"/>
        </w:rPr>
        <w:t>Westmont</w:t>
      </w:r>
      <w:proofErr w:type="spellEnd"/>
      <w:r w:rsidRPr="00696FA6">
        <w:rPr>
          <w:rFonts w:ascii="Times New Roman" w:eastAsia="Times New Roman" w:hAnsi="Times New Roman" w:cs="Times New Roman"/>
          <w:sz w:val="24"/>
          <w:szCs w:val="24"/>
          <w:lang w:eastAsia="fr-CA"/>
        </w:rPr>
        <w:t xml:space="preserv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Jeune Chambre de commerce de Drummond (JCCD)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Jeune Chambre de commerce de la Mauricie (JCCM)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Jeunes entreprises Mauricie/Centre-du-Québec (JEMCQ)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MBNA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Mondial des cultures de Drummondville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Musée Québécois de culture populaire (MQCP)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Première nocturne de création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Rabais Campus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Route des possibles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Salon du livre de Trois-Rivières (région 04) </w:t>
      </w:r>
      <w:proofErr w:type="spellStart"/>
      <w:r w:rsidRPr="00696FA6">
        <w:rPr>
          <w:rFonts w:ascii="Times New Roman" w:eastAsia="Times New Roman" w:hAnsi="Times New Roman" w:cs="Times New Roman"/>
          <w:sz w:val="24"/>
          <w:szCs w:val="24"/>
          <w:lang w:eastAsia="fr-CA"/>
        </w:rPr>
        <w:t>inc</w:t>
      </w:r>
      <w:proofErr w:type="spellEnd"/>
      <w:r w:rsidRPr="00696FA6">
        <w:rPr>
          <w:rFonts w:ascii="Times New Roman" w:eastAsia="Times New Roman" w:hAnsi="Times New Roman" w:cs="Times New Roman"/>
          <w:sz w:val="24"/>
          <w:szCs w:val="24"/>
          <w:lang w:eastAsia="fr-CA"/>
        </w:rPr>
        <w:t xml:space="preserv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Startup Weekend - David </w:t>
      </w:r>
      <w:proofErr w:type="spellStart"/>
      <w:r w:rsidRPr="00696FA6">
        <w:rPr>
          <w:rFonts w:ascii="Times New Roman" w:eastAsia="Times New Roman" w:hAnsi="Times New Roman" w:cs="Times New Roman"/>
          <w:sz w:val="24"/>
          <w:szCs w:val="24"/>
          <w:lang w:eastAsia="fr-CA"/>
        </w:rPr>
        <w:t>Brouillette</w:t>
      </w:r>
      <w:proofErr w:type="spellEnd"/>
      <w:r w:rsidRPr="00696FA6">
        <w:rPr>
          <w:rFonts w:ascii="Times New Roman" w:eastAsia="Times New Roman" w:hAnsi="Times New Roman" w:cs="Times New Roman"/>
          <w:sz w:val="24"/>
          <w:szCs w:val="24"/>
          <w:lang w:eastAsia="fr-CA"/>
        </w:rPr>
        <w:t xml:space="preserv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TD Assurances Meloche </w:t>
      </w:r>
      <w:proofErr w:type="spellStart"/>
      <w:r w:rsidRPr="00696FA6">
        <w:rPr>
          <w:rFonts w:ascii="Times New Roman" w:eastAsia="Times New Roman" w:hAnsi="Times New Roman" w:cs="Times New Roman"/>
          <w:sz w:val="24"/>
          <w:szCs w:val="24"/>
          <w:lang w:eastAsia="fr-CA"/>
        </w:rPr>
        <w:t>Monnex</w:t>
      </w:r>
      <w:proofErr w:type="spellEnd"/>
      <w:r w:rsidRPr="00696FA6">
        <w:rPr>
          <w:rFonts w:ascii="Times New Roman" w:eastAsia="Times New Roman" w:hAnsi="Times New Roman" w:cs="Times New Roman"/>
          <w:sz w:val="24"/>
          <w:szCs w:val="24"/>
          <w:lang w:eastAsia="fr-CA"/>
        </w:rPr>
        <w:t xml:space="preserv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Trois-Rivières Honda</w:t>
      </w:r>
    </w:p>
    <w:p w:rsidR="00CE1436" w:rsidRPr="00696FA6" w:rsidRDefault="00CE1436" w:rsidP="00CE1436">
      <w:pPr>
        <w:spacing w:after="0" w:line="240" w:lineRule="auto"/>
        <w:ind w:left="45"/>
        <w:rPr>
          <w:rFonts w:ascii="Times New Roman" w:eastAsia="Times New Roman" w:hAnsi="Times New Roman" w:cs="Times New Roman"/>
          <w:sz w:val="24"/>
          <w:szCs w:val="24"/>
          <w:lang w:eastAsia="fr-CA"/>
        </w:rPr>
      </w:pPr>
    </w:p>
    <w:p w:rsidR="00CE1436" w:rsidRPr="00696FA6" w:rsidRDefault="00CE1436" w:rsidP="00CE1436">
      <w:pPr>
        <w:pStyle w:val="Paragraphedeliste"/>
        <w:spacing w:after="0" w:line="360" w:lineRule="auto"/>
        <w:ind w:left="0"/>
        <w:jc w:val="both"/>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lastRenderedPageBreak/>
        <w:t xml:space="preserve">Il faut également savoir que l’initiative </w:t>
      </w:r>
      <w:r>
        <w:rPr>
          <w:rFonts w:ascii="Times New Roman" w:eastAsia="Times New Roman" w:hAnsi="Times New Roman" w:cs="Times New Roman"/>
          <w:sz w:val="24"/>
          <w:szCs w:val="24"/>
          <w:lang w:eastAsia="fr-CA"/>
        </w:rPr>
        <w:t>PICOM</w:t>
      </w:r>
      <w:r w:rsidRPr="00696FA6">
        <w:rPr>
          <w:rFonts w:ascii="Times New Roman" w:eastAsia="Times New Roman" w:hAnsi="Times New Roman" w:cs="Times New Roman"/>
          <w:sz w:val="24"/>
          <w:szCs w:val="24"/>
          <w:lang w:eastAsia="fr-CA"/>
        </w:rPr>
        <w:t>, depuis sa mise en place, prend des ententes avec des centaines d’organismes communautaires le temps d’une session ou deux, pour la réalisation de projets étudiants :</w:t>
      </w:r>
    </w:p>
    <w:p w:rsidR="00CE1436" w:rsidRPr="00696FA6" w:rsidRDefault="00CE1436" w:rsidP="00CE1436">
      <w:pPr>
        <w:spacing w:after="0" w:line="240" w:lineRule="auto"/>
        <w:ind w:left="45"/>
        <w:rPr>
          <w:rFonts w:ascii="Times New Roman" w:eastAsia="Times New Roman" w:hAnsi="Times New Roman" w:cs="Times New Roman"/>
          <w:sz w:val="24"/>
          <w:szCs w:val="24"/>
          <w:lang w:eastAsia="fr-CA"/>
        </w:rPr>
      </w:pP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103.1 FM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Académie Parhélie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Action famille </w:t>
      </w:r>
      <w:proofErr w:type="spellStart"/>
      <w:r w:rsidRPr="00696FA6">
        <w:rPr>
          <w:rFonts w:ascii="Times New Roman" w:eastAsia="Times New Roman" w:hAnsi="Times New Roman" w:cs="Times New Roman"/>
          <w:sz w:val="24"/>
          <w:szCs w:val="24"/>
          <w:lang w:eastAsia="fr-CA"/>
        </w:rPr>
        <w:t>Lavaltrie</w:t>
      </w:r>
      <w:proofErr w:type="spellEnd"/>
      <w:r w:rsidRPr="00696FA6">
        <w:rPr>
          <w:rFonts w:ascii="Times New Roman" w:eastAsia="Times New Roman" w:hAnsi="Times New Roman" w:cs="Times New Roman"/>
          <w:sz w:val="24"/>
          <w:szCs w:val="24"/>
          <w:lang w:eastAsia="fr-CA"/>
        </w:rPr>
        <w:t xml:space="preserv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proofErr w:type="spellStart"/>
      <w:r w:rsidRPr="00696FA6">
        <w:rPr>
          <w:rFonts w:ascii="Times New Roman" w:eastAsia="Times New Roman" w:hAnsi="Times New Roman" w:cs="Times New Roman"/>
          <w:sz w:val="24"/>
          <w:szCs w:val="24"/>
          <w:lang w:eastAsia="fr-CA"/>
        </w:rPr>
        <w:t>Adaptaforme</w:t>
      </w:r>
      <w:proofErr w:type="spellEnd"/>
      <w:r w:rsidRPr="00696FA6">
        <w:rPr>
          <w:rFonts w:ascii="Times New Roman" w:eastAsia="Times New Roman" w:hAnsi="Times New Roman" w:cs="Times New Roman"/>
          <w:sz w:val="24"/>
          <w:szCs w:val="24"/>
          <w:lang w:eastAsia="fr-CA"/>
        </w:rPr>
        <w:t xml:space="preserv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AGE UQTR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Anna et la mer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Anna et la mer/Maison coup de pouce de Trois-Rivières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Appartenance Mauricie Société d'histoire régionale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AQDR </w:t>
      </w:r>
      <w:proofErr w:type="spellStart"/>
      <w:r w:rsidRPr="00696FA6">
        <w:rPr>
          <w:rFonts w:ascii="Times New Roman" w:eastAsia="Times New Roman" w:hAnsi="Times New Roman" w:cs="Times New Roman"/>
          <w:sz w:val="24"/>
          <w:szCs w:val="24"/>
          <w:lang w:eastAsia="fr-CA"/>
        </w:rPr>
        <w:t>Mékinac</w:t>
      </w:r>
      <w:proofErr w:type="spellEnd"/>
      <w:r w:rsidRPr="00696FA6">
        <w:rPr>
          <w:rFonts w:ascii="Times New Roman" w:eastAsia="Times New Roman" w:hAnsi="Times New Roman" w:cs="Times New Roman"/>
          <w:sz w:val="24"/>
          <w:szCs w:val="24"/>
          <w:lang w:eastAsia="fr-CA"/>
        </w:rPr>
        <w:t xml:space="preserv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AQEPA Mauricie-Centre-du-Québec (Association du Québec pour enfants avec problèmes auditifs)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Association de sourds de la Mauricie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Association des cardiaques de la Mauricie située à Trois-Rivières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Association des étudiantes sages-femmes du Québec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Association des étudiants en Récréologie (ADER)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Association des Loisirs et de la Culture de Sainte-Croix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Association des parents d'enfants handicapés (APEH) </w:t>
      </w:r>
      <w:proofErr w:type="spellStart"/>
      <w:r w:rsidRPr="00696FA6">
        <w:rPr>
          <w:rFonts w:ascii="Times New Roman" w:eastAsia="Times New Roman" w:hAnsi="Times New Roman" w:cs="Times New Roman"/>
          <w:sz w:val="24"/>
          <w:szCs w:val="24"/>
          <w:lang w:eastAsia="fr-CA"/>
        </w:rPr>
        <w:t>inc</w:t>
      </w:r>
      <w:proofErr w:type="spellEnd"/>
      <w:r w:rsidRPr="00696FA6">
        <w:rPr>
          <w:rFonts w:ascii="Times New Roman" w:eastAsia="Times New Roman" w:hAnsi="Times New Roman" w:cs="Times New Roman"/>
          <w:sz w:val="24"/>
          <w:szCs w:val="24"/>
          <w:lang w:eastAsia="fr-CA"/>
        </w:rPr>
        <w:t xml:space="preserv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Association des Parents et Amis du Malade Émotionnel du Centre-du-Québec Inc. Drummondville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Association des personnes handicapées de Drummond </w:t>
      </w:r>
      <w:proofErr w:type="spellStart"/>
      <w:r w:rsidRPr="00696FA6">
        <w:rPr>
          <w:rFonts w:ascii="Times New Roman" w:eastAsia="Times New Roman" w:hAnsi="Times New Roman" w:cs="Times New Roman"/>
          <w:sz w:val="24"/>
          <w:szCs w:val="24"/>
          <w:lang w:eastAsia="fr-CA"/>
        </w:rPr>
        <w:t>inc</w:t>
      </w:r>
      <w:proofErr w:type="spellEnd"/>
      <w:r w:rsidRPr="00696FA6">
        <w:rPr>
          <w:rFonts w:ascii="Times New Roman" w:eastAsia="Times New Roman" w:hAnsi="Times New Roman" w:cs="Times New Roman"/>
          <w:sz w:val="24"/>
          <w:szCs w:val="24"/>
          <w:lang w:eastAsia="fr-CA"/>
        </w:rPr>
        <w:t xml:space="preserv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Association des personnes handicapées du Lac St-Pierre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Association des Traumatisés </w:t>
      </w:r>
      <w:proofErr w:type="spellStart"/>
      <w:r w:rsidRPr="00696FA6">
        <w:rPr>
          <w:rFonts w:ascii="Times New Roman" w:eastAsia="Times New Roman" w:hAnsi="Times New Roman" w:cs="Times New Roman"/>
          <w:sz w:val="24"/>
          <w:szCs w:val="24"/>
          <w:lang w:eastAsia="fr-CA"/>
        </w:rPr>
        <w:t>Cranio</w:t>
      </w:r>
      <w:proofErr w:type="spellEnd"/>
      <w:r w:rsidRPr="00696FA6">
        <w:rPr>
          <w:rFonts w:ascii="Times New Roman" w:eastAsia="Times New Roman" w:hAnsi="Times New Roman" w:cs="Times New Roman"/>
          <w:sz w:val="24"/>
          <w:szCs w:val="24"/>
          <w:lang w:eastAsia="fr-CA"/>
        </w:rPr>
        <w:t xml:space="preserve">-Cérébraux Mauricie-Centre-du-Québec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Association générale des étudiants(es) de l'Université du Québec à Trois-Rivières (AGEUQTR)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Association pour la déficience intellectuelle Centre-Mauricie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Association pour la déficience intellectuelle du Centre-de-la-Mauricie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Association québécoise des élèves ayant un trouble d’apprentissage Mauricie Centre-du-Québec (AQETA-MCQ)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Association québécoise des parents d'enfants handicapés visuels (AQPEHV)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Association québécoise pour la promotion de l'éducation relative à l'environnement - AQPERE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Atelier des Vieilles Forges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Autonomie Jeunesse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Avenue libre du bassin de Maskinongé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proofErr w:type="spellStart"/>
      <w:r w:rsidRPr="00696FA6">
        <w:rPr>
          <w:rFonts w:ascii="Times New Roman" w:eastAsia="Times New Roman" w:hAnsi="Times New Roman" w:cs="Times New Roman"/>
          <w:sz w:val="24"/>
          <w:szCs w:val="24"/>
          <w:lang w:eastAsia="fr-CA"/>
        </w:rPr>
        <w:t>Bacc</w:t>
      </w:r>
      <w:proofErr w:type="spellEnd"/>
      <w:r w:rsidRPr="00696FA6">
        <w:rPr>
          <w:rFonts w:ascii="Times New Roman" w:eastAsia="Times New Roman" w:hAnsi="Times New Roman" w:cs="Times New Roman"/>
          <w:sz w:val="24"/>
          <w:szCs w:val="24"/>
          <w:lang w:eastAsia="fr-CA"/>
        </w:rPr>
        <w:t xml:space="preserve"> Vert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Biennale internationale d'estampe contemporaine de Trois-Rivières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Bulletin des Chenaux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CALACS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Campus sans frontières (en partenariat avec l'association Éclosion)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lastRenderedPageBreak/>
        <w:t xml:space="preserve">Carrefour jeunesse-emploi de Shawinigan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CCNNPDF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CDC Drummond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Centre Adrienne-Roy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Centre communautaire récréatif St-Jean-Baptiste de Drummondville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Centre d’expertise régionale en éducation au développement durable Mauricie/Centre-du-Québec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Centre d'accueil des nouveaux arrivants de Trois-Rivières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Centre d'action bénévole des Riverains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Centre d'activités populaires et éducatives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Centre d'aide aux personnes en difficulté (CAPED)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Centre d'aide et de lutte contre les agressions à caractère sexuel de Victoriaville (CALACS)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Centre d'amitié autochtone de La Tuque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Centre d'amitié autochtone de Québec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Centre de femmes Parmi Elles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Centre de la Petite Enfance Les Petits Collégiens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Centre de loisirs adaptés de la Maison </w:t>
      </w:r>
      <w:proofErr w:type="spellStart"/>
      <w:r w:rsidRPr="00696FA6">
        <w:rPr>
          <w:rFonts w:ascii="Times New Roman" w:eastAsia="Times New Roman" w:hAnsi="Times New Roman" w:cs="Times New Roman"/>
          <w:sz w:val="24"/>
          <w:szCs w:val="24"/>
          <w:lang w:eastAsia="fr-CA"/>
        </w:rPr>
        <w:t>Grandi-Ose</w:t>
      </w:r>
      <w:proofErr w:type="spellEnd"/>
      <w:r w:rsidRPr="00696FA6">
        <w:rPr>
          <w:rFonts w:ascii="Times New Roman" w:eastAsia="Times New Roman" w:hAnsi="Times New Roman" w:cs="Times New Roman"/>
          <w:sz w:val="24"/>
          <w:szCs w:val="24"/>
          <w:lang w:eastAsia="fr-CA"/>
        </w:rPr>
        <w:t xml:space="preserv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Centre de prévention suicide de La Tuque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Centre de réadaptation en déficience intellectuelle et en troubles envahissants du développement de la Mauricie et du Centre-du-Québec - Institut universitaire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Centre de stimulation l'Envol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Centre d'éducation des adultes du St-Maurice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Centre d'éducation populaire de Pointe du Lac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Centre d'entrepreneuriat Alphonse-Desjardins Shawinigan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Centre du Sein amitié santé 04 de Shawinigan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Centre famille haute-ville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Centre hospitalier régional de Trois-Rivières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Centre Le Havre de Trois-Rivières</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Centre Pomme-</w:t>
      </w:r>
      <w:proofErr w:type="spellStart"/>
      <w:r w:rsidRPr="00696FA6">
        <w:rPr>
          <w:rFonts w:ascii="Times New Roman" w:eastAsia="Times New Roman" w:hAnsi="Times New Roman" w:cs="Times New Roman"/>
          <w:sz w:val="24"/>
          <w:szCs w:val="24"/>
          <w:lang w:eastAsia="fr-CA"/>
        </w:rPr>
        <w:t>Canelle</w:t>
      </w:r>
      <w:proofErr w:type="spellEnd"/>
      <w:r w:rsidRPr="00696FA6">
        <w:rPr>
          <w:rFonts w:ascii="Times New Roman" w:eastAsia="Times New Roman" w:hAnsi="Times New Roman" w:cs="Times New Roman"/>
          <w:sz w:val="24"/>
          <w:szCs w:val="24"/>
          <w:lang w:eastAsia="fr-CA"/>
        </w:rPr>
        <w:t xml:space="preserv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Centre régional de prévention de la criminalité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Centre ressources naissance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Centre ressources naissance de Trois-Rivières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Centre universitaire-Centre du Québec/Agence de la Santé et des services sociaux de la Mauricie et du Centre du Québec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Chevaliers de Mont-Carmel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Club de canoë-kayak de </w:t>
      </w:r>
      <w:proofErr w:type="spellStart"/>
      <w:r w:rsidRPr="00696FA6">
        <w:rPr>
          <w:rFonts w:ascii="Times New Roman" w:eastAsia="Times New Roman" w:hAnsi="Times New Roman" w:cs="Times New Roman"/>
          <w:sz w:val="24"/>
          <w:szCs w:val="24"/>
          <w:lang w:eastAsia="fr-CA"/>
        </w:rPr>
        <w:t>Drummondivlle</w:t>
      </w:r>
      <w:proofErr w:type="spellEnd"/>
      <w:r w:rsidRPr="00696FA6">
        <w:rPr>
          <w:rFonts w:ascii="Times New Roman" w:eastAsia="Times New Roman" w:hAnsi="Times New Roman" w:cs="Times New Roman"/>
          <w:sz w:val="24"/>
          <w:szCs w:val="24"/>
          <w:lang w:eastAsia="fr-CA"/>
        </w:rPr>
        <w:t xml:space="preserv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Coalition d'aide aux victimes de la pyrrhotite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Comité d'action des </w:t>
      </w:r>
      <w:proofErr w:type="spellStart"/>
      <w:r w:rsidRPr="00696FA6">
        <w:rPr>
          <w:rFonts w:ascii="Times New Roman" w:eastAsia="Times New Roman" w:hAnsi="Times New Roman" w:cs="Times New Roman"/>
          <w:sz w:val="24"/>
          <w:szCs w:val="24"/>
          <w:lang w:eastAsia="fr-CA"/>
        </w:rPr>
        <w:t>non-syndiqué-es</w:t>
      </w:r>
      <w:proofErr w:type="spellEnd"/>
      <w:r w:rsidRPr="00696FA6">
        <w:rPr>
          <w:rFonts w:ascii="Times New Roman" w:eastAsia="Times New Roman" w:hAnsi="Times New Roman" w:cs="Times New Roman"/>
          <w:sz w:val="24"/>
          <w:szCs w:val="24"/>
          <w:lang w:eastAsia="fr-CA"/>
        </w:rPr>
        <w:t xml:space="preserve"> (</w:t>
      </w:r>
      <w:proofErr w:type="spellStart"/>
      <w:r w:rsidRPr="00696FA6">
        <w:rPr>
          <w:rFonts w:ascii="Times New Roman" w:eastAsia="Times New Roman" w:hAnsi="Times New Roman" w:cs="Times New Roman"/>
          <w:sz w:val="24"/>
          <w:szCs w:val="24"/>
          <w:lang w:eastAsia="fr-CA"/>
        </w:rPr>
        <w:t>canos</w:t>
      </w:r>
      <w:proofErr w:type="spellEnd"/>
      <w:r w:rsidRPr="00696FA6">
        <w:rPr>
          <w:rFonts w:ascii="Times New Roman" w:eastAsia="Times New Roman" w:hAnsi="Times New Roman" w:cs="Times New Roman"/>
          <w:sz w:val="24"/>
          <w:szCs w:val="24"/>
          <w:lang w:eastAsia="fr-CA"/>
        </w:rPr>
        <w:t xml:space="preserv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Comité de développement durable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Comité de l'Animation Terrain de Jeux St-Thomas-de-</w:t>
      </w:r>
      <w:proofErr w:type="spellStart"/>
      <w:r w:rsidRPr="00696FA6">
        <w:rPr>
          <w:rFonts w:ascii="Times New Roman" w:eastAsia="Times New Roman" w:hAnsi="Times New Roman" w:cs="Times New Roman"/>
          <w:sz w:val="24"/>
          <w:szCs w:val="24"/>
          <w:lang w:eastAsia="fr-CA"/>
        </w:rPr>
        <w:t>Caxton</w:t>
      </w:r>
      <w:proofErr w:type="spellEnd"/>
      <w:r w:rsidRPr="00696FA6">
        <w:rPr>
          <w:rFonts w:ascii="Times New Roman" w:eastAsia="Times New Roman" w:hAnsi="Times New Roman" w:cs="Times New Roman"/>
          <w:sz w:val="24"/>
          <w:szCs w:val="24"/>
          <w:lang w:eastAsia="fr-CA"/>
        </w:rPr>
        <w:t xml:space="preserv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Comité de programme en géographie de l'UQTR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Comité de protection des </w:t>
      </w:r>
      <w:proofErr w:type="spellStart"/>
      <w:r w:rsidRPr="00696FA6">
        <w:rPr>
          <w:rFonts w:ascii="Times New Roman" w:eastAsia="Times New Roman" w:hAnsi="Times New Roman" w:cs="Times New Roman"/>
          <w:sz w:val="24"/>
          <w:szCs w:val="24"/>
          <w:lang w:eastAsia="fr-CA"/>
        </w:rPr>
        <w:t>oeuvres</w:t>
      </w:r>
      <w:proofErr w:type="spellEnd"/>
      <w:r w:rsidRPr="00696FA6">
        <w:rPr>
          <w:rFonts w:ascii="Times New Roman" w:eastAsia="Times New Roman" w:hAnsi="Times New Roman" w:cs="Times New Roman"/>
          <w:sz w:val="24"/>
          <w:szCs w:val="24"/>
          <w:lang w:eastAsia="fr-CA"/>
        </w:rPr>
        <w:t xml:space="preserve"> d'</w:t>
      </w:r>
      <w:proofErr w:type="spellStart"/>
      <w:r w:rsidRPr="00696FA6">
        <w:rPr>
          <w:rFonts w:ascii="Times New Roman" w:eastAsia="Times New Roman" w:hAnsi="Times New Roman" w:cs="Times New Roman"/>
          <w:sz w:val="24"/>
          <w:szCs w:val="24"/>
          <w:lang w:eastAsia="fr-CA"/>
        </w:rPr>
        <w:t>Ozias</w:t>
      </w:r>
      <w:proofErr w:type="spellEnd"/>
      <w:r w:rsidRPr="00696FA6">
        <w:rPr>
          <w:rFonts w:ascii="Times New Roman" w:eastAsia="Times New Roman" w:hAnsi="Times New Roman" w:cs="Times New Roman"/>
          <w:sz w:val="24"/>
          <w:szCs w:val="24"/>
          <w:lang w:eastAsia="fr-CA"/>
        </w:rPr>
        <w:t xml:space="preserve"> Leduc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Comité de revitalisation commerciale de </w:t>
      </w:r>
      <w:proofErr w:type="spellStart"/>
      <w:r w:rsidRPr="00696FA6">
        <w:rPr>
          <w:rFonts w:ascii="Times New Roman" w:eastAsia="Times New Roman" w:hAnsi="Times New Roman" w:cs="Times New Roman"/>
          <w:sz w:val="24"/>
          <w:szCs w:val="24"/>
          <w:lang w:eastAsia="fr-CA"/>
        </w:rPr>
        <w:t>Louiseville</w:t>
      </w:r>
      <w:proofErr w:type="spellEnd"/>
      <w:r w:rsidRPr="00696FA6">
        <w:rPr>
          <w:rFonts w:ascii="Times New Roman" w:eastAsia="Times New Roman" w:hAnsi="Times New Roman" w:cs="Times New Roman"/>
          <w:sz w:val="24"/>
          <w:szCs w:val="24"/>
          <w:lang w:eastAsia="fr-CA"/>
        </w:rPr>
        <w:t xml:space="preserv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lastRenderedPageBreak/>
        <w:t xml:space="preserve">Comité de solidarité de Trois-Rivières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Comité du 29 juin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Comité Environnement de l'Université du Québec à Trois-Rivières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Comité famille </w:t>
      </w:r>
      <w:proofErr w:type="spellStart"/>
      <w:r w:rsidRPr="00696FA6">
        <w:rPr>
          <w:rFonts w:ascii="Times New Roman" w:eastAsia="Times New Roman" w:hAnsi="Times New Roman" w:cs="Times New Roman"/>
          <w:sz w:val="24"/>
          <w:szCs w:val="24"/>
          <w:lang w:eastAsia="fr-CA"/>
        </w:rPr>
        <w:t>Nicolet</w:t>
      </w:r>
      <w:proofErr w:type="spellEnd"/>
      <w:r w:rsidRPr="00696FA6">
        <w:rPr>
          <w:rFonts w:ascii="Times New Roman" w:eastAsia="Times New Roman" w:hAnsi="Times New Roman" w:cs="Times New Roman"/>
          <w:sz w:val="24"/>
          <w:szCs w:val="24"/>
          <w:lang w:eastAsia="fr-CA"/>
        </w:rPr>
        <w:t>-</w:t>
      </w:r>
      <w:proofErr w:type="spellStart"/>
      <w:r w:rsidRPr="00696FA6">
        <w:rPr>
          <w:rFonts w:ascii="Times New Roman" w:eastAsia="Times New Roman" w:hAnsi="Times New Roman" w:cs="Times New Roman"/>
          <w:sz w:val="24"/>
          <w:szCs w:val="24"/>
          <w:lang w:eastAsia="fr-CA"/>
        </w:rPr>
        <w:t>Yamaska</w:t>
      </w:r>
      <w:proofErr w:type="spellEnd"/>
      <w:r w:rsidRPr="00696FA6">
        <w:rPr>
          <w:rFonts w:ascii="Times New Roman" w:eastAsia="Times New Roman" w:hAnsi="Times New Roman" w:cs="Times New Roman"/>
          <w:sz w:val="24"/>
          <w:szCs w:val="24"/>
          <w:lang w:eastAsia="fr-CA"/>
        </w:rPr>
        <w:t xml:space="preserv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Comité institutionnel de développement durable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Comité organisateur de la Finale des Jeux du Québec - Été 2012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Comité régional en sécurité alimentaire (Consortium en développement social de la Mauricie)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Comité solidarité de Trois-Rivières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Comité territorial de développement social de </w:t>
      </w:r>
      <w:proofErr w:type="spellStart"/>
      <w:r w:rsidRPr="00696FA6">
        <w:rPr>
          <w:rFonts w:ascii="Times New Roman" w:eastAsia="Times New Roman" w:hAnsi="Times New Roman" w:cs="Times New Roman"/>
          <w:sz w:val="24"/>
          <w:szCs w:val="24"/>
          <w:lang w:eastAsia="fr-CA"/>
        </w:rPr>
        <w:t>Mékinac</w:t>
      </w:r>
      <w:proofErr w:type="spellEnd"/>
      <w:r w:rsidRPr="00696FA6">
        <w:rPr>
          <w:rFonts w:ascii="Times New Roman" w:eastAsia="Times New Roman" w:hAnsi="Times New Roman" w:cs="Times New Roman"/>
          <w:sz w:val="24"/>
          <w:szCs w:val="24"/>
          <w:lang w:eastAsia="fr-CA"/>
        </w:rPr>
        <w:t xml:space="preserv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Commission scolaire de l'énergie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Communauté entrepreneuriale de Shawinigan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COMSEP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Conseil communautaire du secteur </w:t>
      </w:r>
      <w:proofErr w:type="spellStart"/>
      <w:r w:rsidRPr="00696FA6">
        <w:rPr>
          <w:rFonts w:ascii="Times New Roman" w:eastAsia="Times New Roman" w:hAnsi="Times New Roman" w:cs="Times New Roman"/>
          <w:sz w:val="24"/>
          <w:szCs w:val="24"/>
          <w:lang w:eastAsia="fr-CA"/>
        </w:rPr>
        <w:t>Bécancour</w:t>
      </w:r>
      <w:proofErr w:type="spellEnd"/>
      <w:r w:rsidRPr="00696FA6">
        <w:rPr>
          <w:rFonts w:ascii="Times New Roman" w:eastAsia="Times New Roman" w:hAnsi="Times New Roman" w:cs="Times New Roman"/>
          <w:sz w:val="24"/>
          <w:szCs w:val="24"/>
          <w:lang w:eastAsia="fr-CA"/>
        </w:rPr>
        <w:t xml:space="preserv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Consortium en développement social de la Mauricie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Coopérative de solidarité écomarché.ca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Corporation Culturelle de Shawinigan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Corporation de développement communautaire (CDC) </w:t>
      </w:r>
      <w:proofErr w:type="spellStart"/>
      <w:r w:rsidRPr="00696FA6">
        <w:rPr>
          <w:rFonts w:ascii="Times New Roman" w:eastAsia="Times New Roman" w:hAnsi="Times New Roman" w:cs="Times New Roman"/>
          <w:sz w:val="24"/>
          <w:szCs w:val="24"/>
          <w:lang w:eastAsia="fr-CA"/>
        </w:rPr>
        <w:t>Nicolet</w:t>
      </w:r>
      <w:proofErr w:type="spellEnd"/>
      <w:r w:rsidRPr="00696FA6">
        <w:rPr>
          <w:rFonts w:ascii="Times New Roman" w:eastAsia="Times New Roman" w:hAnsi="Times New Roman" w:cs="Times New Roman"/>
          <w:sz w:val="24"/>
          <w:szCs w:val="24"/>
          <w:lang w:eastAsia="fr-CA"/>
        </w:rPr>
        <w:t>-</w:t>
      </w:r>
      <w:proofErr w:type="spellStart"/>
      <w:r w:rsidRPr="00696FA6">
        <w:rPr>
          <w:rFonts w:ascii="Times New Roman" w:eastAsia="Times New Roman" w:hAnsi="Times New Roman" w:cs="Times New Roman"/>
          <w:sz w:val="24"/>
          <w:szCs w:val="24"/>
          <w:lang w:eastAsia="fr-CA"/>
        </w:rPr>
        <w:t>Yamaska</w:t>
      </w:r>
      <w:proofErr w:type="spellEnd"/>
      <w:r w:rsidRPr="00696FA6">
        <w:rPr>
          <w:rFonts w:ascii="Times New Roman" w:eastAsia="Times New Roman" w:hAnsi="Times New Roman" w:cs="Times New Roman"/>
          <w:sz w:val="24"/>
          <w:szCs w:val="24"/>
          <w:lang w:eastAsia="fr-CA"/>
        </w:rPr>
        <w:t xml:space="preserv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Corporation de développement communautaire des Chenaux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Corporation de développement communautaire </w:t>
      </w:r>
      <w:proofErr w:type="spellStart"/>
      <w:r w:rsidRPr="00696FA6">
        <w:rPr>
          <w:rFonts w:ascii="Times New Roman" w:eastAsia="Times New Roman" w:hAnsi="Times New Roman" w:cs="Times New Roman"/>
          <w:sz w:val="24"/>
          <w:szCs w:val="24"/>
          <w:lang w:eastAsia="fr-CA"/>
        </w:rPr>
        <w:t>Mékinac</w:t>
      </w:r>
      <w:proofErr w:type="spellEnd"/>
      <w:r w:rsidRPr="00696FA6">
        <w:rPr>
          <w:rFonts w:ascii="Times New Roman" w:eastAsia="Times New Roman" w:hAnsi="Times New Roman" w:cs="Times New Roman"/>
          <w:sz w:val="24"/>
          <w:szCs w:val="24"/>
          <w:lang w:eastAsia="fr-CA"/>
        </w:rPr>
        <w:t xml:space="preserve"> (CDC)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Corporation du Parc des Trois </w:t>
      </w:r>
      <w:proofErr w:type="spellStart"/>
      <w:r w:rsidRPr="00696FA6">
        <w:rPr>
          <w:rFonts w:ascii="Times New Roman" w:eastAsia="Times New Roman" w:hAnsi="Times New Roman" w:cs="Times New Roman"/>
          <w:sz w:val="24"/>
          <w:szCs w:val="24"/>
          <w:lang w:eastAsia="fr-CA"/>
        </w:rPr>
        <w:t>Soeurs</w:t>
      </w:r>
      <w:proofErr w:type="spellEnd"/>
      <w:r w:rsidRPr="00696FA6">
        <w:rPr>
          <w:rFonts w:ascii="Times New Roman" w:eastAsia="Times New Roman" w:hAnsi="Times New Roman" w:cs="Times New Roman"/>
          <w:sz w:val="24"/>
          <w:szCs w:val="24"/>
          <w:lang w:eastAsia="fr-CA"/>
        </w:rPr>
        <w:t xml:space="preserv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Corporation </w:t>
      </w:r>
      <w:proofErr w:type="spellStart"/>
      <w:r w:rsidRPr="00696FA6">
        <w:rPr>
          <w:rFonts w:ascii="Times New Roman" w:eastAsia="Times New Roman" w:hAnsi="Times New Roman" w:cs="Times New Roman"/>
          <w:sz w:val="24"/>
          <w:szCs w:val="24"/>
          <w:lang w:eastAsia="fr-CA"/>
        </w:rPr>
        <w:t>Spect</w:t>
      </w:r>
      <w:proofErr w:type="spellEnd"/>
      <w:r w:rsidRPr="00696FA6">
        <w:rPr>
          <w:rFonts w:ascii="Times New Roman" w:eastAsia="Times New Roman" w:hAnsi="Times New Roman" w:cs="Times New Roman"/>
          <w:sz w:val="24"/>
          <w:szCs w:val="24"/>
          <w:lang w:eastAsia="fr-CA"/>
        </w:rPr>
        <w:t xml:space="preserve">-arts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Coup de Main Mauricie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CPE La Maisonnée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Défi CLM des lacs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Démarche des premiers quartiers de Trois-Rivières (ECOF/CDEC)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Développement Défi Services </w:t>
      </w:r>
      <w:proofErr w:type="spellStart"/>
      <w:r w:rsidRPr="00696FA6">
        <w:rPr>
          <w:rFonts w:ascii="Times New Roman" w:eastAsia="Times New Roman" w:hAnsi="Times New Roman" w:cs="Times New Roman"/>
          <w:sz w:val="24"/>
          <w:szCs w:val="24"/>
          <w:lang w:eastAsia="fr-CA"/>
        </w:rPr>
        <w:t>inc</w:t>
      </w:r>
      <w:proofErr w:type="spellEnd"/>
      <w:r w:rsidRPr="00696FA6">
        <w:rPr>
          <w:rFonts w:ascii="Times New Roman" w:eastAsia="Times New Roman" w:hAnsi="Times New Roman" w:cs="Times New Roman"/>
          <w:sz w:val="24"/>
          <w:szCs w:val="24"/>
          <w:lang w:eastAsia="fr-CA"/>
        </w:rPr>
        <w:t xml:space="preserv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Domaine Scout St-Louis-de-France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Écarlates, l'art pour l'implication sociale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Éclosion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École secondaire Val-Mauricie et école primaire La tortue des bois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École Val-Marie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proofErr w:type="spellStart"/>
      <w:r w:rsidRPr="00696FA6">
        <w:rPr>
          <w:rFonts w:ascii="Times New Roman" w:eastAsia="Times New Roman" w:hAnsi="Times New Roman" w:cs="Times New Roman"/>
          <w:sz w:val="24"/>
          <w:szCs w:val="24"/>
          <w:lang w:eastAsia="fr-CA"/>
        </w:rPr>
        <w:t>Ensoleilevent</w:t>
      </w:r>
      <w:proofErr w:type="spellEnd"/>
      <w:r w:rsidRPr="00696FA6">
        <w:rPr>
          <w:rFonts w:ascii="Times New Roman" w:eastAsia="Times New Roman" w:hAnsi="Times New Roman" w:cs="Times New Roman"/>
          <w:sz w:val="24"/>
          <w:szCs w:val="24"/>
          <w:lang w:eastAsia="fr-CA"/>
        </w:rPr>
        <w:t xml:space="preserv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Escale Jeunesse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Évasion St-Pie X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Fabrique paroisse Immaculée-Conception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Fibrose Kystique Québec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Fondation Brandon </w:t>
      </w:r>
      <w:proofErr w:type="spellStart"/>
      <w:r w:rsidRPr="00696FA6">
        <w:rPr>
          <w:rFonts w:ascii="Times New Roman" w:eastAsia="Times New Roman" w:hAnsi="Times New Roman" w:cs="Times New Roman"/>
          <w:sz w:val="24"/>
          <w:szCs w:val="24"/>
          <w:lang w:eastAsia="fr-CA"/>
        </w:rPr>
        <w:t>Turcotte</w:t>
      </w:r>
      <w:proofErr w:type="spellEnd"/>
      <w:r w:rsidRPr="00696FA6">
        <w:rPr>
          <w:rFonts w:ascii="Times New Roman" w:eastAsia="Times New Roman" w:hAnsi="Times New Roman" w:cs="Times New Roman"/>
          <w:sz w:val="24"/>
          <w:szCs w:val="24"/>
          <w:lang w:eastAsia="fr-CA"/>
        </w:rPr>
        <w:t xml:space="preserv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Fondation </w:t>
      </w:r>
      <w:proofErr w:type="spellStart"/>
      <w:r w:rsidRPr="00696FA6">
        <w:rPr>
          <w:rFonts w:ascii="Times New Roman" w:eastAsia="Times New Roman" w:hAnsi="Times New Roman" w:cs="Times New Roman"/>
          <w:sz w:val="24"/>
          <w:szCs w:val="24"/>
          <w:lang w:eastAsia="fr-CA"/>
        </w:rPr>
        <w:t>Cédrika</w:t>
      </w:r>
      <w:proofErr w:type="spellEnd"/>
      <w:r w:rsidRPr="00696FA6">
        <w:rPr>
          <w:rFonts w:ascii="Times New Roman" w:eastAsia="Times New Roman" w:hAnsi="Times New Roman" w:cs="Times New Roman"/>
          <w:sz w:val="24"/>
          <w:szCs w:val="24"/>
          <w:lang w:eastAsia="fr-CA"/>
        </w:rPr>
        <w:t xml:space="preserve"> Provencher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Fondation Claude-</w:t>
      </w:r>
      <w:proofErr w:type="spellStart"/>
      <w:r w:rsidRPr="00696FA6">
        <w:rPr>
          <w:rFonts w:ascii="Times New Roman" w:eastAsia="Times New Roman" w:hAnsi="Times New Roman" w:cs="Times New Roman"/>
          <w:sz w:val="24"/>
          <w:szCs w:val="24"/>
          <w:lang w:eastAsia="fr-CA"/>
        </w:rPr>
        <w:t>Mongrain</w:t>
      </w:r>
      <w:proofErr w:type="spellEnd"/>
      <w:r w:rsidRPr="00696FA6">
        <w:rPr>
          <w:rFonts w:ascii="Times New Roman" w:eastAsia="Times New Roman" w:hAnsi="Times New Roman" w:cs="Times New Roman"/>
          <w:sz w:val="24"/>
          <w:szCs w:val="24"/>
          <w:lang w:eastAsia="fr-CA"/>
        </w:rPr>
        <w:t xml:space="preserv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Fonds Communautaire des Chenaux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Grands frères et Grandes </w:t>
      </w:r>
      <w:proofErr w:type="spellStart"/>
      <w:r w:rsidRPr="00696FA6">
        <w:rPr>
          <w:rFonts w:ascii="Times New Roman" w:eastAsia="Times New Roman" w:hAnsi="Times New Roman" w:cs="Times New Roman"/>
          <w:sz w:val="24"/>
          <w:szCs w:val="24"/>
          <w:lang w:eastAsia="fr-CA"/>
        </w:rPr>
        <w:t>Soeurs</w:t>
      </w:r>
      <w:proofErr w:type="spellEnd"/>
      <w:r w:rsidRPr="00696FA6">
        <w:rPr>
          <w:rFonts w:ascii="Times New Roman" w:eastAsia="Times New Roman" w:hAnsi="Times New Roman" w:cs="Times New Roman"/>
          <w:sz w:val="24"/>
          <w:szCs w:val="24"/>
          <w:lang w:eastAsia="fr-CA"/>
        </w:rPr>
        <w:t xml:space="preserve"> de Trois-Rivières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Groupe vocal Zaria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Halte garderie Polichinelle de St-Prosper Inc.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lastRenderedPageBreak/>
        <w:t xml:space="preserve">Ham Nord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Héritage Vallée de la </w:t>
      </w:r>
      <w:proofErr w:type="spellStart"/>
      <w:r w:rsidRPr="00696FA6">
        <w:rPr>
          <w:rFonts w:ascii="Times New Roman" w:eastAsia="Times New Roman" w:hAnsi="Times New Roman" w:cs="Times New Roman"/>
          <w:sz w:val="24"/>
          <w:szCs w:val="24"/>
          <w:lang w:eastAsia="fr-CA"/>
        </w:rPr>
        <w:t>Batiscan</w:t>
      </w:r>
      <w:proofErr w:type="spellEnd"/>
      <w:r w:rsidRPr="00696FA6">
        <w:rPr>
          <w:rFonts w:ascii="Times New Roman" w:eastAsia="Times New Roman" w:hAnsi="Times New Roman" w:cs="Times New Roman"/>
          <w:sz w:val="24"/>
          <w:szCs w:val="24"/>
          <w:lang w:eastAsia="fr-CA"/>
        </w:rPr>
        <w:t xml:space="preserv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Ingénierie Trois-Rivières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Initiative 1, 2, 3, go!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La Cité des mots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La démarche des premiers quartiers de Trois-Rivières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La Fenêtre, Centre d'immersion aux arts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La Gazette de la Mauricie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La Lanterne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La Maison Carignan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La Maison Coup de Pouce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La Maison des femmes de Québec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La Petite Mission </w:t>
      </w:r>
      <w:proofErr w:type="spellStart"/>
      <w:r w:rsidRPr="00696FA6">
        <w:rPr>
          <w:rFonts w:ascii="Times New Roman" w:eastAsia="Times New Roman" w:hAnsi="Times New Roman" w:cs="Times New Roman"/>
          <w:sz w:val="24"/>
          <w:szCs w:val="24"/>
          <w:lang w:eastAsia="fr-CA"/>
        </w:rPr>
        <w:t>inc</w:t>
      </w:r>
      <w:proofErr w:type="spellEnd"/>
      <w:r w:rsidRPr="00696FA6">
        <w:rPr>
          <w:rFonts w:ascii="Times New Roman" w:eastAsia="Times New Roman" w:hAnsi="Times New Roman" w:cs="Times New Roman"/>
          <w:sz w:val="24"/>
          <w:szCs w:val="24"/>
          <w:lang w:eastAsia="fr-CA"/>
        </w:rPr>
        <w:t xml:space="preserv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La Piaule (Trois-Rivières)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La relance </w:t>
      </w:r>
      <w:proofErr w:type="spellStart"/>
      <w:r w:rsidRPr="00696FA6">
        <w:rPr>
          <w:rFonts w:ascii="Times New Roman" w:eastAsia="Times New Roman" w:hAnsi="Times New Roman" w:cs="Times New Roman"/>
          <w:sz w:val="24"/>
          <w:szCs w:val="24"/>
          <w:lang w:eastAsia="fr-CA"/>
        </w:rPr>
        <w:t>Nicolet</w:t>
      </w:r>
      <w:proofErr w:type="spellEnd"/>
      <w:r w:rsidRPr="00696FA6">
        <w:rPr>
          <w:rFonts w:ascii="Times New Roman" w:eastAsia="Times New Roman" w:hAnsi="Times New Roman" w:cs="Times New Roman"/>
          <w:sz w:val="24"/>
          <w:szCs w:val="24"/>
          <w:lang w:eastAsia="fr-CA"/>
        </w:rPr>
        <w:t>-</w:t>
      </w:r>
      <w:proofErr w:type="spellStart"/>
      <w:r w:rsidRPr="00696FA6">
        <w:rPr>
          <w:rFonts w:ascii="Times New Roman" w:eastAsia="Times New Roman" w:hAnsi="Times New Roman" w:cs="Times New Roman"/>
          <w:sz w:val="24"/>
          <w:szCs w:val="24"/>
          <w:lang w:eastAsia="fr-CA"/>
        </w:rPr>
        <w:t>Bécancour</w:t>
      </w:r>
      <w:proofErr w:type="spellEnd"/>
      <w:r w:rsidRPr="00696FA6">
        <w:rPr>
          <w:rFonts w:ascii="Times New Roman" w:eastAsia="Times New Roman" w:hAnsi="Times New Roman" w:cs="Times New Roman"/>
          <w:sz w:val="24"/>
          <w:szCs w:val="24"/>
          <w:lang w:eastAsia="fr-CA"/>
        </w:rPr>
        <w:t xml:space="preserv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La Ressource FAIRE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La route des possibles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La Ruche aire ouverte </w:t>
      </w:r>
      <w:proofErr w:type="spellStart"/>
      <w:r w:rsidRPr="00696FA6">
        <w:rPr>
          <w:rFonts w:ascii="Times New Roman" w:eastAsia="Times New Roman" w:hAnsi="Times New Roman" w:cs="Times New Roman"/>
          <w:sz w:val="24"/>
          <w:szCs w:val="24"/>
          <w:lang w:eastAsia="fr-CA"/>
        </w:rPr>
        <w:t>inc</w:t>
      </w:r>
      <w:proofErr w:type="spellEnd"/>
      <w:r w:rsidRPr="00696FA6">
        <w:rPr>
          <w:rFonts w:ascii="Times New Roman" w:eastAsia="Times New Roman" w:hAnsi="Times New Roman" w:cs="Times New Roman"/>
          <w:sz w:val="24"/>
          <w:szCs w:val="24"/>
          <w:lang w:eastAsia="fr-CA"/>
        </w:rPr>
        <w:t xml:space="preserv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L'Appui Mauricie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L'Arche Mauricie </w:t>
      </w:r>
      <w:proofErr w:type="spellStart"/>
      <w:r w:rsidRPr="00696FA6">
        <w:rPr>
          <w:rFonts w:ascii="Times New Roman" w:eastAsia="Times New Roman" w:hAnsi="Times New Roman" w:cs="Times New Roman"/>
          <w:sz w:val="24"/>
          <w:szCs w:val="24"/>
          <w:lang w:eastAsia="fr-CA"/>
        </w:rPr>
        <w:t>inc</w:t>
      </w:r>
      <w:proofErr w:type="spellEnd"/>
      <w:r w:rsidRPr="00696FA6">
        <w:rPr>
          <w:rFonts w:ascii="Times New Roman" w:eastAsia="Times New Roman" w:hAnsi="Times New Roman" w:cs="Times New Roman"/>
          <w:sz w:val="24"/>
          <w:szCs w:val="24"/>
          <w:lang w:eastAsia="fr-CA"/>
        </w:rPr>
        <w:t xml:space="preserv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Le </w:t>
      </w:r>
      <w:proofErr w:type="spellStart"/>
      <w:r w:rsidRPr="00696FA6">
        <w:rPr>
          <w:rFonts w:ascii="Times New Roman" w:eastAsia="Times New Roman" w:hAnsi="Times New Roman" w:cs="Times New Roman"/>
          <w:sz w:val="24"/>
          <w:szCs w:val="24"/>
          <w:lang w:eastAsia="fr-CA"/>
        </w:rPr>
        <w:t>Communo</w:t>
      </w:r>
      <w:proofErr w:type="spellEnd"/>
      <w:r w:rsidRPr="00696FA6">
        <w:rPr>
          <w:rFonts w:ascii="Times New Roman" w:eastAsia="Times New Roman" w:hAnsi="Times New Roman" w:cs="Times New Roman"/>
          <w:sz w:val="24"/>
          <w:szCs w:val="24"/>
          <w:lang w:eastAsia="fr-CA"/>
        </w:rPr>
        <w:t xml:space="preserve">-gym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Le service d'accueil des nouveaux arrivants (SANA) de Trois-Rivières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Les Ambassadeurs de la Montérégie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Les artisans bénévoles de la paix de Trois-Rivières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Les </w:t>
      </w:r>
      <w:proofErr w:type="spellStart"/>
      <w:r w:rsidRPr="00696FA6">
        <w:rPr>
          <w:rFonts w:ascii="Times New Roman" w:eastAsia="Times New Roman" w:hAnsi="Times New Roman" w:cs="Times New Roman"/>
          <w:sz w:val="24"/>
          <w:szCs w:val="24"/>
          <w:lang w:eastAsia="fr-CA"/>
        </w:rPr>
        <w:t>Oeuvres</w:t>
      </w:r>
      <w:proofErr w:type="spellEnd"/>
      <w:r w:rsidRPr="00696FA6">
        <w:rPr>
          <w:rFonts w:ascii="Times New Roman" w:eastAsia="Times New Roman" w:hAnsi="Times New Roman" w:cs="Times New Roman"/>
          <w:sz w:val="24"/>
          <w:szCs w:val="24"/>
          <w:lang w:eastAsia="fr-CA"/>
        </w:rPr>
        <w:t xml:space="preserve"> De </w:t>
      </w:r>
      <w:proofErr w:type="spellStart"/>
      <w:r w:rsidRPr="00696FA6">
        <w:rPr>
          <w:rFonts w:ascii="Times New Roman" w:eastAsia="Times New Roman" w:hAnsi="Times New Roman" w:cs="Times New Roman"/>
          <w:sz w:val="24"/>
          <w:szCs w:val="24"/>
          <w:lang w:eastAsia="fr-CA"/>
        </w:rPr>
        <w:t>Griffonnette</w:t>
      </w:r>
      <w:proofErr w:type="spellEnd"/>
      <w:r w:rsidRPr="00696FA6">
        <w:rPr>
          <w:rFonts w:ascii="Times New Roman" w:eastAsia="Times New Roman" w:hAnsi="Times New Roman" w:cs="Times New Roman"/>
          <w:sz w:val="24"/>
          <w:szCs w:val="24"/>
          <w:lang w:eastAsia="fr-CA"/>
        </w:rPr>
        <w:t xml:space="preserv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Les Parents partenaires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L'Évasion St-Pie X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L'initiative 1</w:t>
      </w:r>
      <w:proofErr w:type="gramStart"/>
      <w:r w:rsidRPr="00696FA6">
        <w:rPr>
          <w:rFonts w:ascii="Times New Roman" w:eastAsia="Times New Roman" w:hAnsi="Times New Roman" w:cs="Times New Roman"/>
          <w:sz w:val="24"/>
          <w:szCs w:val="24"/>
          <w:lang w:eastAsia="fr-CA"/>
        </w:rPr>
        <w:t>,2,3</w:t>
      </w:r>
      <w:proofErr w:type="gramEnd"/>
      <w:r w:rsidRPr="00696FA6">
        <w:rPr>
          <w:rFonts w:ascii="Times New Roman" w:eastAsia="Times New Roman" w:hAnsi="Times New Roman" w:cs="Times New Roman"/>
          <w:sz w:val="24"/>
          <w:szCs w:val="24"/>
          <w:lang w:eastAsia="fr-CA"/>
        </w:rPr>
        <w:t xml:space="preserve"> go! </w:t>
      </w:r>
      <w:proofErr w:type="spellStart"/>
      <w:r w:rsidRPr="00696FA6">
        <w:rPr>
          <w:rFonts w:ascii="Times New Roman" w:eastAsia="Times New Roman" w:hAnsi="Times New Roman" w:cs="Times New Roman"/>
          <w:sz w:val="24"/>
          <w:szCs w:val="24"/>
          <w:lang w:eastAsia="fr-CA"/>
        </w:rPr>
        <w:t>Limoilou</w:t>
      </w:r>
      <w:proofErr w:type="spellEnd"/>
      <w:r w:rsidRPr="00696FA6">
        <w:rPr>
          <w:rFonts w:ascii="Times New Roman" w:eastAsia="Times New Roman" w:hAnsi="Times New Roman" w:cs="Times New Roman"/>
          <w:sz w:val="24"/>
          <w:szCs w:val="24"/>
          <w:lang w:eastAsia="fr-CA"/>
        </w:rPr>
        <w:t xml:space="preserv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Maison Albatros </w:t>
      </w:r>
      <w:proofErr w:type="spellStart"/>
      <w:r w:rsidRPr="00696FA6">
        <w:rPr>
          <w:rFonts w:ascii="Times New Roman" w:eastAsia="Times New Roman" w:hAnsi="Times New Roman" w:cs="Times New Roman"/>
          <w:sz w:val="24"/>
          <w:szCs w:val="24"/>
          <w:lang w:eastAsia="fr-CA"/>
        </w:rPr>
        <w:t>inc</w:t>
      </w:r>
      <w:proofErr w:type="spellEnd"/>
      <w:r w:rsidRPr="00696FA6">
        <w:rPr>
          <w:rFonts w:ascii="Times New Roman" w:eastAsia="Times New Roman" w:hAnsi="Times New Roman" w:cs="Times New Roman"/>
          <w:sz w:val="24"/>
          <w:szCs w:val="24"/>
          <w:lang w:eastAsia="fr-CA"/>
        </w:rPr>
        <w:t xml:space="preserv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Maison Carignan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Maison Dauphine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Maison de jeunes Le </w:t>
      </w:r>
      <w:proofErr w:type="spellStart"/>
      <w:r w:rsidRPr="00696FA6">
        <w:rPr>
          <w:rFonts w:ascii="Times New Roman" w:eastAsia="Times New Roman" w:hAnsi="Times New Roman" w:cs="Times New Roman"/>
          <w:sz w:val="24"/>
          <w:szCs w:val="24"/>
          <w:lang w:eastAsia="fr-CA"/>
        </w:rPr>
        <w:t>Chakado</w:t>
      </w:r>
      <w:proofErr w:type="spellEnd"/>
      <w:r w:rsidRPr="00696FA6">
        <w:rPr>
          <w:rFonts w:ascii="Times New Roman" w:eastAsia="Times New Roman" w:hAnsi="Times New Roman" w:cs="Times New Roman"/>
          <w:sz w:val="24"/>
          <w:szCs w:val="24"/>
          <w:lang w:eastAsia="fr-CA"/>
        </w:rPr>
        <w:t xml:space="preserv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Maison de la famille de </w:t>
      </w:r>
      <w:proofErr w:type="spellStart"/>
      <w:r w:rsidRPr="00696FA6">
        <w:rPr>
          <w:rFonts w:ascii="Times New Roman" w:eastAsia="Times New Roman" w:hAnsi="Times New Roman" w:cs="Times New Roman"/>
          <w:sz w:val="24"/>
          <w:szCs w:val="24"/>
          <w:lang w:eastAsia="fr-CA"/>
        </w:rPr>
        <w:t>Louiseville</w:t>
      </w:r>
      <w:proofErr w:type="spellEnd"/>
      <w:r w:rsidRPr="00696FA6">
        <w:rPr>
          <w:rFonts w:ascii="Times New Roman" w:eastAsia="Times New Roman" w:hAnsi="Times New Roman" w:cs="Times New Roman"/>
          <w:sz w:val="24"/>
          <w:szCs w:val="24"/>
          <w:lang w:eastAsia="fr-CA"/>
        </w:rPr>
        <w:t xml:space="preserv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Maison de la Famille de Trois-Rivières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Maison de quartier St-Philippe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Maison des familles Chemin du Roi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Maison des familles chemin du roi de Trois-Rivières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Maison des Jeunes de St-Georges-de-Champlain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Maison des jeunes la Forteresse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Maison des jeunes le </w:t>
      </w:r>
      <w:proofErr w:type="spellStart"/>
      <w:r w:rsidRPr="00696FA6">
        <w:rPr>
          <w:rFonts w:ascii="Times New Roman" w:eastAsia="Times New Roman" w:hAnsi="Times New Roman" w:cs="Times New Roman"/>
          <w:sz w:val="24"/>
          <w:szCs w:val="24"/>
          <w:lang w:eastAsia="fr-CA"/>
        </w:rPr>
        <w:t>Chakado</w:t>
      </w:r>
      <w:proofErr w:type="spellEnd"/>
      <w:r w:rsidRPr="00696FA6">
        <w:rPr>
          <w:rFonts w:ascii="Times New Roman" w:eastAsia="Times New Roman" w:hAnsi="Times New Roman" w:cs="Times New Roman"/>
          <w:sz w:val="24"/>
          <w:szCs w:val="24"/>
          <w:lang w:eastAsia="fr-CA"/>
        </w:rPr>
        <w:t xml:space="preserv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Maison des jeunes Le Transit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Maison des jeunes L'Index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Maison des jeunes St-Charles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Maison </w:t>
      </w:r>
      <w:proofErr w:type="spellStart"/>
      <w:r w:rsidRPr="00696FA6">
        <w:rPr>
          <w:rFonts w:ascii="Times New Roman" w:eastAsia="Times New Roman" w:hAnsi="Times New Roman" w:cs="Times New Roman"/>
          <w:sz w:val="24"/>
          <w:szCs w:val="24"/>
          <w:lang w:eastAsia="fr-CA"/>
        </w:rPr>
        <w:t>Grandi-Ose</w:t>
      </w:r>
      <w:proofErr w:type="spellEnd"/>
      <w:r w:rsidRPr="00696FA6">
        <w:rPr>
          <w:rFonts w:ascii="Times New Roman" w:eastAsia="Times New Roman" w:hAnsi="Times New Roman" w:cs="Times New Roman"/>
          <w:sz w:val="24"/>
          <w:szCs w:val="24"/>
          <w:lang w:eastAsia="fr-CA"/>
        </w:rPr>
        <w:t xml:space="preserv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lastRenderedPageBreak/>
        <w:t xml:space="preserve">Maison Le Far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Maison RÉPIT des quartiers St-Marc et Christ-Roi de Shawinigan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Maison RÉSO de la Mauricie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Manoir de la Rivière Dufresne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proofErr w:type="spellStart"/>
      <w:r w:rsidRPr="00696FA6">
        <w:rPr>
          <w:rFonts w:ascii="Times New Roman" w:eastAsia="Times New Roman" w:hAnsi="Times New Roman" w:cs="Times New Roman"/>
          <w:sz w:val="24"/>
          <w:szCs w:val="24"/>
          <w:lang w:eastAsia="fr-CA"/>
        </w:rPr>
        <w:t>Maternaide</w:t>
      </w:r>
      <w:proofErr w:type="spellEnd"/>
      <w:r w:rsidRPr="00696FA6">
        <w:rPr>
          <w:rFonts w:ascii="Times New Roman" w:eastAsia="Times New Roman" w:hAnsi="Times New Roman" w:cs="Times New Roman"/>
          <w:sz w:val="24"/>
          <w:szCs w:val="24"/>
          <w:lang w:eastAsia="fr-CA"/>
        </w:rPr>
        <w:t xml:space="preserve"> du Québec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Mer et Monde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Musée québécois de culture populaire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Office municipal d'habitation de Trois-Rivières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Parc de la rivière </w:t>
      </w:r>
      <w:proofErr w:type="spellStart"/>
      <w:r w:rsidRPr="00696FA6">
        <w:rPr>
          <w:rFonts w:ascii="Times New Roman" w:eastAsia="Times New Roman" w:hAnsi="Times New Roman" w:cs="Times New Roman"/>
          <w:sz w:val="24"/>
          <w:szCs w:val="24"/>
          <w:lang w:eastAsia="fr-CA"/>
        </w:rPr>
        <w:t>Batiscan</w:t>
      </w:r>
      <w:proofErr w:type="spellEnd"/>
      <w:r w:rsidRPr="00696FA6">
        <w:rPr>
          <w:rFonts w:ascii="Times New Roman" w:eastAsia="Times New Roman" w:hAnsi="Times New Roman" w:cs="Times New Roman"/>
          <w:sz w:val="24"/>
          <w:szCs w:val="24"/>
          <w:lang w:eastAsia="fr-CA"/>
        </w:rPr>
        <w:t xml:space="preserv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Parkinson Mauricie/Centre-du-Québec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Partenaires 12-18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Patinoire de Saint-Boniface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Patrimoine Trois-Rivières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proofErr w:type="spellStart"/>
      <w:r w:rsidRPr="00696FA6">
        <w:rPr>
          <w:rFonts w:ascii="Times New Roman" w:eastAsia="Times New Roman" w:hAnsi="Times New Roman" w:cs="Times New Roman"/>
          <w:sz w:val="24"/>
          <w:szCs w:val="24"/>
          <w:lang w:eastAsia="fr-CA"/>
        </w:rPr>
        <w:t>Patro</w:t>
      </w:r>
      <w:proofErr w:type="spellEnd"/>
      <w:r w:rsidRPr="00696FA6">
        <w:rPr>
          <w:rFonts w:ascii="Times New Roman" w:eastAsia="Times New Roman" w:hAnsi="Times New Roman" w:cs="Times New Roman"/>
          <w:sz w:val="24"/>
          <w:szCs w:val="24"/>
          <w:lang w:eastAsia="fr-CA"/>
        </w:rPr>
        <w:t xml:space="preserve"> </w:t>
      </w:r>
      <w:proofErr w:type="spellStart"/>
      <w:r w:rsidRPr="00696FA6">
        <w:rPr>
          <w:rFonts w:ascii="Times New Roman" w:eastAsia="Times New Roman" w:hAnsi="Times New Roman" w:cs="Times New Roman"/>
          <w:sz w:val="24"/>
          <w:szCs w:val="24"/>
          <w:lang w:eastAsia="fr-CA"/>
        </w:rPr>
        <w:t>Roc-Amadour</w:t>
      </w:r>
      <w:proofErr w:type="spellEnd"/>
      <w:r w:rsidRPr="00696FA6">
        <w:rPr>
          <w:rFonts w:ascii="Times New Roman" w:eastAsia="Times New Roman" w:hAnsi="Times New Roman" w:cs="Times New Roman"/>
          <w:sz w:val="24"/>
          <w:szCs w:val="24"/>
          <w:lang w:eastAsia="fr-CA"/>
        </w:rPr>
        <w:t xml:space="preserv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Pavillon </w:t>
      </w:r>
      <w:proofErr w:type="spellStart"/>
      <w:r w:rsidRPr="00696FA6">
        <w:rPr>
          <w:rFonts w:ascii="Times New Roman" w:eastAsia="Times New Roman" w:hAnsi="Times New Roman" w:cs="Times New Roman"/>
          <w:sz w:val="24"/>
          <w:szCs w:val="24"/>
          <w:lang w:eastAsia="fr-CA"/>
        </w:rPr>
        <w:t>Arc-En-Ciel</w:t>
      </w:r>
      <w:proofErr w:type="spellEnd"/>
      <w:r w:rsidRPr="00696FA6">
        <w:rPr>
          <w:rFonts w:ascii="Times New Roman" w:eastAsia="Times New Roman" w:hAnsi="Times New Roman" w:cs="Times New Roman"/>
          <w:sz w:val="24"/>
          <w:szCs w:val="24"/>
          <w:lang w:eastAsia="fr-CA"/>
        </w:rPr>
        <w:t xml:space="preserv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Plein Air Ville Joie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Point de rue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Point de Rue (Productions Antipode)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PREP-Québec (Partage des ressources des étudiants en psychoéducation)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Programme OXY-Jeunes du CSSS de Shawinigan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R.O.B.S.M. des régions 04-17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Radio campus des étudiants de l'Université du Québec à Trois-Rivières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Regroupement des organismes de base en santé mentale 04-17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Rendez-vous familial </w:t>
      </w:r>
      <w:proofErr w:type="spellStart"/>
      <w:r w:rsidRPr="00696FA6">
        <w:rPr>
          <w:rFonts w:ascii="Times New Roman" w:eastAsia="Times New Roman" w:hAnsi="Times New Roman" w:cs="Times New Roman"/>
          <w:sz w:val="24"/>
          <w:szCs w:val="24"/>
          <w:lang w:eastAsia="fr-CA"/>
        </w:rPr>
        <w:t>inc</w:t>
      </w:r>
      <w:proofErr w:type="spellEnd"/>
      <w:r w:rsidRPr="00696FA6">
        <w:rPr>
          <w:rFonts w:ascii="Times New Roman" w:eastAsia="Times New Roman" w:hAnsi="Times New Roman" w:cs="Times New Roman"/>
          <w:sz w:val="24"/>
          <w:szCs w:val="24"/>
          <w:lang w:eastAsia="fr-CA"/>
        </w:rPr>
        <w:t xml:space="preserv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Ressource F.A.I.R.E.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Roulons Vert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Service aux étudiants de l'UQTR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Service des loisirs de Saint-Étienne-des-Grès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Sidaction Trois-Rivières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SIT-Mauricie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Société canadienne de la sclérose en plaques/section Centre-du -Québec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Société canadienne du cancer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Société de l'autisme région Lanaudière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Société des écrivains de la Mauricie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Société d'Étude et de Conférences - Section Mauricie et Centre-du-Québec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proofErr w:type="spellStart"/>
      <w:r w:rsidRPr="00696FA6">
        <w:rPr>
          <w:rFonts w:ascii="Times New Roman" w:eastAsia="Times New Roman" w:hAnsi="Times New Roman" w:cs="Times New Roman"/>
          <w:sz w:val="24"/>
          <w:szCs w:val="24"/>
          <w:lang w:eastAsia="fr-CA"/>
        </w:rPr>
        <w:t>Spect</w:t>
      </w:r>
      <w:proofErr w:type="spellEnd"/>
      <w:r w:rsidRPr="00696FA6">
        <w:rPr>
          <w:rFonts w:ascii="Times New Roman" w:eastAsia="Times New Roman" w:hAnsi="Times New Roman" w:cs="Times New Roman"/>
          <w:sz w:val="24"/>
          <w:szCs w:val="24"/>
          <w:lang w:eastAsia="fr-CA"/>
        </w:rPr>
        <w:t xml:space="preserve">-Arts Trois-Rivières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Syndicat des producteurs de bois de la Mauricie et du Centre-du-Québec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Table régionale de concertation des personnes aînées du Centre-du-Québec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TDAH Mauricie/Centre-du-Québec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Tourisme Bois-Francs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Travail de rue-Maskinongé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Trois-Rivières /Cameroun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Université du troisième âge de l'UQTR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Village des jeunes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lastRenderedPageBreak/>
        <w:t xml:space="preserve">Ville de Victoriaville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Vire-Vert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Vire-Vert / projet d'</w:t>
      </w:r>
      <w:proofErr w:type="spellStart"/>
      <w:r w:rsidRPr="00696FA6">
        <w:rPr>
          <w:rFonts w:ascii="Times New Roman" w:eastAsia="Times New Roman" w:hAnsi="Times New Roman" w:cs="Times New Roman"/>
          <w:sz w:val="24"/>
          <w:szCs w:val="24"/>
          <w:lang w:eastAsia="fr-CA"/>
        </w:rPr>
        <w:t>Écol'Hôtel</w:t>
      </w:r>
      <w:proofErr w:type="spellEnd"/>
      <w:r w:rsidRPr="00696FA6">
        <w:rPr>
          <w:rFonts w:ascii="Times New Roman" w:eastAsia="Times New Roman" w:hAnsi="Times New Roman" w:cs="Times New Roman"/>
          <w:sz w:val="24"/>
          <w:szCs w:val="24"/>
          <w:lang w:eastAsia="fr-CA"/>
        </w:rPr>
        <w:t xml:space="preserve"> </w:t>
      </w:r>
    </w:p>
    <w:p w:rsidR="00CE1436" w:rsidRPr="00696FA6" w:rsidRDefault="00CE1436" w:rsidP="00CE1436">
      <w:pPr>
        <w:pStyle w:val="Paragraphedeliste"/>
        <w:numPr>
          <w:ilvl w:val="0"/>
          <w:numId w:val="36"/>
        </w:numPr>
        <w:spacing w:after="0" w:line="240" w:lineRule="auto"/>
        <w:rPr>
          <w:rFonts w:ascii="Times New Roman" w:eastAsia="Times New Roman" w:hAnsi="Times New Roman" w:cs="Times New Roman"/>
          <w:sz w:val="24"/>
          <w:szCs w:val="24"/>
          <w:lang w:eastAsia="fr-CA"/>
        </w:rPr>
      </w:pPr>
      <w:r w:rsidRPr="00696FA6">
        <w:rPr>
          <w:rFonts w:ascii="Times New Roman" w:eastAsia="Times New Roman" w:hAnsi="Times New Roman" w:cs="Times New Roman"/>
          <w:sz w:val="24"/>
          <w:szCs w:val="24"/>
          <w:lang w:eastAsia="fr-CA"/>
        </w:rPr>
        <w:t xml:space="preserve">ZIP Les Deux Rives </w:t>
      </w:r>
    </w:p>
    <w:p w:rsidR="00CE1436" w:rsidRPr="00CE1436" w:rsidRDefault="00CE1436" w:rsidP="00CE1436"/>
    <w:sectPr w:rsidR="00CE1436" w:rsidRPr="00CE1436" w:rsidSect="005C7BD2">
      <w:pgSz w:w="12240" w:h="15840"/>
      <w:pgMar w:top="1440" w:right="1800" w:bottom="1440" w:left="180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B564E17" w15:done="0"/>
  <w15:commentEx w15:paraId="18FEB9C3" w15:done="0"/>
  <w15:commentEx w15:paraId="7F29311F" w15:done="0"/>
  <w15:commentEx w15:paraId="6DAE24D6"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3D9F" w:rsidRDefault="00443D9F" w:rsidP="00903179">
      <w:pPr>
        <w:spacing w:after="0" w:line="240" w:lineRule="auto"/>
      </w:pPr>
      <w:r>
        <w:separator/>
      </w:r>
    </w:p>
  </w:endnote>
  <w:endnote w:type="continuationSeparator" w:id="0">
    <w:p w:rsidR="00443D9F" w:rsidRDefault="00443D9F" w:rsidP="009031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436" w:rsidRDefault="00CE1436">
    <w:pPr>
      <w:pStyle w:val="Pieddepage"/>
    </w:pPr>
    <w:r>
      <w:rPr>
        <w:noProof/>
        <w:lang w:eastAsia="fr-CA"/>
      </w:rPr>
      <w:drawing>
        <wp:anchor distT="0" distB="0" distL="114300" distR="114300" simplePos="0" relativeHeight="251659264" behindDoc="0" locked="0" layoutInCell="1" allowOverlap="1">
          <wp:simplePos x="0" y="0"/>
          <wp:positionH relativeFrom="column">
            <wp:posOffset>2699385</wp:posOffset>
          </wp:positionH>
          <wp:positionV relativeFrom="paragraph">
            <wp:posOffset>-90805</wp:posOffset>
          </wp:positionV>
          <wp:extent cx="337185" cy="534035"/>
          <wp:effectExtent l="19050" t="0" r="5715" b="0"/>
          <wp:wrapThrough wrapText="bothSides">
            <wp:wrapPolygon edited="0">
              <wp:start x="-1220" y="0"/>
              <wp:lineTo x="-1220" y="20804"/>
              <wp:lineTo x="21966" y="20804"/>
              <wp:lineTo x="21966" y="0"/>
              <wp:lineTo x="-1220" y="0"/>
            </wp:wrapPolygon>
          </wp:wrapThrough>
          <wp:docPr id="49" name="Image 8" descr="C:\Users\Célia\Documents\Administration des affaires\Hiver 2015\Gestion stratégique des entreprises\logoQno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élia\Documents\Administration des affaires\Hiver 2015\Gestion stratégique des entreprises\logoQnoir.jpg"/>
                  <pic:cNvPicPr>
                    <a:picLocks noChangeAspect="1" noChangeArrowheads="1"/>
                  </pic:cNvPicPr>
                </pic:nvPicPr>
                <pic:blipFill>
                  <a:blip r:embed="rId1">
                    <a:lum/>
                  </a:blip>
                  <a:srcRect/>
                  <a:stretch>
                    <a:fillRect/>
                  </a:stretch>
                </pic:blipFill>
                <pic:spPr bwMode="auto">
                  <a:xfrm>
                    <a:off x="0" y="0"/>
                    <a:ext cx="337185" cy="534035"/>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3D9F" w:rsidRDefault="00443D9F" w:rsidP="00903179">
      <w:pPr>
        <w:spacing w:after="0" w:line="240" w:lineRule="auto"/>
      </w:pPr>
      <w:r>
        <w:separator/>
      </w:r>
    </w:p>
  </w:footnote>
  <w:footnote w:type="continuationSeparator" w:id="0">
    <w:p w:rsidR="00443D9F" w:rsidRDefault="00443D9F" w:rsidP="00903179">
      <w:pPr>
        <w:spacing w:after="0" w:line="240" w:lineRule="auto"/>
      </w:pPr>
      <w:r>
        <w:continuationSeparator/>
      </w:r>
    </w:p>
  </w:footnote>
  <w:footnote w:id="1">
    <w:p w:rsidR="00CE1436" w:rsidRPr="00A802FC" w:rsidRDefault="00CE1436" w:rsidP="00DA6813">
      <w:pPr>
        <w:pStyle w:val="Notedebasdepage"/>
        <w:jc w:val="both"/>
        <w:rPr>
          <w:rFonts w:cs="Times New Roman"/>
        </w:rPr>
      </w:pPr>
      <w:r w:rsidRPr="00AD575A">
        <w:rPr>
          <w:rStyle w:val="Appelnotedebasdep"/>
          <w:rFonts w:cs="Times New Roman"/>
        </w:rPr>
        <w:footnoteRef/>
      </w:r>
      <w:r w:rsidRPr="00AD575A">
        <w:rPr>
          <w:rFonts w:cs="Times New Roman"/>
        </w:rPr>
        <w:t xml:space="preserve"> UQTR, Rapport d’activités 2013-2014. [En ligne] http://www.uqtr.ca/informationgenerale</w:t>
      </w:r>
      <w:r w:rsidRPr="00A802FC">
        <w:rPr>
          <w:rFonts w:cs="Times New Roman"/>
        </w:rPr>
        <w:t xml:space="preserve">/rapport_activites_1314.pdf (Page consultée le 10 avril 2015) </w:t>
      </w:r>
    </w:p>
  </w:footnote>
  <w:footnote w:id="2">
    <w:p w:rsidR="00CE1436" w:rsidRPr="00A802FC" w:rsidRDefault="00CE1436" w:rsidP="00DA6813">
      <w:pPr>
        <w:pStyle w:val="Notedebasdepage"/>
        <w:jc w:val="both"/>
        <w:rPr>
          <w:rFonts w:cs="Times New Roman"/>
        </w:rPr>
      </w:pPr>
      <w:r w:rsidRPr="00A802FC">
        <w:rPr>
          <w:rStyle w:val="Appelnotedebasdep"/>
          <w:rFonts w:cs="Times New Roman"/>
        </w:rPr>
        <w:footnoteRef/>
      </w:r>
      <w:r w:rsidRPr="00A802FC">
        <w:rPr>
          <w:rFonts w:cs="Times New Roman"/>
        </w:rPr>
        <w:t xml:space="preserve"> UQTR, Faits et chiffres. [En ligne] </w:t>
      </w:r>
      <w:hyperlink r:id="rId1" w:history="1">
        <w:r w:rsidRPr="00A802FC">
          <w:rPr>
            <w:rStyle w:val="Lienhypertexte"/>
            <w:rFonts w:cs="Times New Roman"/>
            <w:color w:val="auto"/>
          </w:rPr>
          <w:t>http://www.uqtr.ca/informationgenerale/faitsetchiffres.shtml</w:t>
        </w:r>
      </w:hyperlink>
      <w:r w:rsidRPr="00A802FC">
        <w:rPr>
          <w:rFonts w:cs="Times New Roman"/>
        </w:rPr>
        <w:t xml:space="preserve"> (Consultée le 8 avril 2015)</w:t>
      </w:r>
    </w:p>
  </w:footnote>
  <w:footnote w:id="3">
    <w:p w:rsidR="00CE1436" w:rsidRDefault="00CE1436" w:rsidP="00DA6813">
      <w:pPr>
        <w:pStyle w:val="Notedebasdepage"/>
        <w:jc w:val="both"/>
      </w:pPr>
      <w:r w:rsidRPr="00A802FC">
        <w:rPr>
          <w:rStyle w:val="Appelnotedebasdep"/>
        </w:rPr>
        <w:footnoteRef/>
      </w:r>
      <w:r w:rsidRPr="00A802FC">
        <w:t xml:space="preserve"> </w:t>
      </w:r>
      <w:r w:rsidRPr="00A802FC">
        <w:rPr>
          <w:rFonts w:cs="Times New Roman"/>
        </w:rPr>
        <w:t xml:space="preserve">UQTR. Service de la formation continue et de la formation hors campus. [En ligne] </w:t>
      </w:r>
      <w:hyperlink r:id="rId2" w:history="1">
        <w:r w:rsidRPr="00A802FC">
          <w:rPr>
            <w:rStyle w:val="Lienhypertexte"/>
            <w:rFonts w:cs="Times New Roman"/>
            <w:color w:val="auto"/>
          </w:rPr>
          <w:t>http://www.uqtr.ca/sfcfhc/</w:t>
        </w:r>
      </w:hyperlink>
      <w:r w:rsidRPr="00A802FC">
        <w:rPr>
          <w:rFonts w:cs="Times New Roman"/>
        </w:rPr>
        <w:t xml:space="preserve"> (Page consultée</w:t>
      </w:r>
      <w:r w:rsidRPr="00B546E3">
        <w:rPr>
          <w:rFonts w:cs="Times New Roman"/>
        </w:rPr>
        <w:t xml:space="preserve"> le 8 avril 2015)</w:t>
      </w:r>
    </w:p>
  </w:footnote>
  <w:footnote w:id="4">
    <w:p w:rsidR="00CE1436" w:rsidRPr="00FF313E" w:rsidRDefault="00CE1436" w:rsidP="00DA6813">
      <w:pPr>
        <w:pStyle w:val="NormalWeb"/>
        <w:shd w:val="clear" w:color="auto" w:fill="FFFFFF"/>
        <w:spacing w:before="0" w:after="0"/>
        <w:jc w:val="both"/>
        <w:rPr>
          <w:sz w:val="20"/>
          <w:szCs w:val="20"/>
          <w:lang w:val="fr-FR"/>
        </w:rPr>
      </w:pPr>
      <w:r w:rsidRPr="00FF313E">
        <w:rPr>
          <w:rStyle w:val="Appelnotedebasdep"/>
          <w:sz w:val="20"/>
          <w:szCs w:val="20"/>
        </w:rPr>
        <w:footnoteRef/>
      </w:r>
      <w:r w:rsidRPr="00FF313E">
        <w:rPr>
          <w:sz w:val="20"/>
          <w:szCs w:val="20"/>
        </w:rPr>
        <w:t xml:space="preserve">RADIO-CANADA. (Octobre 2014) Première pelletée de terre pour le campus de l’UQTR à Drummondville. [En ligne] </w:t>
      </w:r>
      <w:hyperlink r:id="rId3" w:tgtFrame="_blank" w:history="1">
        <w:r w:rsidRPr="00FF313E">
          <w:rPr>
            <w:rStyle w:val="Lienhypertexte"/>
            <w:rFonts w:eastAsiaTheme="majorEastAsia"/>
            <w:color w:val="auto"/>
            <w:sz w:val="20"/>
            <w:szCs w:val="20"/>
            <w:lang w:val="fr-FR"/>
          </w:rPr>
          <w:t>http://ici.radio-canada.ca/regions/mauricie/2014/10/07/001-campus-uqtr-drummondville-construction-pelletee-de-terre.shtml</w:t>
        </w:r>
      </w:hyperlink>
    </w:p>
  </w:footnote>
  <w:footnote w:id="5">
    <w:p w:rsidR="00CE1436" w:rsidRPr="00FF313E" w:rsidRDefault="00CE1436" w:rsidP="00DA6813">
      <w:pPr>
        <w:pStyle w:val="Notedebasdepage"/>
        <w:jc w:val="both"/>
        <w:rPr>
          <w:rFonts w:cs="Times New Roman"/>
        </w:rPr>
      </w:pPr>
      <w:r w:rsidRPr="00FF313E">
        <w:rPr>
          <w:rStyle w:val="Appelnotedebasdep"/>
          <w:rFonts w:cs="Times New Roman"/>
        </w:rPr>
        <w:footnoteRef/>
      </w:r>
      <w:r w:rsidRPr="00FF313E">
        <w:rPr>
          <w:rFonts w:cs="Times New Roman"/>
        </w:rPr>
        <w:t>EN TÊTE (12 janvier 2015). La direction de l’UQTR offre son entière collaboration à l’UPAC et au Vérificateur général du Québec. Nouvelles à l’UQTR. [En ligne] http://blogue.uqtr.ca/2015/01/12/direction-luqtr-offre-entiere-collaboration-lupac-au-verificateur-general-du-quebec-2/</w:t>
      </w:r>
    </w:p>
  </w:footnote>
  <w:footnote w:id="6">
    <w:p w:rsidR="00CE1436" w:rsidRPr="00FF313E" w:rsidRDefault="00CE1436" w:rsidP="00DA6813">
      <w:pPr>
        <w:pStyle w:val="Notedebasdepage"/>
        <w:jc w:val="both"/>
        <w:rPr>
          <w:rFonts w:cs="Times New Roman"/>
        </w:rPr>
      </w:pPr>
      <w:r w:rsidRPr="00FF313E">
        <w:rPr>
          <w:rStyle w:val="Appelnotedebasdep"/>
          <w:rFonts w:cs="Times New Roman"/>
        </w:rPr>
        <w:footnoteRef/>
      </w:r>
      <w:r w:rsidRPr="00FF313E">
        <w:rPr>
          <w:rFonts w:cs="Times New Roman"/>
        </w:rPr>
        <w:t xml:space="preserve"> UQTR, Historique. [En ligne] </w:t>
      </w:r>
      <w:hyperlink r:id="rId4" w:history="1">
        <w:r w:rsidRPr="00FF313E">
          <w:rPr>
            <w:rStyle w:val="Lienhypertexte"/>
            <w:rFonts w:cs="Times New Roman"/>
            <w:color w:val="auto"/>
            <w:lang w:val="fr-FR"/>
          </w:rPr>
          <w:t>http://www.uqtr.ca/informationgenerale/historique.shtml</w:t>
        </w:r>
      </w:hyperlink>
      <w:r w:rsidRPr="00FF313E">
        <w:rPr>
          <w:rFonts w:cs="Times New Roman"/>
          <w:lang w:val="fr-FR"/>
        </w:rPr>
        <w:t xml:space="preserve"> (Page consultée le 26 janvier 2015) </w:t>
      </w:r>
    </w:p>
  </w:footnote>
  <w:footnote w:id="7">
    <w:p w:rsidR="00CE1436" w:rsidRDefault="00CE1436" w:rsidP="00DA6813">
      <w:pPr>
        <w:pStyle w:val="Notedebasdepage"/>
      </w:pPr>
      <w:r w:rsidRPr="00FF313E">
        <w:rPr>
          <w:rStyle w:val="Appelnotedebasdep"/>
          <w:rFonts w:cs="Times New Roman"/>
        </w:rPr>
        <w:footnoteRef/>
      </w:r>
      <w:r w:rsidRPr="00FF313E">
        <w:rPr>
          <w:rFonts w:cs="Times New Roman"/>
        </w:rPr>
        <w:t xml:space="preserve"> </w:t>
      </w:r>
      <w:r>
        <w:rPr>
          <w:rFonts w:cs="Times New Roman"/>
        </w:rPr>
        <w:t>UQTR, Plan S</w:t>
      </w:r>
      <w:r w:rsidRPr="00FF313E">
        <w:rPr>
          <w:rFonts w:cs="Times New Roman"/>
        </w:rPr>
        <w:t xml:space="preserve">tratégique 2010-2013. [En ligne] http://www.uqtr.ca/informationgenerale/UQTR_Plan_Strategique_2010_2013.pdf </w:t>
      </w:r>
      <w:r>
        <w:rPr>
          <w:rFonts w:cs="Times New Roman"/>
        </w:rPr>
        <w:t>(Page consultée le 8 avril 2015</w:t>
      </w:r>
      <w:r w:rsidRPr="00FF313E">
        <w:rPr>
          <w:rFonts w:cs="Times New Roman"/>
        </w:rPr>
        <w:t>)</w:t>
      </w:r>
    </w:p>
  </w:footnote>
  <w:footnote w:id="8">
    <w:p w:rsidR="00CE1436" w:rsidRPr="00C66463" w:rsidRDefault="00CE1436" w:rsidP="00C66463">
      <w:pPr>
        <w:pStyle w:val="Notedebasdepage"/>
        <w:rPr>
          <w:rFonts w:cs="Times New Roman"/>
          <w:lang w:val="fr-FR"/>
        </w:rPr>
      </w:pPr>
      <w:r w:rsidRPr="00582237">
        <w:rPr>
          <w:rStyle w:val="Appelnotedebasdep"/>
          <w:rFonts w:cs="Times New Roman"/>
        </w:rPr>
        <w:footnoteRef/>
      </w:r>
      <w:r w:rsidRPr="00582237">
        <w:rPr>
          <w:rFonts w:cs="Times New Roman"/>
        </w:rPr>
        <w:t xml:space="preserve"> </w:t>
      </w:r>
      <w:r w:rsidRPr="00C66463">
        <w:rPr>
          <w:rFonts w:cs="Times New Roman"/>
        </w:rPr>
        <w:t xml:space="preserve">Comité sénatorial permanent des affaires sociales, sciences et technologie. (2012). </w:t>
      </w:r>
      <w:r w:rsidRPr="00C66463">
        <w:rPr>
          <w:rFonts w:cs="Times New Roman"/>
          <w:i/>
        </w:rPr>
        <w:t>Surmonter les obstacles aux études postsecondaires au Canada</w:t>
      </w:r>
      <w:r w:rsidRPr="00C66463">
        <w:rPr>
          <w:rFonts w:cs="Times New Roman"/>
        </w:rPr>
        <w:t>. [En ligne] http://www.parl.gc.ca/content/sen/committee/411/soci/dpk_pse/recommend-f.htm</w:t>
      </w:r>
    </w:p>
  </w:footnote>
  <w:footnote w:id="9">
    <w:p w:rsidR="00CE1436" w:rsidRPr="00582237" w:rsidRDefault="00CE1436" w:rsidP="00C66463">
      <w:pPr>
        <w:pStyle w:val="Notedebasdepage"/>
        <w:rPr>
          <w:rFonts w:cs="Times New Roman"/>
        </w:rPr>
      </w:pPr>
      <w:r w:rsidRPr="00582237">
        <w:rPr>
          <w:rStyle w:val="Appelnotedebasdep"/>
          <w:rFonts w:cs="Times New Roman"/>
        </w:rPr>
        <w:footnoteRef/>
      </w:r>
      <w:r w:rsidRPr="00582237">
        <w:rPr>
          <w:rFonts w:cs="Times New Roman"/>
        </w:rPr>
        <w:t xml:space="preserve">  Suivant les recommandations du Comité sénatorial permanent des affaires sociales, s</w:t>
      </w:r>
      <w:r>
        <w:rPr>
          <w:rFonts w:cs="Times New Roman"/>
        </w:rPr>
        <w:t>ciences et technologie, source mentionnée ci-haut en note 8.</w:t>
      </w:r>
    </w:p>
  </w:footnote>
  <w:footnote w:id="10">
    <w:p w:rsidR="00CE1436" w:rsidRPr="00582237" w:rsidRDefault="00CE1436" w:rsidP="00C66463">
      <w:pPr>
        <w:pStyle w:val="Notedebasdepage"/>
        <w:rPr>
          <w:rFonts w:cs="Times New Roman"/>
        </w:rPr>
      </w:pPr>
      <w:r w:rsidRPr="00582237">
        <w:rPr>
          <w:rStyle w:val="Appelnotedebasdep"/>
          <w:rFonts w:cs="Times New Roman"/>
        </w:rPr>
        <w:footnoteRef/>
      </w:r>
      <w:r w:rsidRPr="00582237">
        <w:rPr>
          <w:rFonts w:cs="Times New Roman"/>
        </w:rPr>
        <w:t xml:space="preserve"> </w:t>
      </w:r>
      <w:r w:rsidRPr="00C66463">
        <w:rPr>
          <w:rFonts w:cs="Times New Roman"/>
        </w:rPr>
        <w:t xml:space="preserve">Conseil du statut de la femme. (2004). </w:t>
      </w:r>
      <w:r w:rsidRPr="00C66463">
        <w:rPr>
          <w:rFonts w:cs="Times New Roman"/>
          <w:i/>
        </w:rPr>
        <w:t>Étudiante et mère : un double défi; Les conditions de vie et les besoins des mères étudiantes</w:t>
      </w:r>
      <w:r w:rsidRPr="00C66463">
        <w:rPr>
          <w:rFonts w:cs="Times New Roman"/>
        </w:rPr>
        <w:t>. (p. 31). [En ligne] http://collections.banq.qc.ca/ark:/52327/bs52187</w:t>
      </w:r>
    </w:p>
  </w:footnote>
  <w:footnote w:id="11">
    <w:p w:rsidR="00CE1436" w:rsidRDefault="00CE1436" w:rsidP="00C66463">
      <w:pPr>
        <w:pStyle w:val="Notedebasdepage"/>
      </w:pPr>
      <w:r>
        <w:rPr>
          <w:rStyle w:val="Appelnotedebasdep"/>
        </w:rPr>
        <w:footnoteRef/>
      </w:r>
      <w:r>
        <w:t xml:space="preserve"> </w:t>
      </w:r>
      <w:r w:rsidRPr="00C66463">
        <w:t>Fédération étudiante universitaire du Québec</w:t>
      </w:r>
      <w:r>
        <w:t>.</w:t>
      </w:r>
      <w:r w:rsidRPr="00C66463">
        <w:t xml:space="preserve"> </w:t>
      </w:r>
      <w:r>
        <w:t xml:space="preserve">(2015). </w:t>
      </w:r>
      <w:r w:rsidRPr="00C66463">
        <w:rPr>
          <w:i/>
        </w:rPr>
        <w:t>Les coupures dans les universités</w:t>
      </w:r>
      <w:r>
        <w:t xml:space="preserve">. [En ligne] </w:t>
      </w:r>
      <w:r w:rsidRPr="00C6653E">
        <w:t>http://feuq.qc.ca/site/pourleducation/coupes-dans-les-cegeps-et-les-universites/</w:t>
      </w:r>
    </w:p>
  </w:footnote>
  <w:footnote w:id="12">
    <w:p w:rsidR="00CE1436" w:rsidRPr="00582237" w:rsidRDefault="00CE1436" w:rsidP="00DF7CFF">
      <w:pPr>
        <w:pStyle w:val="Notedebasdepage"/>
        <w:jc w:val="both"/>
        <w:rPr>
          <w:rFonts w:cs="Times New Roman"/>
        </w:rPr>
      </w:pPr>
      <w:r w:rsidRPr="00582237">
        <w:rPr>
          <w:rStyle w:val="Appelnotedebasdep"/>
          <w:rFonts w:cs="Times New Roman"/>
        </w:rPr>
        <w:footnoteRef/>
      </w:r>
      <w:r w:rsidRPr="00582237">
        <w:rPr>
          <w:rFonts w:cs="Times New Roman"/>
        </w:rPr>
        <w:t xml:space="preserve"> </w:t>
      </w:r>
      <w:r w:rsidRPr="00C66463">
        <w:rPr>
          <w:rFonts w:cs="Times New Roman"/>
        </w:rPr>
        <w:t xml:space="preserve">Conseil du statut de la femme. (2004). </w:t>
      </w:r>
      <w:r w:rsidRPr="00C66463">
        <w:rPr>
          <w:rFonts w:cs="Times New Roman"/>
          <w:i/>
        </w:rPr>
        <w:t>Étudiante et mère : un double défi; Les conditions de vie et les besoins des mères étudiantes</w:t>
      </w:r>
      <w:r w:rsidRPr="00C66463">
        <w:rPr>
          <w:rFonts w:cs="Times New Roman"/>
        </w:rPr>
        <w:t xml:space="preserve">. [En ligne] </w:t>
      </w:r>
      <w:hyperlink r:id="rId5" w:history="1">
        <w:r w:rsidRPr="00DC17EC">
          <w:rPr>
            <w:rStyle w:val="Lienhypertexte"/>
            <w:rFonts w:cs="Times New Roman"/>
          </w:rPr>
          <w:t>http://collections.banq.qc.ca/ark:/52327/bs52187</w:t>
        </w:r>
      </w:hyperlink>
      <w:r w:rsidRPr="00582237">
        <w:rPr>
          <w:rFonts w:cs="Times New Roman"/>
        </w:rPr>
        <w:t>.</w:t>
      </w:r>
      <w:r>
        <w:rPr>
          <w:rFonts w:cs="Times New Roman"/>
        </w:rPr>
        <w:t xml:space="preserve"> (p.31).</w:t>
      </w:r>
    </w:p>
  </w:footnote>
  <w:footnote w:id="13">
    <w:p w:rsidR="00CE1436" w:rsidRPr="00582237" w:rsidRDefault="00CE1436" w:rsidP="00DF7CFF">
      <w:pPr>
        <w:pStyle w:val="Notedebasdepage"/>
        <w:jc w:val="both"/>
        <w:rPr>
          <w:rFonts w:cs="Times New Roman"/>
        </w:rPr>
      </w:pPr>
      <w:r w:rsidRPr="00582237">
        <w:rPr>
          <w:rStyle w:val="Appelnotedebasdep"/>
          <w:rFonts w:cs="Times New Roman"/>
        </w:rPr>
        <w:footnoteRef/>
      </w:r>
      <w:r w:rsidRPr="00582237">
        <w:rPr>
          <w:rFonts w:cs="Times New Roman"/>
        </w:rPr>
        <w:t xml:space="preserve"> </w:t>
      </w:r>
      <w:r>
        <w:rPr>
          <w:rFonts w:cs="Times New Roman"/>
        </w:rPr>
        <w:t>Rédigés par l’</w:t>
      </w:r>
      <w:r w:rsidRPr="00582237">
        <w:rPr>
          <w:rFonts w:cs="Times New Roman"/>
        </w:rPr>
        <w:t xml:space="preserve">Institut de la statistique du Québec, </w:t>
      </w:r>
      <w:r>
        <w:rPr>
          <w:rFonts w:cs="Times New Roman"/>
        </w:rPr>
        <w:t xml:space="preserve">nous avons consulté les </w:t>
      </w:r>
      <w:r w:rsidRPr="00582237">
        <w:rPr>
          <w:rFonts w:cs="Times New Roman"/>
        </w:rPr>
        <w:t>éditions 2009 à 2014.</w:t>
      </w:r>
    </w:p>
  </w:footnote>
  <w:footnote w:id="14">
    <w:p w:rsidR="00CE1436" w:rsidRDefault="00CE1436" w:rsidP="008166F6">
      <w:pPr>
        <w:pStyle w:val="Notedebasdepage"/>
      </w:pPr>
      <w:r>
        <w:rPr>
          <w:rStyle w:val="Appelnotedebasdep"/>
        </w:rPr>
        <w:footnoteRef/>
      </w:r>
      <w:r>
        <w:t xml:space="preserve"> </w:t>
      </w:r>
      <w:r w:rsidRPr="00582237">
        <w:rPr>
          <w:rFonts w:cs="Times New Roman"/>
        </w:rPr>
        <w:t>Institut de la statistique du Québec</w:t>
      </w:r>
      <w:r>
        <w:t xml:space="preserve">. (2014). </w:t>
      </w:r>
      <w:r w:rsidRPr="0005275B">
        <w:rPr>
          <w:i/>
        </w:rPr>
        <w:t>Panorama du Québec 2014</w:t>
      </w:r>
      <w:r>
        <w:t xml:space="preserve">. [En ligne] </w:t>
      </w:r>
      <w:hyperlink r:id="rId6" w:history="1">
        <w:r w:rsidRPr="00DC17EC">
          <w:rPr>
            <w:rStyle w:val="Lienhypertexte"/>
          </w:rPr>
          <w:t>http://www.stat.gouv.qc.ca/statistiques/profils/panorama-regions-2014.pdf</w:t>
        </w:r>
      </w:hyperlink>
      <w:r>
        <w:t>. (p.39).</w:t>
      </w:r>
    </w:p>
  </w:footnote>
  <w:footnote w:id="15">
    <w:p w:rsidR="00CE1436" w:rsidRDefault="00CE1436" w:rsidP="008166F6">
      <w:pPr>
        <w:pStyle w:val="Notedebasdepage"/>
      </w:pPr>
      <w:r>
        <w:rPr>
          <w:rStyle w:val="Appelnotedebasdep"/>
        </w:rPr>
        <w:footnoteRef/>
      </w:r>
      <w:r>
        <w:t xml:space="preserve"> Idem.</w:t>
      </w:r>
    </w:p>
  </w:footnote>
  <w:footnote w:id="16">
    <w:p w:rsidR="00CE1436" w:rsidRDefault="00CE1436" w:rsidP="008166F6">
      <w:pPr>
        <w:pStyle w:val="Notedebasdepage"/>
      </w:pPr>
      <w:r>
        <w:rPr>
          <w:rStyle w:val="Appelnotedebasdep"/>
        </w:rPr>
        <w:footnoteRef/>
      </w:r>
      <w:r>
        <w:t xml:space="preserve"> </w:t>
      </w:r>
      <w:r>
        <w:rPr>
          <w:rFonts w:cs="Times New Roman"/>
        </w:rPr>
        <w:t>Idem.</w:t>
      </w:r>
    </w:p>
  </w:footnote>
  <w:footnote w:id="17">
    <w:p w:rsidR="00CE1436" w:rsidRPr="0005275B" w:rsidRDefault="00CE1436" w:rsidP="008166F6">
      <w:pPr>
        <w:pStyle w:val="Notedebasdepage"/>
      </w:pPr>
      <w:r>
        <w:rPr>
          <w:rStyle w:val="Appelnotedebasdep"/>
        </w:rPr>
        <w:footnoteRef/>
      </w:r>
      <w:r w:rsidRPr="0005275B">
        <w:t xml:space="preserve"> </w:t>
      </w:r>
      <w:proofErr w:type="spellStart"/>
      <w:r w:rsidRPr="0005275B">
        <w:t>Trading</w:t>
      </w:r>
      <w:proofErr w:type="spellEnd"/>
      <w:r w:rsidRPr="0005275B">
        <w:t xml:space="preserve"> </w:t>
      </w:r>
      <w:proofErr w:type="spellStart"/>
      <w:r w:rsidRPr="0005275B">
        <w:t>Economics</w:t>
      </w:r>
      <w:proofErr w:type="spellEnd"/>
      <w:r w:rsidRPr="0005275B">
        <w:t>. (2015)</w:t>
      </w:r>
      <w:r w:rsidRPr="009369FB">
        <w:t xml:space="preserve">. </w:t>
      </w:r>
      <w:r w:rsidRPr="009369FB">
        <w:rPr>
          <w:i/>
        </w:rPr>
        <w:t xml:space="preserve">Canada </w:t>
      </w:r>
      <w:proofErr w:type="spellStart"/>
      <w:r w:rsidRPr="009369FB">
        <w:rPr>
          <w:i/>
        </w:rPr>
        <w:t>Unemployment</w:t>
      </w:r>
      <w:proofErr w:type="spellEnd"/>
      <w:r w:rsidRPr="009369FB">
        <w:rPr>
          <w:i/>
        </w:rPr>
        <w:t xml:space="preserve"> Rate</w:t>
      </w:r>
      <w:r w:rsidRPr="009369FB">
        <w:t xml:space="preserve">. </w:t>
      </w:r>
      <w:r>
        <w:t xml:space="preserve">[En ligne] </w:t>
      </w:r>
      <w:hyperlink r:id="rId7" w:history="1">
        <w:r w:rsidRPr="0005275B">
          <w:rPr>
            <w:rStyle w:val="Lienhypertexte"/>
          </w:rPr>
          <w:t>http://www.tradingeconomics.com/canada/unemployment-rate</w:t>
        </w:r>
      </w:hyperlink>
      <w:r w:rsidRPr="0005275B">
        <w:t xml:space="preserve"> </w:t>
      </w:r>
    </w:p>
  </w:footnote>
  <w:footnote w:id="18">
    <w:p w:rsidR="00CE1436" w:rsidRPr="00582237" w:rsidRDefault="00CE1436" w:rsidP="008166F6">
      <w:pPr>
        <w:pStyle w:val="Notedebasdepage"/>
        <w:jc w:val="both"/>
        <w:rPr>
          <w:rFonts w:cs="Times New Roman"/>
        </w:rPr>
      </w:pPr>
      <w:r w:rsidRPr="00582237">
        <w:rPr>
          <w:rStyle w:val="Appelnotedebasdep"/>
          <w:rFonts w:cs="Times New Roman"/>
        </w:rPr>
        <w:footnoteRef/>
      </w:r>
      <w:r w:rsidRPr="00582237">
        <w:rPr>
          <w:rFonts w:cs="Times New Roman"/>
        </w:rPr>
        <w:t xml:space="preserve"> Définition : Nombre de personnes en emploi, exprimé en pourcentage de la population âgée  de 15 ans et plus.</w:t>
      </w:r>
    </w:p>
  </w:footnote>
  <w:footnote w:id="19">
    <w:p w:rsidR="00CE1436" w:rsidRDefault="00CE1436" w:rsidP="008166F6">
      <w:pPr>
        <w:pStyle w:val="Notedebasdepage"/>
        <w:jc w:val="both"/>
        <w:rPr>
          <w:rFonts w:cs="Times New Roman"/>
        </w:rPr>
      </w:pPr>
      <w:r w:rsidRPr="00582237">
        <w:rPr>
          <w:rStyle w:val="Appelnotedebasdep"/>
          <w:rFonts w:cs="Times New Roman"/>
        </w:rPr>
        <w:footnoteRef/>
      </w:r>
      <w:r w:rsidRPr="00582237">
        <w:rPr>
          <w:rFonts w:cs="Times New Roman"/>
        </w:rPr>
        <w:t xml:space="preserve"> Définition : «Les données sur les dépenses en immobilisations fournissent des indications utiles quant à l'état du marché dans l'économie en général et dans ses divers secteurs. Voyant que ces dépenses représentent une partie importante et relativement variable des dépenses nationales brutes, l'envergure et la teneur des programmes d'investissements donnent une bonne idée de la demande que les producteurs canadiens ont eue à satisfaire au cours de la période en cause»</w:t>
      </w:r>
      <w:r>
        <w:rPr>
          <w:rFonts w:cs="Times New Roman"/>
        </w:rPr>
        <w:t xml:space="preserve">. </w:t>
      </w:r>
    </w:p>
    <w:p w:rsidR="00CE1436" w:rsidRPr="00582237" w:rsidRDefault="00CE1436" w:rsidP="002F4784">
      <w:pPr>
        <w:pStyle w:val="Notedebasdepage"/>
        <w:rPr>
          <w:rFonts w:cs="Times New Roman"/>
        </w:rPr>
      </w:pPr>
      <w:r w:rsidRPr="00582237">
        <w:rPr>
          <w:rFonts w:cs="Times New Roman"/>
        </w:rPr>
        <w:t>On y inclura, par exemple, l’implantation et la modernisation d’usines.</w:t>
      </w:r>
      <w:r>
        <w:rPr>
          <w:rFonts w:cs="Times New Roman"/>
        </w:rPr>
        <w:t xml:space="preserve"> Voir : Statistiques Canada. (2014). </w:t>
      </w:r>
      <w:r w:rsidRPr="00050924">
        <w:rPr>
          <w:rFonts w:cs="Times New Roman"/>
          <w:i/>
        </w:rPr>
        <w:t>Enquête annuelle sur les dépenses en immobilisations et réparations : réelles, provisoires, perspectives</w:t>
      </w:r>
      <w:r>
        <w:rPr>
          <w:rFonts w:cs="Times New Roman"/>
        </w:rPr>
        <w:t xml:space="preserve">. [En ligne] </w:t>
      </w:r>
      <w:hyperlink r:id="rId8" w:history="1">
        <w:r w:rsidRPr="00DC17EC">
          <w:rPr>
            <w:rStyle w:val="Lienhypertexte"/>
            <w:rFonts w:cs="Times New Roman"/>
          </w:rPr>
          <w:t>http://www23.statcan.gc.ca/imdb/p2SV_f.pl?Function=getSurvey&amp;SDDS=2803&amp;lang=fr&amp;db=imdb&amp;adm=8&amp;dis=2</w:t>
        </w:r>
      </w:hyperlink>
      <w:r>
        <w:rPr>
          <w:rFonts w:cs="Times New Roman"/>
        </w:rPr>
        <w:t xml:space="preserve"> </w:t>
      </w:r>
      <w:r w:rsidRPr="00582237">
        <w:rPr>
          <w:rFonts w:cs="Times New Roman"/>
        </w:rPr>
        <w:t xml:space="preserve"> </w:t>
      </w:r>
    </w:p>
  </w:footnote>
  <w:footnote w:id="20">
    <w:p w:rsidR="00CE1436" w:rsidRPr="00582237" w:rsidRDefault="00CE1436" w:rsidP="008166F6">
      <w:pPr>
        <w:pStyle w:val="Notedebasdepage"/>
        <w:jc w:val="both"/>
        <w:rPr>
          <w:rFonts w:cs="Times New Roman"/>
        </w:rPr>
      </w:pPr>
      <w:r w:rsidRPr="00582237">
        <w:rPr>
          <w:rStyle w:val="Appelnotedebasdep"/>
          <w:rFonts w:cs="Times New Roman"/>
        </w:rPr>
        <w:footnoteRef/>
      </w:r>
      <w:r>
        <w:rPr>
          <w:rFonts w:cs="Times New Roman"/>
        </w:rPr>
        <w:t xml:space="preserve"> </w:t>
      </w:r>
      <w:r w:rsidRPr="00582237">
        <w:rPr>
          <w:rFonts w:cs="Times New Roman"/>
        </w:rPr>
        <w:t>Institut de la statistique du Québec</w:t>
      </w:r>
      <w:r>
        <w:t xml:space="preserve">. (2014). </w:t>
      </w:r>
      <w:r w:rsidRPr="0005275B">
        <w:rPr>
          <w:i/>
        </w:rPr>
        <w:t>Panorama du Québec 2014</w:t>
      </w:r>
      <w:r>
        <w:t xml:space="preserve">. [En ligne] </w:t>
      </w:r>
      <w:hyperlink r:id="rId9" w:history="1">
        <w:r w:rsidRPr="00DC17EC">
          <w:rPr>
            <w:rStyle w:val="Lienhypertexte"/>
          </w:rPr>
          <w:t>http://www.stat.gouv.qc.ca/statistiques/profils/panorama-regions-2014.pdf</w:t>
        </w:r>
      </w:hyperlink>
      <w:r>
        <w:t>.</w:t>
      </w:r>
      <w:r w:rsidRPr="00582237">
        <w:rPr>
          <w:rFonts w:cs="Times New Roman"/>
        </w:rPr>
        <w:t xml:space="preserve"> </w:t>
      </w:r>
      <w:r>
        <w:rPr>
          <w:rFonts w:cs="Times New Roman"/>
        </w:rPr>
        <w:t>(p.31).</w:t>
      </w:r>
    </w:p>
  </w:footnote>
  <w:footnote w:id="21">
    <w:p w:rsidR="00CE1436" w:rsidRPr="00582237" w:rsidRDefault="00CE1436" w:rsidP="008166F6">
      <w:pPr>
        <w:pStyle w:val="Notedebasdepage"/>
        <w:jc w:val="both"/>
        <w:rPr>
          <w:rFonts w:cs="Times New Roman"/>
        </w:rPr>
      </w:pPr>
      <w:r w:rsidRPr="00582237">
        <w:rPr>
          <w:rStyle w:val="Appelnotedebasdep"/>
          <w:rFonts w:cs="Times New Roman"/>
        </w:rPr>
        <w:footnoteRef/>
      </w:r>
      <w:r>
        <w:rPr>
          <w:rFonts w:cs="Times New Roman"/>
        </w:rPr>
        <w:t xml:space="preserve"> </w:t>
      </w:r>
      <w:r w:rsidRPr="00582237">
        <w:rPr>
          <w:rFonts w:cs="Times New Roman"/>
        </w:rPr>
        <w:t>Institut de la statistique du Québec</w:t>
      </w:r>
      <w:r>
        <w:t xml:space="preserve">. (2014). </w:t>
      </w:r>
      <w:r w:rsidRPr="0005275B">
        <w:rPr>
          <w:i/>
        </w:rPr>
        <w:t>Panorama du Québec 2014</w:t>
      </w:r>
      <w:r>
        <w:t xml:space="preserve">. [En ligne] </w:t>
      </w:r>
      <w:hyperlink r:id="rId10" w:history="1">
        <w:r w:rsidRPr="00DC17EC">
          <w:rPr>
            <w:rStyle w:val="Lienhypertexte"/>
          </w:rPr>
          <w:t>http://www.stat.gouv.qc.ca/statistiques/profils/panorama-regions-2014.pdf</w:t>
        </w:r>
      </w:hyperlink>
      <w:r>
        <w:t>.</w:t>
      </w:r>
      <w:r w:rsidRPr="00582237">
        <w:rPr>
          <w:rFonts w:cs="Times New Roman"/>
        </w:rPr>
        <w:t xml:space="preserve"> </w:t>
      </w:r>
      <w:r>
        <w:rPr>
          <w:rFonts w:cs="Times New Roman"/>
        </w:rPr>
        <w:t>(</w:t>
      </w:r>
      <w:r w:rsidRPr="00582237">
        <w:rPr>
          <w:rFonts w:cs="Times New Roman"/>
        </w:rPr>
        <w:t>p.39</w:t>
      </w:r>
      <w:r>
        <w:rPr>
          <w:rFonts w:cs="Times New Roman"/>
        </w:rPr>
        <w:t>)</w:t>
      </w:r>
      <w:r w:rsidRPr="00582237">
        <w:rPr>
          <w:rFonts w:cs="Times New Roman"/>
        </w:rPr>
        <w:t>.</w:t>
      </w:r>
    </w:p>
  </w:footnote>
  <w:footnote w:id="22">
    <w:p w:rsidR="00CE1436" w:rsidRPr="00582237" w:rsidRDefault="00CE1436" w:rsidP="008166F6">
      <w:pPr>
        <w:pStyle w:val="Notedebasdepage"/>
        <w:jc w:val="both"/>
        <w:rPr>
          <w:rFonts w:cs="Times New Roman"/>
        </w:rPr>
      </w:pPr>
      <w:r w:rsidRPr="00582237">
        <w:rPr>
          <w:rStyle w:val="Appelnotedebasdep"/>
          <w:rFonts w:cs="Times New Roman"/>
        </w:rPr>
        <w:footnoteRef/>
      </w:r>
      <w:r>
        <w:rPr>
          <w:rFonts w:cs="Times New Roman"/>
        </w:rPr>
        <w:t xml:space="preserve"> </w:t>
      </w:r>
      <w:r w:rsidRPr="00582237">
        <w:rPr>
          <w:rFonts w:cs="Times New Roman"/>
        </w:rPr>
        <w:t>Institut de la statistique du Québec</w:t>
      </w:r>
      <w:r>
        <w:t xml:space="preserve">. (2014). </w:t>
      </w:r>
      <w:r w:rsidRPr="0005275B">
        <w:rPr>
          <w:i/>
        </w:rPr>
        <w:t>Panorama du Québec 2014</w:t>
      </w:r>
      <w:r>
        <w:t xml:space="preserve">. [En ligne] </w:t>
      </w:r>
      <w:hyperlink r:id="rId11" w:history="1">
        <w:r w:rsidRPr="00DC17EC">
          <w:rPr>
            <w:rStyle w:val="Lienhypertexte"/>
          </w:rPr>
          <w:t>http://www.stat.gouv.qc.ca/statistiques/profils/panorama-regions-2014.pdf</w:t>
        </w:r>
      </w:hyperlink>
      <w:r>
        <w:t>.</w:t>
      </w:r>
      <w:r w:rsidRPr="00582237">
        <w:rPr>
          <w:rFonts w:cs="Times New Roman"/>
        </w:rPr>
        <w:t xml:space="preserve"> </w:t>
      </w:r>
      <w:r>
        <w:rPr>
          <w:rFonts w:cs="Times New Roman"/>
        </w:rPr>
        <w:t>(p.40)</w:t>
      </w:r>
    </w:p>
  </w:footnote>
  <w:footnote w:id="23">
    <w:p w:rsidR="00CE1436" w:rsidRPr="00582237" w:rsidRDefault="00CE1436" w:rsidP="008166F6">
      <w:pPr>
        <w:pStyle w:val="Notedebasdepage"/>
        <w:jc w:val="both"/>
        <w:rPr>
          <w:rFonts w:cs="Times New Roman"/>
        </w:rPr>
      </w:pPr>
      <w:r w:rsidRPr="00582237">
        <w:rPr>
          <w:rStyle w:val="Appelnotedebasdep"/>
          <w:rFonts w:cs="Times New Roman"/>
        </w:rPr>
        <w:footnoteRef/>
      </w:r>
      <w:r w:rsidRPr="00582237">
        <w:rPr>
          <w:rFonts w:cs="Times New Roman"/>
        </w:rPr>
        <w:t xml:space="preserve"> Idem.</w:t>
      </w:r>
    </w:p>
  </w:footnote>
  <w:footnote w:id="24">
    <w:p w:rsidR="00CE1436" w:rsidRPr="00582237" w:rsidRDefault="00CE1436" w:rsidP="008166F6">
      <w:pPr>
        <w:pStyle w:val="Notedebasdepage"/>
        <w:jc w:val="both"/>
        <w:rPr>
          <w:rFonts w:cs="Times New Roman"/>
        </w:rPr>
      </w:pPr>
      <w:r w:rsidRPr="00582237">
        <w:rPr>
          <w:rStyle w:val="Appelnotedebasdep"/>
          <w:rFonts w:cs="Times New Roman"/>
        </w:rPr>
        <w:footnoteRef/>
      </w:r>
      <w:r w:rsidRPr="00582237">
        <w:rPr>
          <w:rFonts w:cs="Times New Roman"/>
        </w:rPr>
        <w:t xml:space="preserve"> Idem.</w:t>
      </w:r>
    </w:p>
  </w:footnote>
  <w:footnote w:id="25">
    <w:p w:rsidR="00CE1436" w:rsidRPr="00582237" w:rsidRDefault="00CE1436" w:rsidP="008166F6">
      <w:pPr>
        <w:pStyle w:val="Notedebasdepage"/>
        <w:jc w:val="both"/>
        <w:rPr>
          <w:rFonts w:cs="Times New Roman"/>
        </w:rPr>
      </w:pPr>
      <w:r w:rsidRPr="00582237">
        <w:rPr>
          <w:rStyle w:val="Appelnotedebasdep"/>
          <w:rFonts w:cs="Times New Roman"/>
        </w:rPr>
        <w:footnoteRef/>
      </w:r>
      <w:r w:rsidRPr="00582237">
        <w:rPr>
          <w:rFonts w:cs="Times New Roman"/>
        </w:rPr>
        <w:t xml:space="preserve"> Institut de la statistique du Québec</w:t>
      </w:r>
      <w:r>
        <w:t xml:space="preserve">. (2014). </w:t>
      </w:r>
      <w:r w:rsidRPr="0005275B">
        <w:rPr>
          <w:i/>
        </w:rPr>
        <w:t>Panorama du Québec 2014</w:t>
      </w:r>
      <w:r>
        <w:t xml:space="preserve">. [En ligne] </w:t>
      </w:r>
      <w:hyperlink r:id="rId12" w:history="1">
        <w:r w:rsidRPr="00DC17EC">
          <w:rPr>
            <w:rStyle w:val="Lienhypertexte"/>
          </w:rPr>
          <w:t>http://www.stat.gouv.qc.ca/statistiques/profils/panorama-regions-2014.pdf</w:t>
        </w:r>
      </w:hyperlink>
      <w:r>
        <w:t>.</w:t>
      </w:r>
      <w:r w:rsidRPr="00582237">
        <w:rPr>
          <w:rFonts w:cs="Times New Roman"/>
        </w:rPr>
        <w:t xml:space="preserve"> </w:t>
      </w:r>
      <w:r>
        <w:rPr>
          <w:rFonts w:cs="Times New Roman"/>
        </w:rPr>
        <w:t>(p.52)</w:t>
      </w:r>
    </w:p>
  </w:footnote>
  <w:footnote w:id="26">
    <w:p w:rsidR="00CE1436" w:rsidRPr="00582237" w:rsidRDefault="00CE1436" w:rsidP="008166F6">
      <w:pPr>
        <w:pStyle w:val="Notedebasdepage"/>
        <w:rPr>
          <w:rFonts w:cs="Times New Roman"/>
        </w:rPr>
      </w:pPr>
      <w:r w:rsidRPr="00582237">
        <w:rPr>
          <w:rStyle w:val="Appelnotedebasdep"/>
          <w:rFonts w:cs="Times New Roman"/>
        </w:rPr>
        <w:footnoteRef/>
      </w:r>
      <w:r w:rsidRPr="00582237">
        <w:rPr>
          <w:rFonts w:cs="Times New Roman"/>
        </w:rPr>
        <w:t xml:space="preserve"> </w:t>
      </w:r>
      <w:r w:rsidRPr="00050924">
        <w:rPr>
          <w:rFonts w:cs="Times New Roman"/>
        </w:rPr>
        <w:t xml:space="preserve">Institut de la statistique du Québec. (2014). </w:t>
      </w:r>
      <w:r w:rsidRPr="00050924">
        <w:rPr>
          <w:rFonts w:cs="Times New Roman"/>
          <w:i/>
        </w:rPr>
        <w:t>Regard sur deux décennies d’évolution du niveau de scolarité de la population québécoise à partir de l’Enquête sur la population active</w:t>
      </w:r>
      <w:r w:rsidRPr="00050924">
        <w:rPr>
          <w:rFonts w:cs="Times New Roman"/>
        </w:rPr>
        <w:t xml:space="preserve">. [En ligne] </w:t>
      </w:r>
      <w:hyperlink r:id="rId13" w:history="1">
        <w:r w:rsidRPr="00DC17EC">
          <w:rPr>
            <w:rStyle w:val="Lienhypertexte"/>
            <w:rFonts w:cs="Times New Roman"/>
          </w:rPr>
          <w:t>http://www.stat.gouv.qc.ca/statistiques/population-demographie/bulletins/coupdoeil-no30.pdf</w:t>
        </w:r>
      </w:hyperlink>
      <w:r>
        <w:rPr>
          <w:rFonts w:cs="Times New Roman"/>
        </w:rPr>
        <w:t xml:space="preserve"> </w:t>
      </w:r>
    </w:p>
  </w:footnote>
  <w:footnote w:id="27">
    <w:p w:rsidR="00CE1436" w:rsidRPr="00582237" w:rsidRDefault="00CE1436" w:rsidP="008166F6">
      <w:pPr>
        <w:pStyle w:val="Notedebasdepage"/>
        <w:rPr>
          <w:rFonts w:cs="Times New Roman"/>
        </w:rPr>
      </w:pPr>
      <w:r w:rsidRPr="00582237">
        <w:rPr>
          <w:rStyle w:val="Appelnotedebasdep"/>
          <w:rFonts w:cs="Times New Roman"/>
        </w:rPr>
        <w:footnoteRef/>
      </w:r>
      <w:r w:rsidRPr="00582237">
        <w:rPr>
          <w:rFonts w:cs="Times New Roman"/>
        </w:rPr>
        <w:t xml:space="preserve"> Idem.</w:t>
      </w:r>
    </w:p>
  </w:footnote>
  <w:footnote w:id="28">
    <w:p w:rsidR="00CE1436" w:rsidRPr="00574E45" w:rsidRDefault="00CE1436" w:rsidP="008166F6">
      <w:pPr>
        <w:pStyle w:val="Notedebasdepage"/>
        <w:rPr>
          <w:rFonts w:cs="Times New Roman"/>
        </w:rPr>
      </w:pPr>
      <w:r w:rsidRPr="00582237">
        <w:rPr>
          <w:rStyle w:val="Appelnotedebasdep"/>
          <w:rFonts w:cs="Times New Roman"/>
        </w:rPr>
        <w:footnoteRef/>
      </w:r>
      <w:r w:rsidRPr="00574E45">
        <w:rPr>
          <w:rFonts w:cs="Times New Roman"/>
        </w:rPr>
        <w:t xml:space="preserve"> Idem.</w:t>
      </w:r>
    </w:p>
  </w:footnote>
  <w:footnote w:id="29">
    <w:p w:rsidR="00CE1436" w:rsidRPr="00574E45" w:rsidRDefault="00CE1436" w:rsidP="008166F6">
      <w:pPr>
        <w:pStyle w:val="Notedebasdepage"/>
        <w:rPr>
          <w:rFonts w:cs="Times New Roman"/>
        </w:rPr>
      </w:pPr>
      <w:r w:rsidRPr="00582237">
        <w:rPr>
          <w:rStyle w:val="Appelnotedebasdep"/>
          <w:rFonts w:cs="Times New Roman"/>
        </w:rPr>
        <w:footnoteRef/>
      </w:r>
      <w:r w:rsidRPr="00574E45">
        <w:rPr>
          <w:rFonts w:cs="Times New Roman"/>
        </w:rPr>
        <w:t xml:space="preserve"> Blog Entête. (2014). </w:t>
      </w:r>
      <w:r w:rsidRPr="00574E45">
        <w:rPr>
          <w:rFonts w:cs="Times New Roman"/>
          <w:i/>
        </w:rPr>
        <w:t>L’UQTR enregistre une hausse de sa population étudiante pour la session hiver 2014.</w:t>
      </w:r>
      <w:r>
        <w:rPr>
          <w:rFonts w:cs="Times New Roman"/>
        </w:rPr>
        <w:t xml:space="preserve"> [En ligne]</w:t>
      </w:r>
      <w:r w:rsidRPr="00574E45">
        <w:rPr>
          <w:rFonts w:cs="Times New Roman"/>
        </w:rPr>
        <w:t xml:space="preserve"> </w:t>
      </w:r>
      <w:hyperlink r:id="rId14" w:history="1">
        <w:r w:rsidRPr="00574E45">
          <w:rPr>
            <w:rStyle w:val="Lienhypertexte"/>
            <w:rFonts w:cs="Times New Roman"/>
          </w:rPr>
          <w:t>http://blogue.uqtr.ca/2014/01/27/luqtr-enregistre-hausse-population-etudiante-session-hiver-2014/</w:t>
        </w:r>
      </w:hyperlink>
    </w:p>
  </w:footnote>
  <w:footnote w:id="30">
    <w:p w:rsidR="00CE1436" w:rsidRPr="009369FB" w:rsidRDefault="00CE1436" w:rsidP="008166F6">
      <w:pPr>
        <w:pStyle w:val="Notedebasdepage"/>
      </w:pPr>
      <w:r>
        <w:rPr>
          <w:rStyle w:val="Appelnotedebasdep"/>
        </w:rPr>
        <w:footnoteRef/>
      </w:r>
      <w:r w:rsidRPr="007030F8">
        <w:rPr>
          <w:lang w:val="en-CA"/>
        </w:rPr>
        <w:t xml:space="preserve"> </w:t>
      </w:r>
      <w:proofErr w:type="gramStart"/>
      <w:r w:rsidRPr="007030F8">
        <w:rPr>
          <w:lang w:val="en-CA"/>
        </w:rPr>
        <w:t xml:space="preserve">Association of Universities </w:t>
      </w:r>
      <w:r>
        <w:rPr>
          <w:lang w:val="en-CA"/>
        </w:rPr>
        <w:t>and Colleges of Canada (2011).</w:t>
      </w:r>
      <w:proofErr w:type="gramEnd"/>
      <w:r>
        <w:rPr>
          <w:lang w:val="en-CA"/>
        </w:rPr>
        <w:t xml:space="preserve"> </w:t>
      </w:r>
      <w:proofErr w:type="gramStart"/>
      <w:r w:rsidRPr="003856FB">
        <w:rPr>
          <w:i/>
          <w:lang w:val="en-CA"/>
        </w:rPr>
        <w:t>Trends in Higher Education Volume 1 – Enrolment</w:t>
      </w:r>
      <w:r>
        <w:rPr>
          <w:lang w:val="en-CA"/>
        </w:rPr>
        <w:t>.</w:t>
      </w:r>
      <w:proofErr w:type="gramEnd"/>
      <w:r>
        <w:rPr>
          <w:lang w:val="en-CA"/>
        </w:rPr>
        <w:t xml:space="preserve"> </w:t>
      </w:r>
      <w:r w:rsidRPr="003856FB">
        <w:t xml:space="preserve">[En ligne] </w:t>
      </w:r>
      <w:hyperlink r:id="rId15" w:history="1">
        <w:r w:rsidRPr="00DC17EC">
          <w:rPr>
            <w:rStyle w:val="Lienhypertexte"/>
          </w:rPr>
          <w:t>http://www.aucc.ca/wp-content/uploads/2011/05/trends-2011-vol1-enrolment-e.pdf</w:t>
        </w:r>
      </w:hyperlink>
      <w:r>
        <w:t xml:space="preserve">. </w:t>
      </w:r>
      <w:r w:rsidRPr="003856FB">
        <w:t xml:space="preserve"> </w:t>
      </w:r>
      <w:r w:rsidRPr="009369FB">
        <w:t>(p.15.)</w:t>
      </w:r>
    </w:p>
  </w:footnote>
  <w:footnote w:id="31">
    <w:p w:rsidR="00CE1436" w:rsidRPr="003856FB" w:rsidRDefault="00CE1436" w:rsidP="008166F6">
      <w:pPr>
        <w:pStyle w:val="Notedebasdepage"/>
        <w:rPr>
          <w:lang w:val="en-CA"/>
        </w:rPr>
      </w:pPr>
      <w:r>
        <w:rPr>
          <w:rStyle w:val="Appelnotedebasdep"/>
        </w:rPr>
        <w:footnoteRef/>
      </w:r>
      <w:r w:rsidRPr="003856FB">
        <w:t xml:space="preserve"> </w:t>
      </w:r>
      <w:proofErr w:type="spellStart"/>
      <w:r w:rsidRPr="003856FB">
        <w:t>Deltab</w:t>
      </w:r>
      <w:proofErr w:type="spellEnd"/>
      <w:r w:rsidRPr="003856FB">
        <w:t>. Établissements d'enseignement - de la craie au DEL!</w:t>
      </w:r>
      <w:r>
        <w:t xml:space="preserve"> [En ligne] </w:t>
      </w:r>
      <w:hyperlink r:id="rId16" w:history="1">
        <w:r w:rsidRPr="00DC17EC">
          <w:rPr>
            <w:rStyle w:val="Lienhypertexte"/>
          </w:rPr>
          <w:t>http://www.deltab.ca/solutions/etablissements-enseignement.html</w:t>
        </w:r>
      </w:hyperlink>
      <w:r w:rsidRPr="003856FB">
        <w:t>.</w:t>
      </w:r>
      <w:r>
        <w:t xml:space="preserve"> </w:t>
      </w:r>
      <w:r w:rsidRPr="003856FB">
        <w:rPr>
          <w:lang w:val="en-CA"/>
        </w:rPr>
        <w:t>(</w:t>
      </w:r>
      <w:proofErr w:type="gramStart"/>
      <w:r w:rsidRPr="003856FB">
        <w:rPr>
          <w:lang w:val="en-CA"/>
        </w:rPr>
        <w:t>page</w:t>
      </w:r>
      <w:proofErr w:type="gramEnd"/>
      <w:r w:rsidRPr="003856FB">
        <w:rPr>
          <w:lang w:val="en-CA"/>
        </w:rPr>
        <w:t xml:space="preserve"> </w:t>
      </w:r>
      <w:proofErr w:type="spellStart"/>
      <w:r w:rsidRPr="003856FB">
        <w:rPr>
          <w:lang w:val="en-CA"/>
        </w:rPr>
        <w:t>consultée</w:t>
      </w:r>
      <w:proofErr w:type="spellEnd"/>
      <w:r w:rsidRPr="003856FB">
        <w:rPr>
          <w:lang w:val="en-CA"/>
        </w:rPr>
        <w:t xml:space="preserve"> le 7 mars 2015).</w:t>
      </w:r>
    </w:p>
  </w:footnote>
  <w:footnote w:id="32">
    <w:p w:rsidR="00CE1436" w:rsidRPr="00CB50FE" w:rsidRDefault="00CE1436" w:rsidP="008166F6">
      <w:pPr>
        <w:pStyle w:val="Notedebasdepage"/>
        <w:jc w:val="both"/>
      </w:pPr>
      <w:r>
        <w:rPr>
          <w:rStyle w:val="Appelnotedebasdep"/>
        </w:rPr>
        <w:footnoteRef/>
      </w:r>
      <w:r w:rsidRPr="00517B79">
        <w:rPr>
          <w:lang w:val="en-CA"/>
        </w:rPr>
        <w:t xml:space="preserve"> </w:t>
      </w:r>
      <w:proofErr w:type="gramStart"/>
      <w:r w:rsidRPr="00517B79">
        <w:rPr>
          <w:lang w:val="en-CA"/>
        </w:rPr>
        <w:t>Research Overview</w:t>
      </w:r>
      <w:r>
        <w:rPr>
          <w:lang w:val="en-CA"/>
        </w:rPr>
        <w:t>.</w:t>
      </w:r>
      <w:proofErr w:type="gramEnd"/>
      <w:r>
        <w:rPr>
          <w:lang w:val="en-CA"/>
        </w:rPr>
        <w:t xml:space="preserve"> </w:t>
      </w:r>
      <w:proofErr w:type="gramStart"/>
      <w:r>
        <w:rPr>
          <w:lang w:val="en-CA"/>
        </w:rPr>
        <w:t xml:space="preserve">(2013). </w:t>
      </w:r>
      <w:r w:rsidRPr="003856FB">
        <w:rPr>
          <w:i/>
          <w:lang w:val="en-CA"/>
        </w:rPr>
        <w:t xml:space="preserve">What We Know </w:t>
      </w:r>
      <w:proofErr w:type="spellStart"/>
      <w:r w:rsidRPr="003856FB">
        <w:rPr>
          <w:i/>
          <w:lang w:val="en-CA"/>
        </w:rPr>
        <w:t>AboutOnline</w:t>
      </w:r>
      <w:proofErr w:type="spellEnd"/>
      <w:r w:rsidRPr="003856FB">
        <w:rPr>
          <w:i/>
          <w:lang w:val="en-CA"/>
        </w:rPr>
        <w:t xml:space="preserve"> Course Outcomes</w:t>
      </w:r>
      <w:r>
        <w:rPr>
          <w:lang w:val="en-CA"/>
        </w:rPr>
        <w:t>.</w:t>
      </w:r>
      <w:proofErr w:type="gramEnd"/>
      <w:r>
        <w:rPr>
          <w:lang w:val="en-CA"/>
        </w:rPr>
        <w:t xml:space="preserve"> </w:t>
      </w:r>
      <w:r w:rsidRPr="00CB50FE">
        <w:t xml:space="preserve">[En ligne] </w:t>
      </w:r>
      <w:hyperlink r:id="rId17" w:history="1">
        <w:r w:rsidRPr="00CB50FE">
          <w:rPr>
            <w:rStyle w:val="Lienhypertexte"/>
          </w:rPr>
          <w:t>http://eric.ed.gov/?id=ED542143</w:t>
        </w:r>
      </w:hyperlink>
      <w:r w:rsidRPr="00CB50FE">
        <w:t xml:space="preserve"> </w:t>
      </w:r>
    </w:p>
  </w:footnote>
  <w:footnote w:id="33">
    <w:p w:rsidR="00CE1436" w:rsidRPr="00517B79" w:rsidRDefault="00CE1436" w:rsidP="008166F6">
      <w:pPr>
        <w:pStyle w:val="Notedebasdepage"/>
        <w:jc w:val="both"/>
        <w:rPr>
          <w:lang w:val="en-CA"/>
        </w:rPr>
      </w:pPr>
      <w:r>
        <w:rPr>
          <w:rStyle w:val="Appelnotedebasdep"/>
        </w:rPr>
        <w:footnoteRef/>
      </w:r>
      <w:r w:rsidRPr="00CB50FE">
        <w:t xml:space="preserve"> Xu, Di ; </w:t>
      </w:r>
      <w:proofErr w:type="spellStart"/>
      <w:r w:rsidRPr="00CB50FE">
        <w:t>Jaggars</w:t>
      </w:r>
      <w:proofErr w:type="spellEnd"/>
      <w:r w:rsidRPr="00CB50FE">
        <w:t xml:space="preserve">, Shanna Smith. </w:t>
      </w:r>
      <w:r>
        <w:rPr>
          <w:lang w:val="en-CA"/>
        </w:rPr>
        <w:t xml:space="preserve">(2012). </w:t>
      </w:r>
      <w:r w:rsidRPr="00CA298F">
        <w:rPr>
          <w:i/>
          <w:lang w:val="en-CA"/>
        </w:rPr>
        <w:t>Economics of Education Review. The impact of online learning on students’ course outcomes: Evidence from a large community and technical college system</w:t>
      </w:r>
      <w:proofErr w:type="gramStart"/>
      <w:r>
        <w:rPr>
          <w:i/>
          <w:lang w:val="en-CA"/>
        </w:rPr>
        <w:t>.</w:t>
      </w:r>
      <w:r>
        <w:rPr>
          <w:lang w:val="en-CA"/>
        </w:rPr>
        <w:t>[</w:t>
      </w:r>
      <w:proofErr w:type="gramEnd"/>
      <w:r>
        <w:rPr>
          <w:lang w:val="en-CA"/>
        </w:rPr>
        <w:t xml:space="preserve">En </w:t>
      </w:r>
      <w:proofErr w:type="spellStart"/>
      <w:r>
        <w:rPr>
          <w:lang w:val="en-CA"/>
        </w:rPr>
        <w:t>ligne</w:t>
      </w:r>
      <w:proofErr w:type="spellEnd"/>
      <w:r>
        <w:rPr>
          <w:lang w:val="en-CA"/>
        </w:rPr>
        <w:t xml:space="preserve">] </w:t>
      </w:r>
      <w:hyperlink r:id="rId18" w:history="1">
        <w:r w:rsidRPr="00DC17EC">
          <w:rPr>
            <w:rStyle w:val="Lienhypertexte"/>
            <w:lang w:val="en-CA"/>
          </w:rPr>
          <w:t>http://www.sciencedirect.com.biblioproxy.uqtr.ca/science/article/pii/S0272775713001039</w:t>
        </w:r>
      </w:hyperlink>
      <w:r>
        <w:rPr>
          <w:lang w:val="en-CA"/>
        </w:rPr>
        <w:t xml:space="preserve"> (p</w:t>
      </w:r>
      <w:r w:rsidRPr="00517B79">
        <w:rPr>
          <w:lang w:val="en-CA"/>
        </w:rPr>
        <w:t>.46-57</w:t>
      </w:r>
      <w:r>
        <w:rPr>
          <w:lang w:val="en-CA"/>
        </w:rPr>
        <w:t>)</w:t>
      </w:r>
      <w:r w:rsidRPr="00517B79">
        <w:rPr>
          <w:lang w:val="en-CA"/>
        </w:rPr>
        <w:t>.</w:t>
      </w:r>
    </w:p>
  </w:footnote>
  <w:footnote w:id="34">
    <w:p w:rsidR="00CE1436" w:rsidRPr="00C02928" w:rsidRDefault="00CE1436" w:rsidP="008166F6">
      <w:pPr>
        <w:pStyle w:val="Notedebasdepage"/>
      </w:pPr>
      <w:r>
        <w:rPr>
          <w:rStyle w:val="Appelnotedebasdep"/>
        </w:rPr>
        <w:footnoteRef/>
      </w:r>
      <w:r w:rsidRPr="00CA298F">
        <w:rPr>
          <w:lang w:val="en-CA"/>
        </w:rPr>
        <w:t xml:space="preserve"> </w:t>
      </w:r>
      <w:proofErr w:type="gramStart"/>
      <w:r w:rsidRPr="00CA298F">
        <w:rPr>
          <w:lang w:val="en-CA"/>
        </w:rPr>
        <w:t>ERIC Institute of Education Sciences.</w:t>
      </w:r>
      <w:proofErr w:type="gramEnd"/>
      <w:r>
        <w:rPr>
          <w:lang w:val="en-CA"/>
        </w:rPr>
        <w:t xml:space="preserve"> </w:t>
      </w:r>
      <w:r w:rsidRPr="009369FB">
        <w:rPr>
          <w:lang w:val="en-CA"/>
        </w:rPr>
        <w:t xml:space="preserve">(2005). </w:t>
      </w:r>
      <w:r w:rsidRPr="009369FB">
        <w:rPr>
          <w:i/>
          <w:lang w:val="en-CA"/>
        </w:rPr>
        <w:t>Fostering Personal &amp; Social Responsibility on College &amp; University Campuses</w:t>
      </w:r>
      <w:r w:rsidRPr="009369FB">
        <w:rPr>
          <w:lang w:val="en-CA"/>
        </w:rPr>
        <w:t xml:space="preserve">. </w:t>
      </w:r>
      <w:r>
        <w:t xml:space="preserve">[En ligne] </w:t>
      </w:r>
      <w:r w:rsidRPr="00CA298F">
        <w:t xml:space="preserve"> </w:t>
      </w:r>
      <w:hyperlink r:id="rId19" w:history="1">
        <w:r w:rsidRPr="00CA298F">
          <w:rPr>
            <w:rStyle w:val="Lienhypertexte"/>
          </w:rPr>
          <w:t>http://eric.ed.gov/?id=EJ720378</w:t>
        </w:r>
      </w:hyperlink>
    </w:p>
  </w:footnote>
  <w:footnote w:id="35">
    <w:p w:rsidR="00CE1436" w:rsidRPr="00C02928" w:rsidRDefault="00CE1436" w:rsidP="008166F6">
      <w:pPr>
        <w:pStyle w:val="Notedebasdepage"/>
        <w:rPr>
          <w:rFonts w:cs="Times New Roman"/>
        </w:rPr>
      </w:pPr>
      <w:r w:rsidRPr="00582237">
        <w:rPr>
          <w:rStyle w:val="Appelnotedebasdep"/>
          <w:rFonts w:cs="Times New Roman"/>
        </w:rPr>
        <w:footnoteRef/>
      </w:r>
      <w:r w:rsidRPr="00C02928">
        <w:rPr>
          <w:rFonts w:cs="Times New Roman"/>
        </w:rPr>
        <w:t xml:space="preserve"> </w:t>
      </w:r>
      <w:r>
        <w:rPr>
          <w:rFonts w:cs="Times New Roman"/>
        </w:rPr>
        <w:t xml:space="preserve">Radio-Canada. (2015). </w:t>
      </w:r>
      <w:r w:rsidRPr="00CA298F">
        <w:rPr>
          <w:rFonts w:cs="Times New Roman"/>
        </w:rPr>
        <w:t xml:space="preserve">L'UPAC à l'UQTR : Nadia </w:t>
      </w:r>
      <w:proofErr w:type="spellStart"/>
      <w:r w:rsidRPr="00CA298F">
        <w:rPr>
          <w:rFonts w:cs="Times New Roman"/>
        </w:rPr>
        <w:t>Ghazzali</w:t>
      </w:r>
      <w:proofErr w:type="spellEnd"/>
      <w:r w:rsidRPr="00CA298F">
        <w:rPr>
          <w:rFonts w:cs="Times New Roman"/>
        </w:rPr>
        <w:t xml:space="preserve"> dit n'avoir rien à se reprocher</w:t>
      </w:r>
      <w:r>
        <w:rPr>
          <w:rFonts w:cs="Times New Roman"/>
        </w:rPr>
        <w:t xml:space="preserve">. [En ligne] </w:t>
      </w:r>
      <w:hyperlink r:id="rId20" w:history="1">
        <w:r w:rsidRPr="00C02928">
          <w:rPr>
            <w:rStyle w:val="Lienhypertexte"/>
            <w:rFonts w:cs="Times New Roman"/>
          </w:rPr>
          <w:t>http://ici.radio-canada.ca/regions/mauricie/2015/01/12/001-upac-uqtr-nadia-ghazzali-enquete.shtml</w:t>
        </w:r>
      </w:hyperlink>
    </w:p>
  </w:footnote>
  <w:footnote w:id="36">
    <w:p w:rsidR="00CE1436" w:rsidRDefault="00CE1436" w:rsidP="008F217B">
      <w:pPr>
        <w:pStyle w:val="Notedebasdepage"/>
      </w:pPr>
      <w:r>
        <w:rPr>
          <w:rStyle w:val="Appelnotedebasdep"/>
        </w:rPr>
        <w:footnoteRef/>
      </w:r>
      <w:proofErr w:type="gramStart"/>
      <w:r>
        <w:t>Gouvernement .«</w:t>
      </w:r>
      <w:proofErr w:type="gramEnd"/>
      <w:r>
        <w:t xml:space="preserve">Loi sur les établissements d’enseignement de niveau universitaire » </w:t>
      </w:r>
      <w:r>
        <w:rPr>
          <w:rFonts w:cs="Times New Roman"/>
        </w:rPr>
        <w:t xml:space="preserve">[En ligne] </w:t>
      </w:r>
      <w:r>
        <w:t> </w:t>
      </w:r>
      <w:hyperlink r:id="rId21" w:history="1">
        <w:r w:rsidRPr="00AB765A">
          <w:rPr>
            <w:rStyle w:val="Lienhypertexte"/>
          </w:rPr>
          <w:t xml:space="preserve">http://www2.publicationsduquebec.gouv.qc.ca/dynamicSearch/telecharge.php?type=2&amp;file=/E_14_1/E14_1.html </w:t>
        </w:r>
        <w:r w:rsidRPr="009369FB">
          <w:rPr>
            <w:rStyle w:val="Lienhypertexte"/>
            <w:color w:val="auto"/>
            <w:u w:val="none"/>
          </w:rPr>
          <w:t>(Page</w:t>
        </w:r>
      </w:hyperlink>
      <w:r>
        <w:t xml:space="preserve"> consultée le 15 février 2015)</w:t>
      </w:r>
    </w:p>
  </w:footnote>
  <w:footnote w:id="37">
    <w:p w:rsidR="00CE1436" w:rsidRDefault="00CE1436" w:rsidP="008F217B">
      <w:pPr>
        <w:pStyle w:val="Notedebasdepage"/>
        <w:rPr>
          <w:rFonts w:cs="Times New Roman"/>
        </w:rPr>
      </w:pPr>
      <w:r>
        <w:rPr>
          <w:rStyle w:val="Appelnotedebasdep"/>
          <w:rFonts w:cs="Times New Roman"/>
        </w:rPr>
        <w:footnoteRef/>
      </w:r>
      <w:r w:rsidRPr="00EC7F73">
        <w:rPr>
          <w:rFonts w:cs="Times New Roman"/>
          <w:lang w:val="en-CA"/>
        </w:rPr>
        <w:t xml:space="preserve"> Johnson, G., </w:t>
      </w:r>
      <w:proofErr w:type="spellStart"/>
      <w:r w:rsidRPr="00EC7F73">
        <w:rPr>
          <w:rFonts w:cs="Times New Roman"/>
          <w:lang w:val="en-CA"/>
        </w:rPr>
        <w:t>Scholes</w:t>
      </w:r>
      <w:proofErr w:type="spellEnd"/>
      <w:r w:rsidRPr="00EC7F73">
        <w:rPr>
          <w:rFonts w:cs="Times New Roman"/>
          <w:lang w:val="en-CA"/>
        </w:rPr>
        <w:t>, K.,</w:t>
      </w:r>
      <w:r>
        <w:rPr>
          <w:rFonts w:cs="Times New Roman"/>
          <w:lang w:val="en-CA"/>
        </w:rPr>
        <w:t xml:space="preserve"> Whittington, R. </w:t>
      </w:r>
      <w:proofErr w:type="gramStart"/>
      <w:r>
        <w:rPr>
          <w:rFonts w:cs="Times New Roman"/>
          <w:lang w:val="en-CA"/>
        </w:rPr>
        <w:t>et</w:t>
      </w:r>
      <w:proofErr w:type="gramEnd"/>
      <w:r>
        <w:rPr>
          <w:rFonts w:cs="Times New Roman"/>
          <w:lang w:val="en-CA"/>
        </w:rPr>
        <w:t xml:space="preserve"> F. </w:t>
      </w:r>
      <w:proofErr w:type="spellStart"/>
      <w:r>
        <w:rPr>
          <w:rFonts w:cs="Times New Roman"/>
          <w:lang w:val="en-CA"/>
        </w:rPr>
        <w:t>Fréry</w:t>
      </w:r>
      <w:proofErr w:type="spellEnd"/>
      <w:r>
        <w:rPr>
          <w:rFonts w:cs="Times New Roman"/>
          <w:lang w:val="en-CA"/>
        </w:rPr>
        <w:t xml:space="preserve"> (2</w:t>
      </w:r>
      <w:r w:rsidRPr="00EC7F73">
        <w:rPr>
          <w:rFonts w:cs="Times New Roman"/>
          <w:lang w:val="en-CA"/>
        </w:rPr>
        <w:t xml:space="preserve">011). </w:t>
      </w:r>
      <w:r>
        <w:rPr>
          <w:rFonts w:cs="Times New Roman"/>
          <w:i/>
          <w:iCs/>
        </w:rPr>
        <w:t>Stratégique, 9e édition</w:t>
      </w:r>
      <w:r>
        <w:rPr>
          <w:rFonts w:cs="Times New Roman"/>
        </w:rPr>
        <w:t>. Pearson Éducation, France, p. 68-69</w:t>
      </w:r>
    </w:p>
  </w:footnote>
  <w:footnote w:id="38">
    <w:p w:rsidR="00CE1436" w:rsidRDefault="00CE1436" w:rsidP="008F217B">
      <w:pPr>
        <w:pStyle w:val="Notedebasdepage"/>
        <w:rPr>
          <w:rFonts w:cs="Times New Roman"/>
        </w:rPr>
      </w:pPr>
      <w:r>
        <w:rPr>
          <w:rStyle w:val="Appelnotedebasdep"/>
          <w:rFonts w:cs="Times New Roman"/>
        </w:rPr>
        <w:footnoteRef/>
      </w:r>
      <w:proofErr w:type="spellStart"/>
      <w:r>
        <w:rPr>
          <w:rFonts w:cs="Times New Roman"/>
        </w:rPr>
        <w:t>Descoteaux</w:t>
      </w:r>
      <w:proofErr w:type="spellEnd"/>
      <w:r>
        <w:rPr>
          <w:rFonts w:cs="Times New Roman"/>
        </w:rPr>
        <w:t xml:space="preserve">, F. «La population étudiante de l’UQTR en hausse à tous les cycles » </w:t>
      </w:r>
      <w:r>
        <w:rPr>
          <w:rFonts w:cs="Times New Roman"/>
          <w:i/>
        </w:rPr>
        <w:t>En tête. Nouvelles à l’UQTR</w:t>
      </w:r>
      <w:r>
        <w:rPr>
          <w:rFonts w:cs="Times New Roman"/>
        </w:rPr>
        <w:t xml:space="preserve"> [En ligne] </w:t>
      </w:r>
      <w:hyperlink r:id="rId22" w:history="1">
        <w:r>
          <w:rPr>
            <w:rStyle w:val="Lienhypertexte"/>
            <w:rFonts w:cs="Times New Roman"/>
          </w:rPr>
          <w:t>http://blogue.uqtr.ca/2013/01/28/la-population-etudiante-de-luqtr-en-hausse-a-tous-les-cycles/</w:t>
        </w:r>
      </w:hyperlink>
      <w:r>
        <w:rPr>
          <w:rFonts w:cs="Times New Roman"/>
        </w:rPr>
        <w:t xml:space="preserve"> (Page consultée le 16 février 2015)</w:t>
      </w:r>
    </w:p>
  </w:footnote>
  <w:footnote w:id="39">
    <w:p w:rsidR="00CE1436" w:rsidRDefault="00CE1436" w:rsidP="008F217B">
      <w:pPr>
        <w:pStyle w:val="Notedebasdepage"/>
        <w:rPr>
          <w:rFonts w:cs="Times New Roman"/>
        </w:rPr>
      </w:pPr>
      <w:r>
        <w:rPr>
          <w:rStyle w:val="Appelnotedebasdep"/>
          <w:rFonts w:cs="Times New Roman"/>
        </w:rPr>
        <w:footnoteRef/>
      </w:r>
      <w:r>
        <w:rPr>
          <w:rFonts w:cs="Times New Roman"/>
        </w:rPr>
        <w:t xml:space="preserve"> Gouvernement. « Liste des établissements universitaires », </w:t>
      </w:r>
      <w:r>
        <w:rPr>
          <w:rFonts w:cs="Times New Roman"/>
          <w:i/>
        </w:rPr>
        <w:t>Enseignement supérieur, Recherche et Science du Québec</w:t>
      </w:r>
      <w:r>
        <w:rPr>
          <w:rFonts w:cs="Times New Roman"/>
        </w:rPr>
        <w:t xml:space="preserve">.  [En ligne] </w:t>
      </w:r>
      <w:hyperlink r:id="rId23" w:history="1">
        <w:r>
          <w:rPr>
            <w:rStyle w:val="Lienhypertexte"/>
            <w:rFonts w:cs="Times New Roman"/>
          </w:rPr>
          <w:t>http://www.mesrs.gouv.qc.ca/etudiants-universitaire/admission-a-luniversite/liste-des-etablissements-universitaires/</w:t>
        </w:r>
      </w:hyperlink>
      <w:r>
        <w:rPr>
          <w:rFonts w:cs="Times New Roman"/>
        </w:rPr>
        <w:t xml:space="preserve"> (Page consultée le 16 février 2015)</w:t>
      </w:r>
    </w:p>
  </w:footnote>
  <w:footnote w:id="40">
    <w:p w:rsidR="00CE1436" w:rsidRDefault="00CE1436" w:rsidP="008F217B">
      <w:pPr>
        <w:pStyle w:val="Notedebasdepage"/>
        <w:rPr>
          <w:rFonts w:asciiTheme="minorHAnsi" w:hAnsiTheme="minorHAnsi"/>
        </w:rPr>
      </w:pPr>
      <w:r>
        <w:rPr>
          <w:rStyle w:val="Appelnotedebasdep"/>
          <w:rFonts w:cs="Times New Roman"/>
        </w:rPr>
        <w:footnoteRef/>
      </w:r>
      <w:r w:rsidRPr="00EC7F73">
        <w:rPr>
          <w:rFonts w:cs="Times New Roman"/>
          <w:lang w:val="en-CA"/>
        </w:rPr>
        <w:t xml:space="preserve"> Johnson, G., </w:t>
      </w:r>
      <w:proofErr w:type="spellStart"/>
      <w:r w:rsidRPr="00EC7F73">
        <w:rPr>
          <w:rFonts w:cs="Times New Roman"/>
          <w:lang w:val="en-CA"/>
        </w:rPr>
        <w:t>Scholes</w:t>
      </w:r>
      <w:proofErr w:type="spellEnd"/>
      <w:r w:rsidRPr="00EC7F73">
        <w:rPr>
          <w:rFonts w:cs="Times New Roman"/>
          <w:lang w:val="en-CA"/>
        </w:rPr>
        <w:t xml:space="preserve">, K., Whittington, R. </w:t>
      </w:r>
      <w:proofErr w:type="gramStart"/>
      <w:r w:rsidRPr="00EC7F73">
        <w:rPr>
          <w:rFonts w:cs="Times New Roman"/>
          <w:lang w:val="en-CA"/>
        </w:rPr>
        <w:t>et</w:t>
      </w:r>
      <w:proofErr w:type="gramEnd"/>
      <w:r w:rsidRPr="00EC7F73">
        <w:rPr>
          <w:rFonts w:cs="Times New Roman"/>
          <w:lang w:val="en-CA"/>
        </w:rPr>
        <w:t xml:space="preserve"> F. </w:t>
      </w:r>
      <w:proofErr w:type="spellStart"/>
      <w:r w:rsidRPr="00EC7F73">
        <w:rPr>
          <w:rFonts w:cs="Times New Roman"/>
          <w:lang w:val="en-CA"/>
        </w:rPr>
        <w:t>Fréry</w:t>
      </w:r>
      <w:proofErr w:type="spellEnd"/>
      <w:r w:rsidRPr="00EC7F73">
        <w:rPr>
          <w:rFonts w:cs="Times New Roman"/>
          <w:lang w:val="en-CA"/>
        </w:rPr>
        <w:t xml:space="preserve"> (2 011). </w:t>
      </w:r>
      <w:r>
        <w:rPr>
          <w:rFonts w:cs="Times New Roman"/>
          <w:i/>
          <w:iCs/>
        </w:rPr>
        <w:t>Stratégique, 9e édition</w:t>
      </w:r>
      <w:r>
        <w:rPr>
          <w:rFonts w:cs="Times New Roman"/>
        </w:rPr>
        <w:t>. Pearson Éducation, France, p.69-70</w:t>
      </w:r>
    </w:p>
  </w:footnote>
  <w:footnote w:id="41">
    <w:p w:rsidR="00CE1436" w:rsidRDefault="00CE1436" w:rsidP="008F217B">
      <w:pPr>
        <w:pStyle w:val="Notedebasdepage"/>
      </w:pPr>
      <w:r>
        <w:rPr>
          <w:rStyle w:val="Appelnotedebasdep"/>
        </w:rPr>
        <w:footnoteRef/>
      </w:r>
      <w:r>
        <w:t xml:space="preserve"> Le Devoir, Marco </w:t>
      </w:r>
      <w:proofErr w:type="spellStart"/>
      <w:r>
        <w:t>Bélair</w:t>
      </w:r>
      <w:proofErr w:type="spellEnd"/>
      <w:r>
        <w:t>-</w:t>
      </w:r>
      <w:proofErr w:type="spellStart"/>
      <w:r>
        <w:t>Cirino</w:t>
      </w:r>
      <w:proofErr w:type="spellEnd"/>
      <w:r>
        <w:t xml:space="preserve">, (2014), </w:t>
      </w:r>
      <w:r w:rsidRPr="00EF708E">
        <w:t>Les universités redoutent l’impact des compressions</w:t>
      </w:r>
      <w:r>
        <w:t xml:space="preserve">, </w:t>
      </w:r>
      <w:r w:rsidRPr="00D60383">
        <w:t>[En ligne]</w:t>
      </w:r>
      <w:r>
        <w:t xml:space="preserve">, </w:t>
      </w:r>
      <w:hyperlink r:id="rId24" w:history="1">
        <w:r w:rsidRPr="00D015F3">
          <w:rPr>
            <w:rStyle w:val="Lienhypertexte"/>
          </w:rPr>
          <w:t>http://www.ledevoir.com/societe/education/418586/les-universites-redoutent-l-impact-des-compressions</w:t>
        </w:r>
      </w:hyperlink>
      <w:r>
        <w:t xml:space="preserve"> (Page consultée le 15 mars 2015)</w:t>
      </w:r>
    </w:p>
  </w:footnote>
  <w:footnote w:id="42">
    <w:p w:rsidR="00CE1436" w:rsidRDefault="00CE1436" w:rsidP="008F217B">
      <w:pPr>
        <w:pStyle w:val="Notedebasdepage"/>
      </w:pPr>
      <w:r>
        <w:rPr>
          <w:rStyle w:val="Appelnotedebasdep"/>
        </w:rPr>
        <w:footnoteRef/>
      </w:r>
      <w:r>
        <w:t xml:space="preserve"> Radio-Canada via le </w:t>
      </w:r>
      <w:proofErr w:type="spellStart"/>
      <w:r>
        <w:t>Huffington</w:t>
      </w:r>
      <w:proofErr w:type="spellEnd"/>
      <w:r>
        <w:t xml:space="preserve"> Post. (2015). </w:t>
      </w:r>
      <w:r w:rsidRPr="00D60383">
        <w:rPr>
          <w:i/>
        </w:rPr>
        <w:t>Droits de scolarité: les Français devront payer les mêmes frais que les Canadiens hors Québec</w:t>
      </w:r>
      <w:r>
        <w:t>. [En ligne]</w:t>
      </w:r>
      <w:r w:rsidRPr="00D60383">
        <w:t xml:space="preserve"> </w:t>
      </w:r>
      <w:hyperlink r:id="rId25" w:history="1">
        <w:r>
          <w:rPr>
            <w:rStyle w:val="Lienhypertexte"/>
          </w:rPr>
          <w:t>http://quebec.huffingtonpost.ca/2015/02/12/quebec-triple-les-droits-de-scolarite-des-etudiants-francais_n_6670568.html</w:t>
        </w:r>
      </w:hyperlink>
    </w:p>
  </w:footnote>
  <w:footnote w:id="43">
    <w:p w:rsidR="00CE1436" w:rsidRDefault="00CE1436" w:rsidP="008F217B">
      <w:pPr>
        <w:pStyle w:val="Notedebasdepage"/>
        <w:jc w:val="both"/>
      </w:pPr>
      <w:r>
        <w:rPr>
          <w:rStyle w:val="Appelnotedebasdep"/>
        </w:rPr>
        <w:footnoteRef/>
      </w:r>
      <w:r>
        <w:t xml:space="preserve"> </w:t>
      </w:r>
      <w:proofErr w:type="spellStart"/>
      <w:r>
        <w:t>Sarkis</w:t>
      </w:r>
      <w:proofErr w:type="spellEnd"/>
      <w:r>
        <w:t xml:space="preserve">, Hani. (2012).  </w:t>
      </w:r>
      <w:r w:rsidRPr="00D60383">
        <w:rPr>
          <w:i/>
        </w:rPr>
        <w:t>L’environnement de l’entreprise</w:t>
      </w:r>
      <w:r>
        <w:rPr>
          <w:i/>
        </w:rPr>
        <w:t xml:space="preserve"> (</w:t>
      </w:r>
      <w:r w:rsidRPr="00D60383">
        <w:rPr>
          <w:i/>
        </w:rPr>
        <w:t>diaporama Powerpoint)</w:t>
      </w:r>
      <w:r>
        <w:t>.</w:t>
      </w:r>
    </w:p>
  </w:footnote>
  <w:footnote w:id="44">
    <w:p w:rsidR="00CE1436" w:rsidRDefault="00CE1436" w:rsidP="008F217B">
      <w:pPr>
        <w:pStyle w:val="Notedebasdepage"/>
        <w:jc w:val="both"/>
      </w:pPr>
      <w:r>
        <w:rPr>
          <w:rStyle w:val="Appelnotedebasdep"/>
        </w:rPr>
        <w:footnoteRef/>
      </w:r>
      <w:r>
        <w:t xml:space="preserve"> Université Laval, à Québec et UQAM, </w:t>
      </w:r>
      <w:proofErr w:type="spellStart"/>
      <w:r>
        <w:t>UdeM</w:t>
      </w:r>
      <w:proofErr w:type="spellEnd"/>
      <w:r>
        <w:t>, Concordia, McGill à Montréal.</w:t>
      </w:r>
    </w:p>
  </w:footnote>
  <w:footnote w:id="45">
    <w:p w:rsidR="00CE1436" w:rsidRPr="00D60383" w:rsidRDefault="00CE1436" w:rsidP="008F217B">
      <w:pPr>
        <w:pStyle w:val="Notedebasdepage"/>
        <w:jc w:val="both"/>
      </w:pPr>
      <w:r>
        <w:rPr>
          <w:rStyle w:val="Appelnotedebasdep"/>
        </w:rPr>
        <w:footnoteRef/>
      </w:r>
      <w:r>
        <w:rPr>
          <w:lang w:val="en-CA"/>
        </w:rPr>
        <w:t xml:space="preserve"> </w:t>
      </w:r>
      <w:proofErr w:type="gramStart"/>
      <w:r w:rsidRPr="00517B79">
        <w:rPr>
          <w:lang w:val="en-CA"/>
        </w:rPr>
        <w:t>Research Overview</w:t>
      </w:r>
      <w:r>
        <w:rPr>
          <w:lang w:val="en-CA"/>
        </w:rPr>
        <w:t>.</w:t>
      </w:r>
      <w:proofErr w:type="gramEnd"/>
      <w:r>
        <w:rPr>
          <w:lang w:val="en-CA"/>
        </w:rPr>
        <w:t xml:space="preserve"> </w:t>
      </w:r>
      <w:proofErr w:type="gramStart"/>
      <w:r>
        <w:rPr>
          <w:lang w:val="en-CA"/>
        </w:rPr>
        <w:t xml:space="preserve">(2013). </w:t>
      </w:r>
      <w:r w:rsidRPr="003856FB">
        <w:rPr>
          <w:i/>
          <w:lang w:val="en-CA"/>
        </w:rPr>
        <w:t xml:space="preserve">What We Know </w:t>
      </w:r>
      <w:proofErr w:type="spellStart"/>
      <w:r w:rsidRPr="003856FB">
        <w:rPr>
          <w:i/>
          <w:lang w:val="en-CA"/>
        </w:rPr>
        <w:t>AboutOnline</w:t>
      </w:r>
      <w:proofErr w:type="spellEnd"/>
      <w:r w:rsidRPr="003856FB">
        <w:rPr>
          <w:i/>
          <w:lang w:val="en-CA"/>
        </w:rPr>
        <w:t xml:space="preserve"> Course Outcomes</w:t>
      </w:r>
      <w:r>
        <w:rPr>
          <w:lang w:val="en-CA"/>
        </w:rPr>
        <w:t>.</w:t>
      </w:r>
      <w:proofErr w:type="gramEnd"/>
      <w:r>
        <w:rPr>
          <w:lang w:val="en-CA"/>
        </w:rPr>
        <w:t xml:space="preserve"> </w:t>
      </w:r>
      <w:r w:rsidRPr="00D60383">
        <w:t xml:space="preserve">[En ligne] </w:t>
      </w:r>
      <w:hyperlink r:id="rId26" w:history="1">
        <w:r w:rsidRPr="00D60383">
          <w:rPr>
            <w:rStyle w:val="Lienhypertexte"/>
          </w:rPr>
          <w:t>http://eric.ed.gov/?id=ED542143</w:t>
        </w:r>
      </w:hyperlink>
    </w:p>
  </w:footnote>
  <w:footnote w:id="46">
    <w:p w:rsidR="00CE1436" w:rsidRPr="00CB1060" w:rsidRDefault="00CE1436" w:rsidP="008F217B">
      <w:pPr>
        <w:pStyle w:val="Notedebasdepage"/>
        <w:jc w:val="both"/>
        <w:rPr>
          <w:lang w:val="en-CA"/>
        </w:rPr>
      </w:pPr>
      <w:r>
        <w:rPr>
          <w:rStyle w:val="Appelnotedebasdep"/>
        </w:rPr>
        <w:footnoteRef/>
      </w:r>
      <w:r w:rsidRPr="00CB50FE">
        <w:t xml:space="preserve"> Xu, Di ; </w:t>
      </w:r>
      <w:proofErr w:type="spellStart"/>
      <w:r w:rsidRPr="00CB50FE">
        <w:t>Jaggars</w:t>
      </w:r>
      <w:proofErr w:type="spellEnd"/>
      <w:r w:rsidRPr="00CB50FE">
        <w:t xml:space="preserve">, Shanna Smith. </w:t>
      </w:r>
      <w:r>
        <w:rPr>
          <w:lang w:val="en-CA"/>
        </w:rPr>
        <w:t xml:space="preserve">(2012). </w:t>
      </w:r>
      <w:r w:rsidRPr="00CA298F">
        <w:rPr>
          <w:i/>
          <w:lang w:val="en-CA"/>
        </w:rPr>
        <w:t>Economics of Education Review. The impact of online learning on students’ course outcomes: Evidence from a large community and technical college system</w:t>
      </w:r>
      <w:proofErr w:type="gramStart"/>
      <w:r>
        <w:rPr>
          <w:i/>
          <w:lang w:val="en-CA"/>
        </w:rPr>
        <w:t>.</w:t>
      </w:r>
      <w:r>
        <w:rPr>
          <w:lang w:val="en-CA"/>
        </w:rPr>
        <w:t>[</w:t>
      </w:r>
      <w:proofErr w:type="gramEnd"/>
      <w:r>
        <w:rPr>
          <w:lang w:val="en-CA"/>
        </w:rPr>
        <w:t xml:space="preserve">En </w:t>
      </w:r>
      <w:proofErr w:type="spellStart"/>
      <w:r>
        <w:rPr>
          <w:lang w:val="en-CA"/>
        </w:rPr>
        <w:t>ligne</w:t>
      </w:r>
      <w:proofErr w:type="spellEnd"/>
      <w:r>
        <w:rPr>
          <w:lang w:val="en-CA"/>
        </w:rPr>
        <w:t xml:space="preserve">] </w:t>
      </w:r>
      <w:hyperlink r:id="rId27" w:history="1">
        <w:r w:rsidRPr="00DC17EC">
          <w:rPr>
            <w:rStyle w:val="Lienhypertexte"/>
            <w:lang w:val="en-CA"/>
          </w:rPr>
          <w:t>http://www.sciencedirect.com.biblioproxy.uqtr.ca/science/article/pii/S0272775713001039</w:t>
        </w:r>
      </w:hyperlink>
      <w:r>
        <w:rPr>
          <w:lang w:val="en-CA"/>
        </w:rPr>
        <w:t xml:space="preserve"> (p</w:t>
      </w:r>
      <w:r w:rsidRPr="00517B79">
        <w:rPr>
          <w:lang w:val="en-CA"/>
        </w:rPr>
        <w:t>.46-57</w:t>
      </w:r>
      <w:r>
        <w:rPr>
          <w:lang w:val="en-CA"/>
        </w:rPr>
        <w:t>)</w:t>
      </w:r>
      <w:r w:rsidRPr="00517B79">
        <w:rPr>
          <w:lang w:val="en-CA"/>
        </w:rPr>
        <w:t>.</w:t>
      </w:r>
    </w:p>
  </w:footnote>
  <w:footnote w:id="47">
    <w:p w:rsidR="00CE1436" w:rsidRPr="00F774A9" w:rsidRDefault="00CE1436" w:rsidP="00D60383">
      <w:pPr>
        <w:pStyle w:val="Notedebasdepage"/>
        <w:rPr>
          <w:lang w:val="en-CA"/>
        </w:rPr>
      </w:pPr>
      <w:r>
        <w:rPr>
          <w:rStyle w:val="Appelnotedebasdep"/>
        </w:rPr>
        <w:footnoteRef/>
      </w:r>
      <w:r w:rsidRPr="00D60383">
        <w:t xml:space="preserve"> Traduction libre de Xu, Di ; </w:t>
      </w:r>
      <w:proofErr w:type="spellStart"/>
      <w:r w:rsidRPr="00D60383">
        <w:t>Jaggars</w:t>
      </w:r>
      <w:proofErr w:type="spellEnd"/>
      <w:r w:rsidRPr="00D60383">
        <w:t xml:space="preserve">, Shanna Smith. </w:t>
      </w:r>
      <w:r>
        <w:rPr>
          <w:lang w:val="en-CA"/>
        </w:rPr>
        <w:t xml:space="preserve">(2012). </w:t>
      </w:r>
      <w:r w:rsidRPr="00CA298F">
        <w:rPr>
          <w:i/>
          <w:lang w:val="en-CA"/>
        </w:rPr>
        <w:t>Economics of Education Review. The impact of online learning on students’ course outcomes: Evidence from a large community and technical college system</w:t>
      </w:r>
      <w:proofErr w:type="gramStart"/>
      <w:r>
        <w:rPr>
          <w:i/>
          <w:lang w:val="en-CA"/>
        </w:rPr>
        <w:t>.</w:t>
      </w:r>
      <w:r>
        <w:rPr>
          <w:lang w:val="en-CA"/>
        </w:rPr>
        <w:t>[</w:t>
      </w:r>
      <w:proofErr w:type="gramEnd"/>
      <w:r>
        <w:rPr>
          <w:lang w:val="en-CA"/>
        </w:rPr>
        <w:t xml:space="preserve">En </w:t>
      </w:r>
      <w:proofErr w:type="spellStart"/>
      <w:r>
        <w:rPr>
          <w:lang w:val="en-CA"/>
        </w:rPr>
        <w:t>ligne</w:t>
      </w:r>
      <w:proofErr w:type="spellEnd"/>
      <w:r>
        <w:rPr>
          <w:lang w:val="en-CA"/>
        </w:rPr>
        <w:t xml:space="preserve">] </w:t>
      </w:r>
      <w:hyperlink r:id="rId28" w:history="1">
        <w:r w:rsidRPr="00DC17EC">
          <w:rPr>
            <w:rStyle w:val="Lienhypertexte"/>
            <w:lang w:val="en-CA"/>
          </w:rPr>
          <w:t>http://www.sciencedirect.com.biblioproxy.uqtr.ca/science/article/pii/S0272775713001039</w:t>
        </w:r>
      </w:hyperlink>
      <w:r>
        <w:rPr>
          <w:lang w:val="en-CA"/>
        </w:rPr>
        <w:t xml:space="preserve"> (p</w:t>
      </w:r>
      <w:r w:rsidRPr="00517B79">
        <w:rPr>
          <w:lang w:val="en-CA"/>
        </w:rPr>
        <w:t>.46-57</w:t>
      </w:r>
      <w:r>
        <w:rPr>
          <w:lang w:val="en-CA"/>
        </w:rPr>
        <w:t>)</w:t>
      </w:r>
      <w:r w:rsidRPr="00517B79">
        <w:rPr>
          <w:lang w:val="en-CA"/>
        </w:rPr>
        <w:t>.</w:t>
      </w:r>
    </w:p>
  </w:footnote>
  <w:footnote w:id="48">
    <w:p w:rsidR="00CE1436" w:rsidRDefault="00CE1436" w:rsidP="008F217B">
      <w:pPr>
        <w:pStyle w:val="Notedebasdepage"/>
        <w:jc w:val="both"/>
      </w:pPr>
      <w:r>
        <w:rPr>
          <w:rStyle w:val="Appelnotedebasdep"/>
        </w:rPr>
        <w:footnoteRef/>
      </w:r>
      <w:r>
        <w:t xml:space="preserve"> Idem.</w:t>
      </w:r>
    </w:p>
  </w:footnote>
  <w:footnote w:id="49">
    <w:p w:rsidR="00CE1436" w:rsidRDefault="00CE1436" w:rsidP="00C43C95">
      <w:pPr>
        <w:pStyle w:val="Notedebasdepage"/>
      </w:pPr>
      <w:r>
        <w:rPr>
          <w:rStyle w:val="Appelnotedebasdep"/>
        </w:rPr>
        <w:footnoteRef/>
      </w:r>
      <w:r>
        <w:t xml:space="preserve"> </w:t>
      </w:r>
      <w:r w:rsidRPr="00F85B73">
        <w:t xml:space="preserve">Gerry </w:t>
      </w:r>
      <w:proofErr w:type="spellStart"/>
      <w:r w:rsidRPr="00F85B73">
        <w:t>Jonhson</w:t>
      </w:r>
      <w:proofErr w:type="spellEnd"/>
      <w:r w:rsidRPr="00F85B73">
        <w:t xml:space="preserve"> et collaborateurs, Stratégique, Pearson </w:t>
      </w:r>
      <w:proofErr w:type="spellStart"/>
      <w:r w:rsidRPr="00F85B73">
        <w:t>Education</w:t>
      </w:r>
      <w:proofErr w:type="spellEnd"/>
      <w:r w:rsidRPr="00F85B73">
        <w:t>, 2011, p.80.</w:t>
      </w:r>
    </w:p>
  </w:footnote>
  <w:footnote w:id="50">
    <w:p w:rsidR="00CE1436" w:rsidRDefault="00CE1436" w:rsidP="00C43C95">
      <w:pPr>
        <w:pStyle w:val="Notedebasdepage"/>
      </w:pPr>
      <w:r>
        <w:rPr>
          <w:rStyle w:val="Appelnotedebasdep"/>
        </w:rPr>
        <w:footnoteRef/>
      </w:r>
      <w:r w:rsidRPr="00C452DE">
        <w:rPr>
          <w:lang w:val="en-CA"/>
        </w:rPr>
        <w:t xml:space="preserve"> </w:t>
      </w:r>
      <w:proofErr w:type="gramStart"/>
      <w:r w:rsidRPr="00C452DE">
        <w:rPr>
          <w:lang w:val="en-CA"/>
        </w:rPr>
        <w:t>2015 University Web Ranking.</w:t>
      </w:r>
      <w:proofErr w:type="gramEnd"/>
      <w:r w:rsidRPr="00C452DE">
        <w:rPr>
          <w:lang w:val="en-CA"/>
        </w:rPr>
        <w:t xml:space="preserve"> </w:t>
      </w:r>
      <w:proofErr w:type="gramStart"/>
      <w:r w:rsidRPr="00C452DE">
        <w:rPr>
          <w:lang w:val="en-CA"/>
        </w:rPr>
        <w:t>Universities in Canada.</w:t>
      </w:r>
      <w:proofErr w:type="gramEnd"/>
      <w:r w:rsidRPr="00C452DE">
        <w:rPr>
          <w:lang w:val="en-CA"/>
        </w:rPr>
        <w:t xml:space="preserve"> </w:t>
      </w:r>
      <w:r w:rsidRPr="00C452DE">
        <w:t xml:space="preserve">[En ligne] www.4icu.org/ca/ </w:t>
      </w:r>
      <w:r>
        <w:t>(page consultée le 7 mars 2015).</w:t>
      </w:r>
    </w:p>
  </w:footnote>
  <w:footnote w:id="51">
    <w:p w:rsidR="00CE1436" w:rsidRDefault="00CE1436" w:rsidP="001756D5">
      <w:pPr>
        <w:pStyle w:val="Notedebasdepage"/>
      </w:pPr>
      <w:r>
        <w:rPr>
          <w:rStyle w:val="Appelnotedebasdep"/>
        </w:rPr>
        <w:footnoteRef/>
      </w:r>
      <w:r>
        <w:t xml:space="preserve"> La catégorie «autres» du choix de réponse n’est considérée que s’il y a pertinence évidente de la réponse et que celle-ci peut être attribuée clairement à une catégorie existante. De plus, l’ETS et McGill ont été </w:t>
      </w:r>
      <w:proofErr w:type="gramStart"/>
      <w:r>
        <w:t>exclues</w:t>
      </w:r>
      <w:proofErr w:type="gramEnd"/>
      <w:r>
        <w:t xml:space="preserve"> de cette catégorie à cause d’un trop faible nombre de réponses.</w:t>
      </w:r>
    </w:p>
  </w:footnote>
  <w:footnote w:id="52">
    <w:p w:rsidR="00CE1436" w:rsidRPr="00E146F7" w:rsidRDefault="00CE1436" w:rsidP="001756D5">
      <w:pPr>
        <w:pStyle w:val="Notedebasdepage"/>
        <w:rPr>
          <w:lang w:val="en-CA"/>
        </w:rPr>
      </w:pPr>
      <w:r>
        <w:rPr>
          <w:rStyle w:val="Appelnotedebasdep"/>
        </w:rPr>
        <w:footnoteRef/>
      </w:r>
      <w:r>
        <w:rPr>
          <w:lang w:val="en-CA"/>
        </w:rPr>
        <w:t xml:space="preserve"> </w:t>
      </w:r>
      <w:proofErr w:type="gramStart"/>
      <w:r>
        <w:rPr>
          <w:lang w:val="en-CA"/>
        </w:rPr>
        <w:t>UQTR</w:t>
      </w:r>
      <w:r w:rsidRPr="00E146F7">
        <w:rPr>
          <w:lang w:val="en-CA"/>
        </w:rPr>
        <w:t xml:space="preserve">, </w:t>
      </w:r>
      <w:proofErr w:type="spellStart"/>
      <w:r>
        <w:rPr>
          <w:lang w:val="en-CA"/>
        </w:rPr>
        <w:t>UdeM</w:t>
      </w:r>
      <w:proofErr w:type="spellEnd"/>
      <w:r>
        <w:rPr>
          <w:lang w:val="en-CA"/>
        </w:rPr>
        <w:t>-</w:t>
      </w:r>
      <w:r w:rsidRPr="00E146F7">
        <w:rPr>
          <w:lang w:val="en-CA"/>
        </w:rPr>
        <w:t xml:space="preserve">HEC, </w:t>
      </w:r>
      <w:proofErr w:type="spellStart"/>
      <w:r w:rsidRPr="00E146F7">
        <w:rPr>
          <w:lang w:val="en-CA"/>
        </w:rPr>
        <w:t>USherbrooke</w:t>
      </w:r>
      <w:proofErr w:type="spellEnd"/>
      <w:r>
        <w:rPr>
          <w:lang w:val="en-CA"/>
        </w:rPr>
        <w:t xml:space="preserve">, </w:t>
      </w:r>
      <w:proofErr w:type="spellStart"/>
      <w:r w:rsidRPr="00E146F7">
        <w:rPr>
          <w:lang w:val="en-CA"/>
        </w:rPr>
        <w:t>ULaval</w:t>
      </w:r>
      <w:proofErr w:type="spellEnd"/>
      <w:r>
        <w:rPr>
          <w:lang w:val="en-CA"/>
        </w:rPr>
        <w:t>.</w:t>
      </w:r>
      <w:proofErr w:type="gramEnd"/>
    </w:p>
  </w:footnote>
  <w:footnote w:id="53">
    <w:p w:rsidR="00CE1436" w:rsidRDefault="00CE1436" w:rsidP="001756D5">
      <w:pPr>
        <w:pStyle w:val="Notedebasdepage"/>
      </w:pPr>
      <w:r>
        <w:rPr>
          <w:rStyle w:val="Appelnotedebasdep"/>
        </w:rPr>
        <w:footnoteRef/>
      </w:r>
      <w:r>
        <w:t xml:space="preserve"> Voir </w:t>
      </w:r>
      <w:r w:rsidRPr="00753ED9">
        <w:t xml:space="preserve">Annexe </w:t>
      </w:r>
      <w:r>
        <w:t>C pour un graphique – Océan bleu plus grand et plus précis.</w:t>
      </w:r>
    </w:p>
  </w:footnote>
  <w:footnote w:id="54">
    <w:p w:rsidR="00CE1436" w:rsidRPr="000F20C2" w:rsidRDefault="00CE1436" w:rsidP="00A65F8F">
      <w:pPr>
        <w:pStyle w:val="Notedebasdepage"/>
        <w:rPr>
          <w:sz w:val="18"/>
          <w:szCs w:val="18"/>
        </w:rPr>
      </w:pPr>
      <w:r>
        <w:rPr>
          <w:rStyle w:val="Appelnotedebasdep"/>
        </w:rPr>
        <w:footnoteRef/>
      </w:r>
      <w:r w:rsidRPr="009F33BE">
        <w:rPr>
          <w:szCs w:val="18"/>
        </w:rPr>
        <w:t xml:space="preserve">Gerry </w:t>
      </w:r>
      <w:proofErr w:type="spellStart"/>
      <w:r w:rsidRPr="009F33BE">
        <w:rPr>
          <w:szCs w:val="18"/>
        </w:rPr>
        <w:t>Jonhson</w:t>
      </w:r>
      <w:proofErr w:type="spellEnd"/>
      <w:r w:rsidRPr="009F33BE">
        <w:rPr>
          <w:szCs w:val="18"/>
        </w:rPr>
        <w:t xml:space="preserve"> et collaborateurs, Stratégique, Pearson </w:t>
      </w:r>
      <w:proofErr w:type="spellStart"/>
      <w:r w:rsidRPr="009F33BE">
        <w:rPr>
          <w:szCs w:val="18"/>
        </w:rPr>
        <w:t>Education</w:t>
      </w:r>
      <w:proofErr w:type="spellEnd"/>
      <w:r w:rsidRPr="009F33BE">
        <w:rPr>
          <w:szCs w:val="18"/>
        </w:rPr>
        <w:t>, 2011, p.109</w:t>
      </w:r>
    </w:p>
  </w:footnote>
  <w:footnote w:id="55">
    <w:p w:rsidR="00CE1436" w:rsidRDefault="00CE1436" w:rsidP="00A65F8F">
      <w:pPr>
        <w:pStyle w:val="Notedebasdepage"/>
      </w:pPr>
      <w:r>
        <w:rPr>
          <w:rStyle w:val="Appelnotedebasdep"/>
        </w:rPr>
        <w:footnoteRef/>
      </w:r>
      <w:r>
        <w:t xml:space="preserve"> Institut de recherche sur l’hydrogène </w:t>
      </w:r>
      <w:r>
        <w:rPr>
          <w:i/>
        </w:rPr>
        <w:t xml:space="preserve">À propos de </w:t>
      </w:r>
      <w:r w:rsidRPr="009369FB">
        <w:t xml:space="preserve">[En ligne] </w:t>
      </w:r>
      <w:hyperlink r:id="rId29" w:history="1">
        <w:r w:rsidRPr="00AB765A">
          <w:rPr>
            <w:rStyle w:val="Lienhypertexte"/>
          </w:rPr>
          <w:t>http://irh.uqtr.ca/accueil/a-propos-de-lirh.html</w:t>
        </w:r>
      </w:hyperlink>
      <w:r>
        <w:t xml:space="preserve"> (Page consultée le 5 mars 2015)</w:t>
      </w:r>
    </w:p>
  </w:footnote>
  <w:footnote w:id="56">
    <w:p w:rsidR="00CE1436" w:rsidRDefault="00CE1436" w:rsidP="00747881">
      <w:pPr>
        <w:pStyle w:val="Notedebasdepage"/>
      </w:pPr>
      <w:r>
        <w:rPr>
          <w:rStyle w:val="Appelnotedebasdep"/>
        </w:rPr>
        <w:footnoteRef/>
      </w:r>
      <w:r>
        <w:rPr>
          <w:sz w:val="18"/>
          <w:szCs w:val="18"/>
        </w:rPr>
        <w:t xml:space="preserve">Gerry </w:t>
      </w:r>
      <w:proofErr w:type="spellStart"/>
      <w:r>
        <w:rPr>
          <w:sz w:val="18"/>
          <w:szCs w:val="18"/>
        </w:rPr>
        <w:t>Jonhson</w:t>
      </w:r>
      <w:proofErr w:type="spellEnd"/>
      <w:r>
        <w:rPr>
          <w:sz w:val="18"/>
          <w:szCs w:val="18"/>
        </w:rPr>
        <w:t xml:space="preserve"> et collaborateurs</w:t>
      </w:r>
      <w:r w:rsidRPr="00A537B8">
        <w:rPr>
          <w:sz w:val="18"/>
          <w:szCs w:val="18"/>
        </w:rPr>
        <w:t xml:space="preserve">, </w:t>
      </w:r>
      <w:r>
        <w:rPr>
          <w:sz w:val="18"/>
          <w:szCs w:val="18"/>
        </w:rPr>
        <w:t>Stratégique</w:t>
      </w:r>
      <w:r w:rsidRPr="00A537B8">
        <w:rPr>
          <w:sz w:val="18"/>
          <w:szCs w:val="18"/>
        </w:rPr>
        <w:t xml:space="preserve">, </w:t>
      </w:r>
      <w:r>
        <w:rPr>
          <w:sz w:val="18"/>
          <w:szCs w:val="18"/>
        </w:rPr>
        <w:t xml:space="preserve">Pearson </w:t>
      </w:r>
      <w:proofErr w:type="spellStart"/>
      <w:r>
        <w:rPr>
          <w:sz w:val="18"/>
          <w:szCs w:val="18"/>
        </w:rPr>
        <w:t>Education</w:t>
      </w:r>
      <w:proofErr w:type="spellEnd"/>
      <w:r>
        <w:rPr>
          <w:sz w:val="18"/>
          <w:szCs w:val="18"/>
        </w:rPr>
        <w:t>, 2011, p.111</w:t>
      </w:r>
    </w:p>
  </w:footnote>
  <w:footnote w:id="57">
    <w:p w:rsidR="00CE1436" w:rsidRPr="009369FB" w:rsidRDefault="00CE1436">
      <w:pPr>
        <w:pStyle w:val="Notedebasdepage"/>
      </w:pPr>
      <w:r>
        <w:rPr>
          <w:rStyle w:val="Appelnotedebasdep"/>
        </w:rPr>
        <w:footnoteRef/>
      </w:r>
      <w:r>
        <w:t xml:space="preserve"> UQTR </w:t>
      </w:r>
      <w:r>
        <w:rPr>
          <w:i/>
        </w:rPr>
        <w:t xml:space="preserve">Programmes cours et </w:t>
      </w:r>
      <w:proofErr w:type="spellStart"/>
      <w:r>
        <w:rPr>
          <w:i/>
        </w:rPr>
        <w:t>horraire</w:t>
      </w:r>
      <w:proofErr w:type="spellEnd"/>
      <w:r>
        <w:rPr>
          <w:i/>
        </w:rPr>
        <w:t xml:space="preserve"> </w:t>
      </w:r>
      <w:r w:rsidRPr="00AD575A">
        <w:rPr>
          <w:rFonts w:cs="Times New Roman"/>
        </w:rPr>
        <w:t>[En ligne]</w:t>
      </w:r>
      <w:r>
        <w:rPr>
          <w:rFonts w:cs="Times New Roman"/>
        </w:rPr>
        <w:t xml:space="preserve"> </w:t>
      </w:r>
      <w:r w:rsidRPr="009369FB">
        <w:rPr>
          <w:rFonts w:cs="Times New Roman"/>
        </w:rPr>
        <w:t>http://www.uqtr.ca/programme/</w:t>
      </w:r>
      <w:r>
        <w:rPr>
          <w:rFonts w:cs="Times New Roman"/>
        </w:rPr>
        <w:t xml:space="preserve"> (Page consultée le 7 mars 2015)</w:t>
      </w:r>
    </w:p>
  </w:footnote>
  <w:footnote w:id="58">
    <w:p w:rsidR="00CE1436" w:rsidRPr="00D0054F" w:rsidRDefault="00CE1436" w:rsidP="00CE6106">
      <w:pPr>
        <w:pStyle w:val="Notedebasdepage"/>
      </w:pPr>
      <w:r>
        <w:rPr>
          <w:rStyle w:val="Appelnotedebasdep"/>
        </w:rPr>
        <w:footnoteRef/>
      </w:r>
      <w:r>
        <w:t xml:space="preserve"> UQTR </w:t>
      </w:r>
      <w:r>
        <w:rPr>
          <w:i/>
        </w:rPr>
        <w:t xml:space="preserve">Historique </w:t>
      </w:r>
      <w:r w:rsidRPr="00AD575A">
        <w:rPr>
          <w:rFonts w:cs="Times New Roman"/>
        </w:rPr>
        <w:t xml:space="preserve">[En ligne] </w:t>
      </w:r>
      <w:r>
        <w:rPr>
          <w:i/>
        </w:rPr>
        <w:t xml:space="preserve"> </w:t>
      </w:r>
      <w:hyperlink r:id="rId30" w:history="1">
        <w:r w:rsidRPr="00AB765A">
          <w:rPr>
            <w:rStyle w:val="Lienhypertexte"/>
          </w:rPr>
          <w:t>http://www.uqtr.ca/informationgenerale/historique.shtml</w:t>
        </w:r>
      </w:hyperlink>
      <w:r>
        <w:t xml:space="preserve"> (Page consultée le 13 mars 2015)</w:t>
      </w:r>
    </w:p>
  </w:footnote>
  <w:footnote w:id="59">
    <w:p w:rsidR="00CE1436" w:rsidRPr="003E5B6C" w:rsidRDefault="00CE1436" w:rsidP="00CE6106">
      <w:pPr>
        <w:pStyle w:val="Notedebasdepage"/>
      </w:pPr>
      <w:r>
        <w:rPr>
          <w:rStyle w:val="Appelnotedebasdep"/>
        </w:rPr>
        <w:footnoteRef/>
      </w:r>
      <w:r w:rsidRPr="003E5B6C">
        <w:t xml:space="preserve"> </w:t>
      </w:r>
      <w:r>
        <w:t xml:space="preserve">UQTR </w:t>
      </w:r>
      <w:r>
        <w:rPr>
          <w:i/>
        </w:rPr>
        <w:t xml:space="preserve">Historique </w:t>
      </w:r>
      <w:r w:rsidRPr="00AD575A">
        <w:rPr>
          <w:rFonts w:cs="Times New Roman"/>
        </w:rPr>
        <w:t xml:space="preserve">[En ligne] </w:t>
      </w:r>
      <w:hyperlink r:id="rId31" w:history="1">
        <w:r w:rsidRPr="00AB765A">
          <w:rPr>
            <w:rStyle w:val="Lienhypertexte"/>
          </w:rPr>
          <w:t>http://www.uqtr.ca/informationgenerale/historique.shtml</w:t>
        </w:r>
      </w:hyperlink>
      <w:r>
        <w:t xml:space="preserve"> (Page consultée le 13 mars 2015)</w:t>
      </w:r>
    </w:p>
  </w:footnote>
  <w:footnote w:id="60">
    <w:p w:rsidR="00CE1436" w:rsidRPr="003E5B6C" w:rsidRDefault="00CE1436" w:rsidP="00CE6106">
      <w:pPr>
        <w:pStyle w:val="Notedebasdepage"/>
      </w:pPr>
      <w:r>
        <w:rPr>
          <w:rStyle w:val="Appelnotedebasdep"/>
        </w:rPr>
        <w:footnoteRef/>
      </w:r>
      <w:r>
        <w:t xml:space="preserve"> Journal Étudiant UQTR </w:t>
      </w:r>
      <w:r>
        <w:rPr>
          <w:i/>
        </w:rPr>
        <w:t xml:space="preserve">Pyrrhotite : L’UQTR parmi les victimes </w:t>
      </w:r>
      <w:r>
        <w:rPr>
          <w:rFonts w:cs="Times New Roman"/>
        </w:rPr>
        <w:t xml:space="preserve">[En ligne] </w:t>
      </w:r>
      <w:hyperlink r:id="rId32" w:history="1">
        <w:r w:rsidRPr="00AB765A">
          <w:rPr>
            <w:rStyle w:val="Lienhypertexte"/>
          </w:rPr>
          <w:t>http://zonecampus.ca/blogue/?p=4257</w:t>
        </w:r>
      </w:hyperlink>
      <w:r>
        <w:t xml:space="preserve"> (Page consultée le 13 mars 2015)</w:t>
      </w:r>
    </w:p>
  </w:footnote>
  <w:footnote w:id="61">
    <w:p w:rsidR="00CE1436" w:rsidRPr="003E5B6C" w:rsidRDefault="00CE1436" w:rsidP="00CE6106">
      <w:pPr>
        <w:pStyle w:val="Notedebasdepage"/>
      </w:pPr>
      <w:r>
        <w:rPr>
          <w:rStyle w:val="Appelnotedebasdep"/>
        </w:rPr>
        <w:footnoteRef/>
      </w:r>
      <w:r>
        <w:t xml:space="preserve">UQTR </w:t>
      </w:r>
      <w:r>
        <w:rPr>
          <w:i/>
        </w:rPr>
        <w:t xml:space="preserve">Inauguration du pavillon de la santé de l’UQTR </w:t>
      </w:r>
      <w:r>
        <w:t xml:space="preserve"> </w:t>
      </w:r>
      <w:r w:rsidRPr="00AD575A">
        <w:rPr>
          <w:rFonts w:cs="Times New Roman"/>
        </w:rPr>
        <w:t xml:space="preserve">[En ligne] </w:t>
      </w:r>
      <w:hyperlink r:id="rId33" w:history="1">
        <w:r w:rsidRPr="00AB765A">
          <w:rPr>
            <w:rStyle w:val="Lienhypertexte"/>
          </w:rPr>
          <w:t>http://www.uqtr.ca/media/Comm2009/Novembre/Inaug_PavillonSante.pdf</w:t>
        </w:r>
      </w:hyperlink>
      <w:r>
        <w:t xml:space="preserve"> (Page consultée le 13 mars 2015)</w:t>
      </w:r>
    </w:p>
  </w:footnote>
  <w:footnote w:id="62">
    <w:p w:rsidR="00CE1436" w:rsidRPr="003E5B6C" w:rsidRDefault="00CE1436" w:rsidP="00CE6106">
      <w:pPr>
        <w:pStyle w:val="Notedebasdepage"/>
      </w:pPr>
      <w:r>
        <w:rPr>
          <w:rStyle w:val="Appelnotedebasdep"/>
        </w:rPr>
        <w:footnoteRef/>
      </w:r>
      <w:r>
        <w:t xml:space="preserve"> Ici Radio-Canada </w:t>
      </w:r>
      <w:r>
        <w:rPr>
          <w:i/>
        </w:rPr>
        <w:t>Première pelletée de terre pour le campus de l’UQTR à Drummondville</w:t>
      </w:r>
      <w:r w:rsidRPr="00AD575A">
        <w:rPr>
          <w:rFonts w:cs="Times New Roman"/>
        </w:rPr>
        <w:t xml:space="preserve">[En ligne] </w:t>
      </w:r>
      <w:hyperlink r:id="rId34" w:history="1">
        <w:r w:rsidRPr="00AB765A">
          <w:rPr>
            <w:rStyle w:val="Lienhypertexte"/>
          </w:rPr>
          <w:t>http://ici.radio-canada.ca/regions/mauricie/2014/10/07/001-campus-uqtr-drummondville-construction-pelletee-de-terre.shtml</w:t>
        </w:r>
      </w:hyperlink>
      <w:r>
        <w:t xml:space="preserve"> (Page consultée le 15 mars 2015)</w:t>
      </w:r>
    </w:p>
  </w:footnote>
  <w:footnote w:id="63">
    <w:p w:rsidR="00CE1436" w:rsidRPr="00A77E80" w:rsidRDefault="00CE1436" w:rsidP="00CE6106">
      <w:pPr>
        <w:pStyle w:val="Notedebasdepage"/>
      </w:pPr>
      <w:r>
        <w:rPr>
          <w:rStyle w:val="Appelnotedebasdep"/>
        </w:rPr>
        <w:footnoteRef/>
      </w:r>
      <w:r>
        <w:t xml:space="preserve"> UQTR </w:t>
      </w:r>
      <w:r>
        <w:rPr>
          <w:i/>
        </w:rPr>
        <w:t xml:space="preserve">Rapport d’activités 2013-2014 </w:t>
      </w:r>
      <w:r w:rsidRPr="00AD575A">
        <w:rPr>
          <w:rFonts w:cs="Times New Roman"/>
        </w:rPr>
        <w:t xml:space="preserve">[En ligne] </w:t>
      </w:r>
      <w:hyperlink r:id="rId35" w:history="1">
        <w:r w:rsidRPr="00AB765A">
          <w:rPr>
            <w:rStyle w:val="Lienhypertexte"/>
          </w:rPr>
          <w:t>http://www.uqtr.ca/informationgenerale/rapport_activites_1314.pdf</w:t>
        </w:r>
      </w:hyperlink>
      <w:r>
        <w:t xml:space="preserve"> (Page consultée le 15 mars 2015)</w:t>
      </w:r>
    </w:p>
  </w:footnote>
  <w:footnote w:id="64">
    <w:p w:rsidR="00CE1436" w:rsidRPr="00390E84" w:rsidRDefault="00CE1436" w:rsidP="00CE6106">
      <w:pPr>
        <w:pStyle w:val="Notedebasdepage"/>
      </w:pPr>
      <w:r>
        <w:rPr>
          <w:rStyle w:val="Appelnotedebasdep"/>
        </w:rPr>
        <w:footnoteRef/>
      </w:r>
      <w:r>
        <w:t xml:space="preserve"> Le Nouvelliste </w:t>
      </w:r>
      <w:r>
        <w:rPr>
          <w:i/>
        </w:rPr>
        <w:t xml:space="preserve">Nouvelle hausse du nombre d’étudiants à l’UQTR </w:t>
      </w:r>
      <w:r w:rsidRPr="00AD575A">
        <w:rPr>
          <w:rFonts w:cs="Times New Roman"/>
        </w:rPr>
        <w:t xml:space="preserve">[En ligne] </w:t>
      </w:r>
      <w:hyperlink r:id="rId36" w:history="1">
        <w:r w:rsidRPr="00AB765A">
          <w:rPr>
            <w:rStyle w:val="Lienhypertexte"/>
          </w:rPr>
          <w:t>http://www.lapresse.ca/le-nouvelliste/actualites/201101/26/01-4363745-nouvelle-hausse-du-nombre-detudiants-a-luqtr.php</w:t>
        </w:r>
      </w:hyperlink>
      <w:r>
        <w:t xml:space="preserve"> (Page consultée le 15 mars 2015)</w:t>
      </w:r>
    </w:p>
  </w:footnote>
  <w:footnote w:id="65">
    <w:p w:rsidR="00CE1436" w:rsidRPr="00390E84" w:rsidRDefault="00CE1436" w:rsidP="00CE6106">
      <w:pPr>
        <w:pStyle w:val="Notedebasdepage"/>
      </w:pPr>
      <w:r>
        <w:rPr>
          <w:rStyle w:val="Appelnotedebasdep"/>
        </w:rPr>
        <w:footnoteRef/>
      </w:r>
      <w:r>
        <w:t xml:space="preserve"> En tête nouvelles UQTR </w:t>
      </w:r>
      <w:r>
        <w:rPr>
          <w:i/>
        </w:rPr>
        <w:t xml:space="preserve">Hausse de la population étudiante </w:t>
      </w:r>
      <w:r w:rsidRPr="00AD575A">
        <w:rPr>
          <w:rFonts w:cs="Times New Roman"/>
        </w:rPr>
        <w:t xml:space="preserve">[En ligne] </w:t>
      </w:r>
      <w:hyperlink r:id="rId37" w:history="1">
        <w:r w:rsidRPr="00AB765A">
          <w:rPr>
            <w:rStyle w:val="Lienhypertexte"/>
          </w:rPr>
          <w:t>http://blogue.uqtr.ca/2015/01/23/hausse-population-etudiante-luqtr-au-trimestre-dhiver/</w:t>
        </w:r>
      </w:hyperlink>
      <w:r>
        <w:t xml:space="preserve"> (Page consultée le 15 mars 2015)</w:t>
      </w:r>
    </w:p>
  </w:footnote>
  <w:footnote w:id="66">
    <w:p w:rsidR="00CE1436" w:rsidRDefault="00CE1436"/>
    <w:p w:rsidR="00CE1436" w:rsidRPr="001A7D04" w:rsidRDefault="00CE1436" w:rsidP="00CE6106">
      <w:pPr>
        <w:pStyle w:val="Notedebasdepage"/>
      </w:pPr>
    </w:p>
  </w:footnote>
  <w:footnote w:id="67">
    <w:p w:rsidR="00CE1436" w:rsidRPr="00154773" w:rsidRDefault="00CE1436" w:rsidP="00CE6106">
      <w:pPr>
        <w:pStyle w:val="Notedebasdepage"/>
      </w:pPr>
      <w:r>
        <w:rPr>
          <w:rStyle w:val="Appelnotedebasdep"/>
        </w:rPr>
        <w:footnoteRef/>
      </w:r>
      <w:proofErr w:type="spellStart"/>
      <w:r w:rsidRPr="00154773">
        <w:t>Human</w:t>
      </w:r>
      <w:proofErr w:type="spellEnd"/>
      <w:r w:rsidRPr="00154773">
        <w:t xml:space="preserve"> Consulting Groupe </w:t>
      </w:r>
      <w:r w:rsidRPr="00154773">
        <w:rPr>
          <w:i/>
        </w:rPr>
        <w:t>Palmarès 2014 de l</w:t>
      </w:r>
      <w:r>
        <w:rPr>
          <w:i/>
        </w:rPr>
        <w:t xml:space="preserve">a relation client </w:t>
      </w:r>
      <w:r w:rsidRPr="00154773">
        <w:t xml:space="preserve"> </w:t>
      </w:r>
      <w:r w:rsidRPr="00AD575A">
        <w:rPr>
          <w:rFonts w:cs="Times New Roman"/>
        </w:rPr>
        <w:t xml:space="preserve">[En ligne] </w:t>
      </w:r>
      <w:r>
        <w:rPr>
          <w:rFonts w:cs="Times New Roman"/>
        </w:rPr>
        <w:t xml:space="preserve"> </w:t>
      </w:r>
      <w:hyperlink r:id="rId38" w:history="1">
        <w:r w:rsidRPr="00AB765A">
          <w:rPr>
            <w:rStyle w:val="Lienhypertexte"/>
          </w:rPr>
          <w:t>http://www.hcgfrance.com/</w:t>
        </w:r>
      </w:hyperlink>
      <w:r>
        <w:t xml:space="preserve"> (Page consultée le 15 mars 2015)</w:t>
      </w:r>
    </w:p>
  </w:footnote>
  <w:footnote w:id="68">
    <w:p w:rsidR="00CE1436" w:rsidRDefault="00CE1436">
      <w:pPr>
        <w:pStyle w:val="Notedebasdepage"/>
      </w:pPr>
      <w:r>
        <w:rPr>
          <w:rStyle w:val="Appelnotedebasdep"/>
        </w:rPr>
        <w:footnoteRef/>
      </w:r>
      <w:r w:rsidRPr="00C66463">
        <w:rPr>
          <w:lang w:val="en-CA"/>
        </w:rPr>
        <w:t xml:space="preserve"> </w:t>
      </w:r>
      <w:r w:rsidRPr="00EC7F73">
        <w:rPr>
          <w:rFonts w:cs="Times New Roman"/>
          <w:lang w:val="en-CA"/>
        </w:rPr>
        <w:t xml:space="preserve">Johnson, G., </w:t>
      </w:r>
      <w:proofErr w:type="spellStart"/>
      <w:r w:rsidRPr="00EC7F73">
        <w:rPr>
          <w:rFonts w:cs="Times New Roman"/>
          <w:lang w:val="en-CA"/>
        </w:rPr>
        <w:t>Scholes</w:t>
      </w:r>
      <w:proofErr w:type="spellEnd"/>
      <w:r w:rsidRPr="00EC7F73">
        <w:rPr>
          <w:rFonts w:cs="Times New Roman"/>
          <w:lang w:val="en-CA"/>
        </w:rPr>
        <w:t xml:space="preserve">, K., Whittington, R. </w:t>
      </w:r>
      <w:proofErr w:type="gramStart"/>
      <w:r w:rsidRPr="00EC7F73">
        <w:rPr>
          <w:rFonts w:cs="Times New Roman"/>
          <w:lang w:val="en-CA"/>
        </w:rPr>
        <w:t>et</w:t>
      </w:r>
      <w:proofErr w:type="gramEnd"/>
      <w:r w:rsidRPr="00EC7F73">
        <w:rPr>
          <w:rFonts w:cs="Times New Roman"/>
          <w:lang w:val="en-CA"/>
        </w:rPr>
        <w:t xml:space="preserve"> F. </w:t>
      </w:r>
      <w:proofErr w:type="spellStart"/>
      <w:r w:rsidRPr="00EC7F73">
        <w:rPr>
          <w:rFonts w:cs="Times New Roman"/>
          <w:lang w:val="en-CA"/>
        </w:rPr>
        <w:t>Fréry</w:t>
      </w:r>
      <w:proofErr w:type="spellEnd"/>
      <w:r w:rsidRPr="00EC7F73">
        <w:rPr>
          <w:rFonts w:cs="Times New Roman"/>
          <w:lang w:val="en-CA"/>
        </w:rPr>
        <w:t xml:space="preserve"> (2 011). </w:t>
      </w:r>
      <w:r>
        <w:rPr>
          <w:rFonts w:cs="Times New Roman"/>
          <w:i/>
          <w:iCs/>
        </w:rPr>
        <w:t>Stratégique, 9e édition</w:t>
      </w:r>
      <w:r>
        <w:rPr>
          <w:rFonts w:cs="Times New Roman"/>
        </w:rPr>
        <w:t>. Pearson Éducation, France, p. 119-121</w:t>
      </w:r>
    </w:p>
  </w:footnote>
  <w:footnote w:id="69">
    <w:p w:rsidR="00CE1436" w:rsidRDefault="00CE1436">
      <w:pPr>
        <w:pStyle w:val="Notedebasdepage"/>
      </w:pPr>
      <w:r>
        <w:rPr>
          <w:rStyle w:val="Appelnotedebasdep"/>
        </w:rPr>
        <w:footnoteRef/>
      </w:r>
      <w:r>
        <w:t>Ce rang est établi selon plusieurs sondages comme sur le site :</w:t>
      </w:r>
      <w:r w:rsidRPr="00F275DA">
        <w:t xml:space="preserve"> http://www.4icu.org/ca/</w:t>
      </w:r>
      <w:r>
        <w:t>. Donc il s’agit purement d’opinion.</w:t>
      </w:r>
    </w:p>
  </w:footnote>
  <w:footnote w:id="70">
    <w:p w:rsidR="00CE1436" w:rsidRDefault="00CE1436">
      <w:pPr>
        <w:pStyle w:val="Notedebasdepage"/>
      </w:pPr>
      <w:r>
        <w:rPr>
          <w:rStyle w:val="Appelnotedebasdep"/>
        </w:rPr>
        <w:footnoteRef/>
      </w:r>
      <w:r>
        <w:t xml:space="preserve"> Syndicat des professeurs et des professeures, UQTR. [En ligne] </w:t>
      </w:r>
      <w:hyperlink r:id="rId39" w:history="1">
        <w:r w:rsidRPr="00E336C6">
          <w:rPr>
            <w:rStyle w:val="Lienhypertexte"/>
          </w:rPr>
          <w:t>https://oraprdnt.uqtr.uquebec.ca/pls/public/gscw031?owa_no_site=1436</w:t>
        </w:r>
      </w:hyperlink>
      <w:r>
        <w:t xml:space="preserve"> (Page consultée le 02 mars 2015)</w:t>
      </w:r>
    </w:p>
  </w:footnote>
  <w:footnote w:id="71">
    <w:p w:rsidR="00CE1436" w:rsidRDefault="00CE1436">
      <w:pPr>
        <w:pStyle w:val="Notedebasdepage"/>
      </w:pPr>
      <w:r>
        <w:rPr>
          <w:rStyle w:val="Appelnotedebasdep"/>
        </w:rPr>
        <w:footnoteRef/>
      </w:r>
      <w:r>
        <w:t xml:space="preserve">UQTR, « Historique » [En ligne] </w:t>
      </w:r>
      <w:hyperlink r:id="rId40" w:history="1">
        <w:r w:rsidRPr="00E336C6">
          <w:rPr>
            <w:rStyle w:val="Lienhypertexte"/>
          </w:rPr>
          <w:t>http://www.uqtr.ca/informationgenerale/historique.shtml</w:t>
        </w:r>
      </w:hyperlink>
      <w:r>
        <w:t xml:space="preserve"> (Page consultée le 02 mars 2015)</w:t>
      </w:r>
    </w:p>
  </w:footnote>
  <w:footnote w:id="72">
    <w:p w:rsidR="00CE1436" w:rsidRDefault="00CE1436" w:rsidP="00BF0F0A">
      <w:pPr>
        <w:pStyle w:val="Notedebasdepage"/>
      </w:pPr>
      <w:r>
        <w:rPr>
          <w:rStyle w:val="Appelnotedebasdep"/>
        </w:rPr>
        <w:footnoteRef/>
      </w:r>
      <w:r>
        <w:t xml:space="preserve"> </w:t>
      </w:r>
      <w:r w:rsidRPr="003D4601">
        <w:t>02 avril 2015</w:t>
      </w:r>
      <w:r>
        <w:t xml:space="preserve">, </w:t>
      </w:r>
      <w:r w:rsidRPr="003D4601">
        <w:t>BRIGITTE TRAHAN</w:t>
      </w:r>
      <w:r>
        <w:t xml:space="preserve">, </w:t>
      </w:r>
      <w:r w:rsidRPr="003D4601">
        <w:t>http://www.lapresse.ca/le-nouvelliste/actualites/uqtr/201504/02/01-4857791-sylvie-roy-demande-la-mise-sous-tutelle-de-luqtr.php</w:t>
      </w:r>
    </w:p>
  </w:footnote>
  <w:footnote w:id="73">
    <w:p w:rsidR="00CE1436" w:rsidRPr="00621A84" w:rsidRDefault="00CE1436" w:rsidP="008F4E76">
      <w:pPr>
        <w:pStyle w:val="Notedebasdepage"/>
        <w:jc w:val="both"/>
        <w:rPr>
          <w:rFonts w:cs="Times New Roman"/>
        </w:rPr>
      </w:pPr>
      <w:r w:rsidRPr="00621A84">
        <w:rPr>
          <w:rStyle w:val="Appelnotedebasdep"/>
          <w:rFonts w:cs="Times New Roman"/>
        </w:rPr>
        <w:footnoteRef/>
      </w:r>
      <w:r w:rsidRPr="00621A84">
        <w:rPr>
          <w:rFonts w:cs="Times New Roman"/>
        </w:rPr>
        <w:t xml:space="preserve"> UQTR. </w:t>
      </w:r>
      <w:r w:rsidRPr="00621A84">
        <w:rPr>
          <w:rFonts w:cs="Times New Roman"/>
          <w:i/>
        </w:rPr>
        <w:t>Les instances statuaires</w:t>
      </w:r>
      <w:r w:rsidRPr="00621A84">
        <w:rPr>
          <w:rFonts w:cs="Times New Roman"/>
        </w:rPr>
        <w:t xml:space="preserve">. Gouvernance. [En ligne] </w:t>
      </w:r>
      <w:hyperlink r:id="rId41" w:history="1">
        <w:r w:rsidRPr="00621A84">
          <w:rPr>
            <w:rStyle w:val="Lienhypertexte"/>
            <w:rFonts w:cs="Times New Roman"/>
          </w:rPr>
          <w:t>http://www.uqtr.ca/informationgenerale/cacxce.shtml</w:t>
        </w:r>
      </w:hyperlink>
      <w:r>
        <w:rPr>
          <w:rFonts w:cs="Times New Roman"/>
        </w:rPr>
        <w:t xml:space="preserve"> (</w:t>
      </w:r>
      <w:r w:rsidRPr="00621A84">
        <w:rPr>
          <w:rFonts w:cs="Times New Roman"/>
        </w:rPr>
        <w:t>Page consultée le 10 avril 2015)</w:t>
      </w:r>
    </w:p>
  </w:footnote>
  <w:footnote w:id="74">
    <w:p w:rsidR="00CE1436" w:rsidRPr="00166D3F" w:rsidRDefault="00CE1436" w:rsidP="008F4E76">
      <w:pPr>
        <w:pStyle w:val="Notedebasdepage"/>
        <w:jc w:val="both"/>
        <w:rPr>
          <w:rFonts w:cs="Times New Roman"/>
        </w:rPr>
      </w:pPr>
      <w:r w:rsidRPr="00166D3F">
        <w:rPr>
          <w:rStyle w:val="Appelnotedebasdep"/>
          <w:rFonts w:cs="Times New Roman"/>
        </w:rPr>
        <w:footnoteRef/>
      </w:r>
      <w:r w:rsidRPr="00166D3F">
        <w:rPr>
          <w:rFonts w:cs="Times New Roman"/>
        </w:rPr>
        <w:t xml:space="preserve"> UQTR. </w:t>
      </w:r>
      <w:r w:rsidRPr="00166D3F">
        <w:rPr>
          <w:rFonts w:cs="Times New Roman"/>
          <w:i/>
        </w:rPr>
        <w:t>Mission</w:t>
      </w:r>
      <w:r w:rsidRPr="00166D3F">
        <w:rPr>
          <w:rFonts w:cs="Times New Roman"/>
        </w:rPr>
        <w:t xml:space="preserve">, Secrétariat général. [En ligne] </w:t>
      </w:r>
      <w:hyperlink r:id="rId42" w:history="1">
        <w:r w:rsidRPr="00166D3F">
          <w:rPr>
            <w:rStyle w:val="Lienhypertexte"/>
            <w:rFonts w:cs="Times New Roman"/>
          </w:rPr>
          <w:t>http://www.uqtr.ca/gouvernance/secretariat_general.shtml</w:t>
        </w:r>
      </w:hyperlink>
      <w:r w:rsidRPr="00166D3F">
        <w:rPr>
          <w:rFonts w:cs="Times New Roman"/>
        </w:rPr>
        <w:t xml:space="preserve"> (Page consultée le 10 avril 2015)</w:t>
      </w:r>
    </w:p>
  </w:footnote>
  <w:footnote w:id="75">
    <w:p w:rsidR="00CE1436" w:rsidRPr="005E5B39" w:rsidRDefault="00CE1436" w:rsidP="008F4E76">
      <w:pPr>
        <w:pStyle w:val="Notedebasdepage"/>
        <w:jc w:val="both"/>
        <w:rPr>
          <w:rFonts w:cs="Times New Roman"/>
        </w:rPr>
      </w:pPr>
      <w:r w:rsidRPr="005E5B39">
        <w:rPr>
          <w:rStyle w:val="Appelnotedebasdep"/>
          <w:rFonts w:cs="Times New Roman"/>
        </w:rPr>
        <w:footnoteRef/>
      </w:r>
      <w:r w:rsidRPr="005E5B39">
        <w:rPr>
          <w:rFonts w:cs="Times New Roman"/>
        </w:rPr>
        <w:t xml:space="preserve">UQTR. Nadia </w:t>
      </w:r>
      <w:proofErr w:type="spellStart"/>
      <w:r w:rsidRPr="005E5B39">
        <w:rPr>
          <w:rFonts w:cs="Times New Roman"/>
        </w:rPr>
        <w:t>Ghazzala</w:t>
      </w:r>
      <w:proofErr w:type="spellEnd"/>
      <w:r w:rsidRPr="005E5B39">
        <w:rPr>
          <w:rFonts w:cs="Times New Roman"/>
        </w:rPr>
        <w:t xml:space="preserve">, rectrice. [Enligne] </w:t>
      </w:r>
      <w:hyperlink r:id="rId43" w:history="1">
        <w:r w:rsidRPr="007147D1">
          <w:rPr>
            <w:rStyle w:val="Lienhypertexte"/>
            <w:rFonts w:cs="Times New Roman"/>
          </w:rPr>
          <w:t>https://oraprdnt.uqtr.uquebec.ca/pls/public/gscw031?owa_no_site=4009&amp;owa_no_fiche=1&amp;owa_apercu=N&amp;owa_imprimable=N&amp;owa_bottin</w:t>
        </w:r>
      </w:hyperlink>
      <w:r w:rsidRPr="005E5B39">
        <w:rPr>
          <w:rFonts w:cs="Times New Roman"/>
        </w:rPr>
        <w:t>=</w:t>
      </w:r>
      <w:r>
        <w:rPr>
          <w:rFonts w:cs="Times New Roman"/>
        </w:rPr>
        <w:t xml:space="preserve"> </w:t>
      </w:r>
      <w:r w:rsidRPr="005E5B39">
        <w:rPr>
          <w:rFonts w:cs="Times New Roman"/>
        </w:rPr>
        <w:t xml:space="preserve"> (Page consultée le 11 avril 2015)</w:t>
      </w:r>
    </w:p>
  </w:footnote>
  <w:footnote w:id="76">
    <w:p w:rsidR="00CE1436" w:rsidRDefault="00CE1436" w:rsidP="008F4E76">
      <w:pPr>
        <w:pStyle w:val="Notedebasdepage"/>
        <w:jc w:val="both"/>
      </w:pPr>
      <w:r w:rsidRPr="005E5B39">
        <w:rPr>
          <w:rStyle w:val="Appelnotedebasdep"/>
          <w:rFonts w:cs="Times New Roman"/>
        </w:rPr>
        <w:footnoteRef/>
      </w:r>
      <w:r w:rsidRPr="005E5B39">
        <w:rPr>
          <w:rFonts w:cs="Times New Roman"/>
        </w:rPr>
        <w:t xml:space="preserve"> UQTR. Vice-rectorats. [En ligne] </w:t>
      </w:r>
      <w:hyperlink r:id="rId44" w:history="1">
        <w:r w:rsidRPr="005E5B39">
          <w:rPr>
            <w:rStyle w:val="Lienhypertexte"/>
            <w:rFonts w:cs="Times New Roman"/>
          </w:rPr>
          <w:t>https://oraprdnt.uqtr.uquebec.ca/pls/public/gscw031?owa_no_site=4009&amp;owa_no_fiche=16&amp;owa_apercu=N&amp;owa_imprimable=N&amp;owa_bottin</w:t>
        </w:r>
      </w:hyperlink>
      <w:r w:rsidRPr="005E5B39">
        <w:rPr>
          <w:rFonts w:cs="Times New Roman"/>
        </w:rPr>
        <w:t>= (Page consultée le 11 avril 2015)</w:t>
      </w:r>
    </w:p>
  </w:footnote>
  <w:footnote w:id="77">
    <w:p w:rsidR="00CE1436" w:rsidRPr="00F03296" w:rsidRDefault="00CE1436" w:rsidP="002005F8">
      <w:pPr>
        <w:pStyle w:val="Notedebasdepage"/>
        <w:jc w:val="both"/>
        <w:rPr>
          <w:rFonts w:cs="Times New Roman"/>
        </w:rPr>
      </w:pPr>
      <w:r w:rsidRPr="00F03296">
        <w:rPr>
          <w:rStyle w:val="Appelnotedebasdep"/>
          <w:rFonts w:cs="Times New Roman"/>
        </w:rPr>
        <w:footnoteRef/>
      </w:r>
      <w:r w:rsidRPr="00F03296">
        <w:rPr>
          <w:rFonts w:cs="Times New Roman"/>
        </w:rPr>
        <w:t xml:space="preserve"> UQTR. Une université fière de son engagement ! [En ligne] </w:t>
      </w:r>
      <w:hyperlink r:id="rId45" w:history="1">
        <w:r w:rsidRPr="00F03296">
          <w:rPr>
            <w:rStyle w:val="Lienhypertexte"/>
            <w:rFonts w:cs="Times New Roman"/>
          </w:rPr>
          <w:t>https://oraprdnt.uqtr.uquebec.ca/pls/public/gscw031?owa_no_site=40&amp;owa_no_fiche=63&amp;owa_apercu=N&amp;owa_imprimable=N&amp;owa_bottin</w:t>
        </w:r>
      </w:hyperlink>
      <w:r w:rsidRPr="00F03296">
        <w:rPr>
          <w:rFonts w:cs="Times New Roman"/>
        </w:rPr>
        <w:t>= (Page consultée le 11 avril 2015)</w:t>
      </w:r>
    </w:p>
  </w:footnote>
  <w:footnote w:id="78">
    <w:p w:rsidR="00CE1436" w:rsidRPr="001476DE" w:rsidRDefault="00CE1436" w:rsidP="002005F8">
      <w:pPr>
        <w:pStyle w:val="Notedebasdepage"/>
        <w:jc w:val="both"/>
        <w:rPr>
          <w:rFonts w:cs="Times New Roman"/>
        </w:rPr>
      </w:pPr>
      <w:r w:rsidRPr="00F83239">
        <w:rPr>
          <w:rStyle w:val="Appelnotedebasdep"/>
          <w:rFonts w:cs="Times New Roman"/>
        </w:rPr>
        <w:footnoteRef/>
      </w:r>
      <w:r w:rsidRPr="00F83239">
        <w:rPr>
          <w:rFonts w:cs="Times New Roman"/>
        </w:rPr>
        <w:t xml:space="preserve"> UQTR. Stratégie de développement durable de l’UQTR. [En ligne] </w:t>
      </w:r>
      <w:r w:rsidRPr="001476DE">
        <w:rPr>
          <w:rFonts w:cs="Times New Roman"/>
        </w:rPr>
        <w:t>https://oraprdnt.uqtr.uquebec.ca/pls/public/gscw031?owa_no_site=40&amp;owa_no_fiche=2&amp;owa_apercu=N&amp;owa_imprimable=N&amp;owa_bottin= (Page consultée le 11 avril 2015)</w:t>
      </w:r>
    </w:p>
  </w:footnote>
  <w:footnote w:id="79">
    <w:p w:rsidR="00CE1436" w:rsidRDefault="00CE1436" w:rsidP="002005F8">
      <w:pPr>
        <w:pStyle w:val="Notedebasdepage"/>
        <w:jc w:val="both"/>
      </w:pPr>
      <w:r w:rsidRPr="001476DE">
        <w:rPr>
          <w:rStyle w:val="Appelnotedebasdep"/>
          <w:rFonts w:cs="Times New Roman"/>
        </w:rPr>
        <w:footnoteRef/>
      </w:r>
      <w:r w:rsidRPr="001476DE">
        <w:rPr>
          <w:rFonts w:cs="Times New Roman"/>
        </w:rPr>
        <w:t xml:space="preserve"> UQTR. PICOM [En ligne] </w:t>
      </w:r>
      <w:hyperlink r:id="rId46" w:history="1">
        <w:r w:rsidRPr="001476DE">
          <w:rPr>
            <w:rStyle w:val="Lienhypertexte"/>
            <w:rFonts w:cs="Times New Roman"/>
          </w:rPr>
          <w:t>https://oraprdnt.uqtr.uquebec.ca/pls/public/gscw030?owa_no_site=1280</w:t>
        </w:r>
      </w:hyperlink>
      <w:r w:rsidRPr="001476DE">
        <w:rPr>
          <w:rFonts w:cs="Times New Roman"/>
        </w:rPr>
        <w:t xml:space="preserve"> (Page consultée le 10 avril 2015)</w:t>
      </w:r>
    </w:p>
  </w:footnote>
  <w:footnote w:id="80">
    <w:p w:rsidR="00CE1436" w:rsidRDefault="00CE1436">
      <w:pPr>
        <w:pStyle w:val="Notedebasdepage"/>
      </w:pPr>
      <w:r>
        <w:rPr>
          <w:rStyle w:val="Appelnotedebasdep"/>
        </w:rPr>
        <w:footnoteRef/>
      </w:r>
      <w:r>
        <w:t xml:space="preserve">UQTR. Règlements. [En ligne] </w:t>
      </w:r>
      <w:hyperlink r:id="rId47" w:history="1">
        <w:r w:rsidRPr="00543069">
          <w:rPr>
            <w:rStyle w:val="Lienhypertexte"/>
          </w:rPr>
          <w:t>http://www.uqtr.ca/etudiant/saereglement.shtml</w:t>
        </w:r>
      </w:hyperlink>
      <w:r>
        <w:t xml:space="preserve"> (Page consultée le 17 avril 2015)</w:t>
      </w:r>
    </w:p>
  </w:footnote>
  <w:footnote w:id="81">
    <w:p w:rsidR="00CE1436" w:rsidRDefault="00CE1436" w:rsidP="006E124F">
      <w:pPr>
        <w:pStyle w:val="Notedebasdepage"/>
        <w:jc w:val="both"/>
      </w:pPr>
      <w:r>
        <w:rPr>
          <w:rStyle w:val="Appelnotedebasdep"/>
        </w:rPr>
        <w:footnoteRef/>
      </w:r>
      <w:r>
        <w:t xml:space="preserve"> UQTR. </w:t>
      </w:r>
      <w:r w:rsidRPr="00B46354">
        <w:rPr>
          <w:i/>
        </w:rPr>
        <w:t>Grand public – une université pour tous</w:t>
      </w:r>
      <w:proofErr w:type="gramStart"/>
      <w:r>
        <w:rPr>
          <w:i/>
        </w:rPr>
        <w:t>!</w:t>
      </w:r>
      <w:r>
        <w:t>.</w:t>
      </w:r>
      <w:proofErr w:type="gramEnd"/>
      <w:r>
        <w:t xml:space="preserve"> [En ligne] </w:t>
      </w:r>
      <w:hyperlink r:id="rId48" w:history="1">
        <w:r w:rsidRPr="00E34DDE">
          <w:rPr>
            <w:rStyle w:val="Lienhypertexte"/>
          </w:rPr>
          <w:t>http://www.uqtr.ca/grandpublic/</w:t>
        </w:r>
      </w:hyperlink>
      <w:r>
        <w:t xml:space="preserve"> (page consultée le 2 avril 2015).</w:t>
      </w:r>
    </w:p>
  </w:footnote>
  <w:footnote w:id="82">
    <w:p w:rsidR="00CE1436" w:rsidRDefault="00CE1436" w:rsidP="006E124F">
      <w:pPr>
        <w:pStyle w:val="Notedebasdepage"/>
        <w:jc w:val="both"/>
      </w:pPr>
      <w:r>
        <w:rPr>
          <w:rStyle w:val="Appelnotedebasdep"/>
        </w:rPr>
        <w:footnoteRef/>
      </w:r>
      <w:r>
        <w:t xml:space="preserve"> Basée sur les coûts d’une session à 15 crédits, incluant tous les frais afférents.</w:t>
      </w:r>
    </w:p>
  </w:footnote>
  <w:footnote w:id="83">
    <w:p w:rsidR="00CE1436" w:rsidRDefault="00CE1436" w:rsidP="006E124F">
      <w:pPr>
        <w:pStyle w:val="Notedebasdepage"/>
        <w:jc w:val="both"/>
      </w:pPr>
      <w:r>
        <w:rPr>
          <w:rStyle w:val="Appelnotedebasdep"/>
        </w:rPr>
        <w:footnoteRef/>
      </w:r>
      <w:r>
        <w:t xml:space="preserve"> Pour la clinique de podiatrie, «</w:t>
      </w:r>
      <w:r w:rsidRPr="00A92BD5">
        <w:t xml:space="preserve">Les tarifs des soins </w:t>
      </w:r>
      <w:proofErr w:type="spellStart"/>
      <w:r w:rsidRPr="00A92BD5">
        <w:t>podiatriques</w:t>
      </w:r>
      <w:proofErr w:type="spellEnd"/>
      <w:r w:rsidRPr="00A92BD5">
        <w:t xml:space="preserve"> varient en fonction des traitements offerts. Ils demeurent cependant </w:t>
      </w:r>
      <w:r>
        <w:t>avantageux,</w:t>
      </w:r>
      <w:r w:rsidRPr="00A92BD5">
        <w:t xml:space="preserve"> car le coût demandé sera inférieur à la moyenne des tarifs exigés en pratique privée.</w:t>
      </w:r>
      <w:r>
        <w:t xml:space="preserve">» Voir : Clinique </w:t>
      </w:r>
      <w:proofErr w:type="spellStart"/>
      <w:r>
        <w:t>podiatrique</w:t>
      </w:r>
      <w:proofErr w:type="spellEnd"/>
      <w:r>
        <w:t xml:space="preserve"> de l’UQTR. (2014). </w:t>
      </w:r>
      <w:r w:rsidRPr="005D465A">
        <w:rPr>
          <w:i/>
        </w:rPr>
        <w:t>Tarifs</w:t>
      </w:r>
      <w:r>
        <w:t xml:space="preserve">. [En ligne] </w:t>
      </w:r>
      <w:hyperlink r:id="rId49" w:history="1">
        <w:r w:rsidRPr="00B77643">
          <w:rPr>
            <w:rStyle w:val="Lienhypertexte"/>
          </w:rPr>
          <w:t>https://oraprdnt.uqtr.uquebec.ca/pls/public/gscw031?owa_no_site=513&amp;owa_no_fiche=30&amp;owa_apercu=N&amp;owa_imprimable=N&amp;owa_bottin</w:t>
        </w:r>
      </w:hyperlink>
      <w:r w:rsidRPr="00A92BD5">
        <w:t>=</w:t>
      </w:r>
      <w:r>
        <w:t>)</w:t>
      </w:r>
    </w:p>
    <w:p w:rsidR="00CE1436" w:rsidRDefault="00CE1436" w:rsidP="006E124F">
      <w:pPr>
        <w:pStyle w:val="Notedebasdepage"/>
        <w:jc w:val="both"/>
      </w:pPr>
      <w:r>
        <w:t>Toutefois, la clinique de chiropratique se présente comme une organisation desservant une «</w:t>
      </w:r>
      <w:r w:rsidRPr="00DA037B">
        <w:t xml:space="preserve">clientèle </w:t>
      </w:r>
      <w:r>
        <w:t>[composée]</w:t>
      </w:r>
      <w:r w:rsidRPr="00DA037B">
        <w:t xml:space="preserve"> de sportifs, (Patriotes, </w:t>
      </w:r>
      <w:proofErr w:type="spellStart"/>
      <w:r w:rsidRPr="00DA037B">
        <w:t>Diablos</w:t>
      </w:r>
      <w:proofErr w:type="spellEnd"/>
      <w:r w:rsidRPr="00DA037B">
        <w:t>, sports-études etc.), de travailleurs, d'étudiants, de gens ayant eu un accident d'auto (S.A</w:t>
      </w:r>
      <w:r>
        <w:t xml:space="preserve">.A.Q.) ou de travail (C.S.S.T.). Cela représente une stratégie de focalisation. Voir : Assurance et santé – clinique de physiothérapie. </w:t>
      </w:r>
      <w:r w:rsidRPr="005D465A">
        <w:rPr>
          <w:i/>
        </w:rPr>
        <w:t>Clinique de physiothérapie de Trois-Rivières</w:t>
      </w:r>
      <w:r>
        <w:t xml:space="preserve">. [En ligne] </w:t>
      </w:r>
      <w:hyperlink r:id="rId50" w:history="1">
        <w:r w:rsidRPr="00046CFA">
          <w:rPr>
            <w:rStyle w:val="Lienhypertexte"/>
          </w:rPr>
          <w:t>http://www.uqtr.ca/etudiant/cliniquephysiotherapie.shtml</w:t>
        </w:r>
      </w:hyperlink>
      <w:r>
        <w:t xml:space="preserve"> (page consultée le 27 mars 2015).</w:t>
      </w:r>
    </w:p>
  </w:footnote>
  <w:footnote w:id="84">
    <w:p w:rsidR="00CE1436" w:rsidRDefault="00CE1436" w:rsidP="006E124F">
      <w:pPr>
        <w:pStyle w:val="Notedebasdepage"/>
        <w:jc w:val="both"/>
      </w:pPr>
      <w:r>
        <w:rPr>
          <w:rStyle w:val="Appelnotedebasdep"/>
        </w:rPr>
        <w:footnoteRef/>
      </w:r>
      <w:r>
        <w:t xml:space="preserve"> Par une offre de service mettant en interaction des étudiants de chaque domaine et des professionnels gradués, l’offre est ainsi modifiée à la baisse, non pas une diminution de sa qualité, mais par une accessibilité plus limitée à des professionnels complètement formés dans leur discipline respective.</w:t>
      </w:r>
    </w:p>
  </w:footnote>
  <w:footnote w:id="85">
    <w:p w:rsidR="00CE1436" w:rsidRDefault="00CE1436" w:rsidP="006E124F">
      <w:pPr>
        <w:pStyle w:val="Notedebasdepage"/>
      </w:pPr>
      <w:r>
        <w:rPr>
          <w:rStyle w:val="Appelnotedebasdep"/>
        </w:rPr>
        <w:footnoteRef/>
      </w:r>
      <w:r>
        <w:t xml:space="preserve"> </w:t>
      </w:r>
      <w:r w:rsidRPr="00ED0DCD">
        <w:t>Nous tenons à mentionner que le tableau de la page précédente ne représente qu’un survol des stratégies génériques des DAS de l’UQTR. En effet, une analyse complète de la stratégie de chaque service demanderait des recherches plus approfondies, d’une envergure que nous n’estimons pas nécessaire pour mener le présent travail à une pertinence appréciable au lecteur.</w:t>
      </w:r>
    </w:p>
  </w:footnote>
  <w:footnote w:id="86">
    <w:p w:rsidR="00CE1436" w:rsidRPr="00AC2A83" w:rsidRDefault="00CE1436" w:rsidP="006E124F">
      <w:pPr>
        <w:pStyle w:val="Notedebasdepage"/>
        <w:rPr>
          <w:highlight w:val="yellow"/>
        </w:rPr>
      </w:pPr>
      <w:r w:rsidRPr="001C3661">
        <w:rPr>
          <w:rStyle w:val="Appelnotedebasdep"/>
        </w:rPr>
        <w:footnoteRef/>
      </w:r>
      <w:r w:rsidRPr="001C3661">
        <w:t xml:space="preserve"> </w:t>
      </w:r>
      <w:r>
        <w:t xml:space="preserve">UQTR. Assurance et santé [En ligne] </w:t>
      </w:r>
      <w:hyperlink r:id="rId51" w:history="1">
        <w:r w:rsidRPr="001C3661">
          <w:rPr>
            <w:rStyle w:val="Lienhypertexte"/>
          </w:rPr>
          <w:t>http://www.uqtr.ca/etudiant/cliniquephysiotherapie.shtml</w:t>
        </w:r>
      </w:hyperlink>
      <w:r>
        <w:t xml:space="preserve"> (Page consultée le 27 mars 2015)</w:t>
      </w:r>
    </w:p>
  </w:footnote>
  <w:footnote w:id="87">
    <w:p w:rsidR="00CE1436" w:rsidRDefault="00CE1436" w:rsidP="001C3661">
      <w:pPr>
        <w:pStyle w:val="Notedebasdepage"/>
        <w:jc w:val="both"/>
      </w:pPr>
      <w:r w:rsidRPr="001C3661">
        <w:rPr>
          <w:rStyle w:val="Appelnotedebasdep"/>
        </w:rPr>
        <w:footnoteRef/>
      </w:r>
      <w:r w:rsidRPr="001C3661">
        <w:t xml:space="preserve"> UQTR. Service d’orientation. [En ligne] </w:t>
      </w:r>
      <w:hyperlink r:id="rId52" w:history="1">
        <w:r w:rsidRPr="001C3661">
          <w:rPr>
            <w:rStyle w:val="Lienhypertexte"/>
          </w:rPr>
          <w:t>https://oraprdnt.uqtr.uquebec.ca/pls/public/gscw030?owa_no_site=3746&amp;owa_no_fiche=37</w:t>
        </w:r>
      </w:hyperlink>
      <w:r w:rsidRPr="001C3661">
        <w:t xml:space="preserve"> (Page consultée le 27 mars 2015)</w:t>
      </w:r>
    </w:p>
  </w:footnote>
  <w:footnote w:id="88">
    <w:p w:rsidR="00CE1436" w:rsidRDefault="00CE1436" w:rsidP="00E21339">
      <w:pPr>
        <w:pStyle w:val="Notedebasdepage"/>
      </w:pPr>
      <w:r w:rsidRPr="00B878C7">
        <w:rPr>
          <w:rStyle w:val="Appelnotedebasdep"/>
        </w:rPr>
        <w:footnoteRef/>
      </w:r>
      <w:r w:rsidRPr="00B878C7">
        <w:t xml:space="preserve"> </w:t>
      </w:r>
      <w:r>
        <w:t>Entretien</w:t>
      </w:r>
      <w:r w:rsidRPr="00B878C7">
        <w:t xml:space="preserve"> oral avec Sylvain </w:t>
      </w:r>
      <w:proofErr w:type="spellStart"/>
      <w:r w:rsidRPr="00B878C7">
        <w:t>Proulx</w:t>
      </w:r>
      <w:proofErr w:type="spellEnd"/>
      <w:r w:rsidRPr="00B878C7">
        <w:t xml:space="preserve">, </w:t>
      </w:r>
      <w:r>
        <w:t>ancien m</w:t>
      </w:r>
      <w:r w:rsidRPr="00B878C7">
        <w:t xml:space="preserve">enuisier </w:t>
      </w:r>
      <w:r>
        <w:t xml:space="preserve">de </w:t>
      </w:r>
      <w:r w:rsidRPr="00B878C7">
        <w:t>l’UQTR, décembre 2014, UQTR.</w:t>
      </w:r>
    </w:p>
  </w:footnote>
  <w:footnote w:id="89">
    <w:p w:rsidR="00CE1436" w:rsidRDefault="00CE1436" w:rsidP="001D1D47">
      <w:pPr>
        <w:pStyle w:val="Notedebasdepage"/>
      </w:pPr>
      <w:r>
        <w:rPr>
          <w:rStyle w:val="Appelnotedebasdep"/>
        </w:rPr>
        <w:footnoteRef/>
      </w:r>
      <w:r>
        <w:t xml:space="preserve"> Gouvernement. «</w:t>
      </w:r>
      <w:r w:rsidRPr="004B2DF0">
        <w:rPr>
          <w:i/>
        </w:rPr>
        <w:t>Prévisions de l’effectif étudiant</w:t>
      </w:r>
      <w:r>
        <w:t xml:space="preserve"> » </w:t>
      </w:r>
      <w:hyperlink r:id="rId53" w:history="1">
        <w:r w:rsidRPr="00BF3B55">
          <w:rPr>
            <w:rStyle w:val="Lienhypertexte"/>
          </w:rPr>
          <w:t>http://www.mesrs.gouv.qc.ca/universites/personnel-duniversite/statistiques-etudes-et-rapports/previsions-de-leffectif-etudiant-a-luniversite-previsions-de-2014-a-2028/</w:t>
        </w:r>
      </w:hyperlink>
      <w:r>
        <w:t xml:space="preserve"> (Page consulté le 27 mars 2015)</w:t>
      </w:r>
    </w:p>
  </w:footnote>
  <w:footnote w:id="90">
    <w:p w:rsidR="00CE1436" w:rsidRDefault="00CE1436" w:rsidP="001D1D47">
      <w:pPr>
        <w:pStyle w:val="Notedebasdepage"/>
      </w:pPr>
      <w:r>
        <w:rPr>
          <w:rStyle w:val="Appelnotedebasdep"/>
        </w:rPr>
        <w:footnoteRef/>
      </w:r>
      <w:r>
        <w:t xml:space="preserve"> Gouvernement : « </w:t>
      </w:r>
      <w:r w:rsidRPr="00CD40CC">
        <w:rPr>
          <w:i/>
        </w:rPr>
        <w:t>Service rendu à la communauté par régions</w:t>
      </w:r>
      <w:r>
        <w:t xml:space="preserve"> » </w:t>
      </w:r>
      <w:hyperlink r:id="rId54" w:history="1">
        <w:r w:rsidRPr="00BF3B55">
          <w:rPr>
            <w:rStyle w:val="Lienhypertexte"/>
          </w:rPr>
          <w:t>http://www.statcan.gc.ca/</w:t>
        </w:r>
      </w:hyperlink>
      <w:r>
        <w:t xml:space="preserve"> (consulté le 28 mars 2015)</w:t>
      </w:r>
    </w:p>
  </w:footnote>
  <w:footnote w:id="91">
    <w:p w:rsidR="00CE1436" w:rsidRDefault="00CE1436" w:rsidP="00E56FAA">
      <w:pPr>
        <w:pStyle w:val="Notedebasdepage"/>
      </w:pPr>
      <w:r>
        <w:rPr>
          <w:rStyle w:val="Appelnotedebasdep"/>
        </w:rPr>
        <w:footnoteRef/>
      </w:r>
      <w:r>
        <w:t xml:space="preserve"> </w:t>
      </w:r>
      <w:proofErr w:type="spellStart"/>
      <w:r w:rsidRPr="00BC1637">
        <w:t>Hinse</w:t>
      </w:r>
      <w:proofErr w:type="spellEnd"/>
      <w:r w:rsidRPr="00BC1637">
        <w:t>, Jean-François. (2014). L’École internationale de français de l’UQTR</w:t>
      </w:r>
      <w:r>
        <w:t xml:space="preserve"> </w:t>
      </w:r>
      <w:r w:rsidRPr="00BC1637">
        <w:t xml:space="preserve">ouvre un bureau de sélection en Chine. [En ligne] </w:t>
      </w:r>
      <w:hyperlink r:id="rId55" w:history="1">
        <w:r w:rsidRPr="00DC17EC">
          <w:rPr>
            <w:rStyle w:val="Lienhypertexte"/>
          </w:rPr>
          <w:t>http://www.uqtr.ca/media/Comm2014/Novembre/141112_Comm.Ouv.bur.EIF.en.Chine.pdf</w:t>
        </w:r>
      </w:hyperlink>
      <w:r>
        <w:t xml:space="preserve"> </w:t>
      </w:r>
    </w:p>
  </w:footnote>
  <w:footnote w:id="92">
    <w:p w:rsidR="00CE1436" w:rsidRDefault="00CE1436">
      <w:pPr>
        <w:pStyle w:val="Notedebasdepage"/>
      </w:pPr>
      <w:r>
        <w:rPr>
          <w:rStyle w:val="Appelnotedebasdep"/>
        </w:rPr>
        <w:footnoteRef/>
      </w:r>
      <w:r>
        <w:t xml:space="preserve"> </w:t>
      </w:r>
      <w:r w:rsidRPr="00BC1637">
        <w:t>UQTR. International. [En ligne] www.uqtr.ca/international/ (page consultée le 17 avril 2015).</w:t>
      </w:r>
    </w:p>
  </w:footnote>
  <w:footnote w:id="93">
    <w:p w:rsidR="00CE1436" w:rsidRDefault="00CE1436">
      <w:pPr>
        <w:pStyle w:val="Notedebasdepage"/>
      </w:pPr>
      <w:r>
        <w:rPr>
          <w:rStyle w:val="Appelnotedebasdep"/>
        </w:rPr>
        <w:footnoteRef/>
      </w:r>
      <w:r>
        <w:t xml:space="preserve"> Idem.</w:t>
      </w:r>
    </w:p>
  </w:footnote>
  <w:footnote w:id="94">
    <w:p w:rsidR="00CE1436" w:rsidRDefault="00CE1436" w:rsidP="00E56FAA">
      <w:pPr>
        <w:pStyle w:val="Notedebasdepage"/>
      </w:pPr>
      <w:r>
        <w:rPr>
          <w:rStyle w:val="Appelnotedebasdep"/>
        </w:rPr>
        <w:footnoteRef/>
      </w:r>
      <w:r>
        <w:t xml:space="preserve"> Conseil des relations interculturelles. </w:t>
      </w:r>
      <w:r w:rsidRPr="00225488">
        <w:t xml:space="preserve">(2011). </w:t>
      </w:r>
      <w:r w:rsidRPr="00225488">
        <w:rPr>
          <w:i/>
        </w:rPr>
        <w:t>Planification de l’immigration 2012-2015 : mieux arrimer l’immigration au développement économique et social du Québec</w:t>
      </w:r>
      <w:r w:rsidRPr="00225488">
        <w:t xml:space="preserve">. </w:t>
      </w:r>
      <w:r>
        <w:t xml:space="preserve">[En ligne]. </w:t>
      </w:r>
      <w:hyperlink r:id="rId56" w:history="1">
        <w:r w:rsidRPr="00DC17EC">
          <w:rPr>
            <w:rStyle w:val="Lienhypertexte"/>
          </w:rPr>
          <w:t>http://www.midi.gouv.qc.ca/publications/fr/cri/immigration-planification/Memoire-planification-immigration-20122015.pdf</w:t>
        </w:r>
      </w:hyperlink>
      <w:r>
        <w:t xml:space="preserve">  (p.9).</w:t>
      </w:r>
    </w:p>
  </w:footnote>
  <w:footnote w:id="95">
    <w:p w:rsidR="00CE1436" w:rsidRPr="007F30FB" w:rsidRDefault="00CE1436" w:rsidP="005B15E4">
      <w:pPr>
        <w:pStyle w:val="Notedebasdepage"/>
      </w:pPr>
      <w:r>
        <w:rPr>
          <w:rStyle w:val="Appelnotedebasdep"/>
        </w:rPr>
        <w:footnoteRef/>
      </w:r>
      <w:r>
        <w:t xml:space="preserve"> Gouvernement du Québec </w:t>
      </w:r>
      <w:r>
        <w:rPr>
          <w:i/>
        </w:rPr>
        <w:t>Enseignement supérieur pour tous-</w:t>
      </w:r>
      <w:r w:rsidRPr="007F30FB">
        <w:t>http://www.mesrs.gouv.qc.ca/fileadmin/administration/librairies/documents/sommet/Fascicule_2_-_Recherche_et_collaboration.pdf</w:t>
      </w:r>
      <w:r>
        <w:t xml:space="preserve"> (Page consultée le 8 avril 2015)</w:t>
      </w:r>
    </w:p>
  </w:footnote>
  <w:footnote w:id="96">
    <w:p w:rsidR="00CE1436" w:rsidRDefault="00CE1436" w:rsidP="005B15E4">
      <w:pPr>
        <w:pStyle w:val="Notedebasdepage"/>
      </w:pPr>
      <w:r>
        <w:rPr>
          <w:rStyle w:val="Appelnotedebasdep"/>
        </w:rPr>
        <w:footnoteRef/>
      </w:r>
      <w:r>
        <w:t xml:space="preserve"> UQTR –Information générales- </w:t>
      </w:r>
      <w:hyperlink r:id="rId57" w:history="1">
        <w:r w:rsidRPr="00426C04">
          <w:rPr>
            <w:rStyle w:val="Lienhypertexte"/>
          </w:rPr>
          <w:t>http://www.uqtr.ca/informationgenerale/faitsetchiffres.shtml?hc_location=ufi</w:t>
        </w:r>
      </w:hyperlink>
      <w:r>
        <w:t xml:space="preserve"> (page consultée le 11 avril 2015)</w:t>
      </w:r>
    </w:p>
  </w:footnote>
  <w:footnote w:id="97">
    <w:p w:rsidR="00CE1436" w:rsidRDefault="00CE1436" w:rsidP="005B15E4">
      <w:pPr>
        <w:pStyle w:val="Notedebasdepage"/>
      </w:pPr>
      <w:r>
        <w:rPr>
          <w:rStyle w:val="Appelnotedebasdep"/>
        </w:rPr>
        <w:footnoteRef/>
      </w:r>
      <w:r>
        <w:t xml:space="preserve"> Gouvernement du Canada – Chaires de recherches du Canada- </w:t>
      </w:r>
      <w:r w:rsidRPr="00A17FC9">
        <w:t>http://www.chairs-chaires.gc.ca/about_us-a_notre_sujet/index-fra.aspx#</w:t>
      </w:r>
      <w:r>
        <w:t xml:space="preserve"> (page consultée le 11 avril 2015)</w:t>
      </w:r>
    </w:p>
  </w:footnote>
  <w:footnote w:id="98">
    <w:p w:rsidR="00CE1436" w:rsidRPr="00495008" w:rsidRDefault="00CE1436" w:rsidP="00C72879">
      <w:pPr>
        <w:pStyle w:val="Notedebasdepage"/>
        <w:jc w:val="both"/>
        <w:rPr>
          <w:rFonts w:cs="Times New Roman"/>
        </w:rPr>
      </w:pPr>
      <w:r w:rsidRPr="00495008">
        <w:rPr>
          <w:rStyle w:val="Appelnotedebasdep"/>
          <w:rFonts w:cs="Times New Roman"/>
        </w:rPr>
        <w:footnoteRef/>
      </w:r>
      <w:r w:rsidRPr="00495008">
        <w:rPr>
          <w:rFonts w:cs="Times New Roman"/>
        </w:rPr>
        <w:t xml:space="preserve"> </w:t>
      </w:r>
      <w:r>
        <w:rPr>
          <w:rFonts w:cs="Times New Roman"/>
        </w:rPr>
        <w:t>UQTR.</w:t>
      </w:r>
      <w:r w:rsidRPr="00495008">
        <w:rPr>
          <w:rFonts w:cs="Times New Roman"/>
        </w:rPr>
        <w:t xml:space="preserve"> Service du partenariat et du soutien au développement universitaire. [En ligne] </w:t>
      </w:r>
      <w:hyperlink r:id="rId58" w:history="1">
        <w:r w:rsidRPr="00495008">
          <w:rPr>
            <w:rStyle w:val="Lienhypertexte"/>
            <w:rFonts w:cs="Times New Roman"/>
          </w:rPr>
          <w:t>http://www.uqtr.ca/uniteadministrative/partenariat.shtml</w:t>
        </w:r>
      </w:hyperlink>
      <w:r w:rsidRPr="00495008">
        <w:rPr>
          <w:rFonts w:cs="Times New Roman"/>
        </w:rPr>
        <w:t xml:space="preserve"> (Page consultée le 8 avril 2015)</w:t>
      </w:r>
    </w:p>
  </w:footnote>
  <w:footnote w:id="99">
    <w:p w:rsidR="00CE1436" w:rsidRDefault="00CE1436" w:rsidP="00753ED9">
      <w:pPr>
        <w:jc w:val="both"/>
      </w:pPr>
      <w:r w:rsidRPr="00495008">
        <w:rPr>
          <w:rStyle w:val="Appelnotedebasdep"/>
          <w:rFonts w:ascii="Times New Roman" w:hAnsi="Times New Roman" w:cs="Times New Roman"/>
          <w:sz w:val="20"/>
          <w:szCs w:val="20"/>
        </w:rPr>
        <w:footnoteRef/>
      </w:r>
      <w:r w:rsidRPr="00495008">
        <w:rPr>
          <w:rFonts w:ascii="Times New Roman" w:hAnsi="Times New Roman" w:cs="Times New Roman"/>
          <w:sz w:val="20"/>
          <w:szCs w:val="20"/>
        </w:rPr>
        <w:t>UQTR</w:t>
      </w:r>
      <w:r>
        <w:rPr>
          <w:rFonts w:ascii="Times New Roman" w:hAnsi="Times New Roman" w:cs="Times New Roman"/>
          <w:sz w:val="20"/>
          <w:szCs w:val="20"/>
        </w:rPr>
        <w:t>. Partenariat,</w:t>
      </w:r>
      <w:r w:rsidRPr="00495008">
        <w:rPr>
          <w:rFonts w:ascii="Times New Roman" w:hAnsi="Times New Roman" w:cs="Times New Roman"/>
          <w:sz w:val="20"/>
          <w:szCs w:val="20"/>
        </w:rPr>
        <w:t xml:space="preserve"> Service du développement institutionnel </w:t>
      </w:r>
      <w:r>
        <w:rPr>
          <w:rFonts w:ascii="Times New Roman" w:hAnsi="Times New Roman" w:cs="Times New Roman"/>
          <w:sz w:val="20"/>
          <w:szCs w:val="20"/>
        </w:rPr>
        <w:t>–</w:t>
      </w:r>
      <w:r w:rsidRPr="00495008">
        <w:rPr>
          <w:rFonts w:ascii="Times New Roman" w:hAnsi="Times New Roman" w:cs="Times New Roman"/>
          <w:sz w:val="20"/>
          <w:szCs w:val="20"/>
        </w:rPr>
        <w:t xml:space="preserve"> SDI</w:t>
      </w:r>
      <w:r>
        <w:rPr>
          <w:rFonts w:ascii="Times New Roman" w:hAnsi="Times New Roman" w:cs="Times New Roman"/>
          <w:sz w:val="20"/>
          <w:szCs w:val="20"/>
        </w:rPr>
        <w:t>.</w:t>
      </w:r>
      <w:r w:rsidRPr="00495008">
        <w:rPr>
          <w:rFonts w:ascii="Times New Roman" w:hAnsi="Times New Roman" w:cs="Times New Roman"/>
          <w:sz w:val="20"/>
          <w:szCs w:val="20"/>
        </w:rPr>
        <w:t xml:space="preserve"> [En ligne] </w:t>
      </w:r>
      <w:hyperlink r:id="rId59" w:history="1">
        <w:r w:rsidRPr="00495008">
          <w:rPr>
            <w:rStyle w:val="Lienhypertexte"/>
            <w:rFonts w:ascii="Times New Roman" w:hAnsi="Times New Roman" w:cs="Times New Roman"/>
            <w:sz w:val="20"/>
            <w:szCs w:val="20"/>
          </w:rPr>
          <w:t>https://oraprdnt.uqtr.uquebec.ca/pls/public/gscw030?owa_no_site=1191</w:t>
        </w:r>
      </w:hyperlink>
      <w:r w:rsidRPr="00495008">
        <w:rPr>
          <w:rFonts w:ascii="Times New Roman" w:hAnsi="Times New Roman" w:cs="Times New Roman"/>
          <w:sz w:val="20"/>
          <w:szCs w:val="20"/>
        </w:rPr>
        <w:t xml:space="preserve"> (Page consultée le 8 avril 2015)</w:t>
      </w:r>
    </w:p>
  </w:footnote>
  <w:footnote w:id="100">
    <w:p w:rsidR="00CE1436" w:rsidRPr="00F46B88" w:rsidRDefault="00CE1436" w:rsidP="007D6CD6">
      <w:pPr>
        <w:pStyle w:val="Notedebasdepage"/>
        <w:jc w:val="both"/>
        <w:rPr>
          <w:rFonts w:cs="Times New Roman"/>
        </w:rPr>
      </w:pPr>
      <w:r w:rsidRPr="00F46B88">
        <w:rPr>
          <w:rStyle w:val="Appelnotedebasdep"/>
          <w:rFonts w:cs="Times New Roman"/>
        </w:rPr>
        <w:footnoteRef/>
      </w:r>
      <w:r w:rsidRPr="00F46B88">
        <w:rPr>
          <w:rFonts w:cs="Times New Roman"/>
        </w:rPr>
        <w:t xml:space="preserve"> UQTR, Année préparatoire au programme </w:t>
      </w:r>
      <w:proofErr w:type="spellStart"/>
      <w:r w:rsidRPr="00F46B88">
        <w:rPr>
          <w:rFonts w:cs="Times New Roman"/>
        </w:rPr>
        <w:t>m.d</w:t>
      </w:r>
      <w:proofErr w:type="spellEnd"/>
      <w:r w:rsidRPr="00F46B88">
        <w:rPr>
          <w:rFonts w:cs="Times New Roman"/>
        </w:rPr>
        <w:t xml:space="preserve">. [En ligne] </w:t>
      </w:r>
      <w:hyperlink r:id="rId60" w:history="1">
        <w:r w:rsidRPr="00F46B88">
          <w:rPr>
            <w:rStyle w:val="Lienhypertexte"/>
            <w:rFonts w:cs="Times New Roman"/>
          </w:rPr>
          <w:t>https://oraprdnt.uqtr.uquebec.ca/reports/rwservlet?cmdkey=key1&amp;destype=cache&amp;report=descpgm.rdf&amp;desformat=PDF&amp;owa_cd_pgm=1450&amp;owa_cle_texte=123&amp;owa_desc_cours=n</w:t>
        </w:r>
      </w:hyperlink>
      <w:r w:rsidRPr="00F46B88">
        <w:rPr>
          <w:rFonts w:cs="Times New Roman"/>
        </w:rPr>
        <w:t xml:space="preserve"> (Page consultée le 10 avril 2015)</w:t>
      </w:r>
    </w:p>
  </w:footnote>
  <w:footnote w:id="101">
    <w:p w:rsidR="00CE1436" w:rsidRDefault="00CE1436" w:rsidP="007D6CD6">
      <w:pPr>
        <w:pStyle w:val="Notedebasdepage"/>
        <w:jc w:val="both"/>
      </w:pPr>
      <w:r>
        <w:rPr>
          <w:rStyle w:val="Appelnotedebasdep"/>
        </w:rPr>
        <w:footnoteRef/>
      </w:r>
      <w:r>
        <w:t xml:space="preserve">UQTR. </w:t>
      </w:r>
      <w:r w:rsidRPr="0035125C">
        <w:rPr>
          <w:i/>
        </w:rPr>
        <w:t>Étudier à l’étranger</w:t>
      </w:r>
      <w:r>
        <w:t xml:space="preserve">, Bureau de l’international et du recrutement.  [En ligne] </w:t>
      </w:r>
      <w:r w:rsidRPr="0035125C">
        <w:t xml:space="preserve">https://oraprdnt.uqtr.uquebec.ca/pls/public/gscw031?owa_no_site=2262&amp;owa_no_fiche=69 </w:t>
      </w:r>
      <w:r>
        <w:t>(Page consultée le 14 avril 2015)</w:t>
      </w:r>
    </w:p>
  </w:footnote>
  <w:footnote w:id="102">
    <w:p w:rsidR="00CE1436" w:rsidRDefault="00CE1436" w:rsidP="00DC3AF1">
      <w:pPr>
        <w:pStyle w:val="Notedebasdepage"/>
      </w:pPr>
      <w:r>
        <w:rPr>
          <w:rStyle w:val="Appelnotedebasdep"/>
        </w:rPr>
        <w:footnoteRef/>
      </w:r>
      <w:r>
        <w:t xml:space="preserve"> Comme cela est d’ailleurs prévu selon le mandat donné par l’UQ.</w:t>
      </w:r>
    </w:p>
  </w:footnote>
  <w:footnote w:id="103">
    <w:p w:rsidR="00CE1436" w:rsidRDefault="00CE1436" w:rsidP="00DC3AF1">
      <w:pPr>
        <w:pStyle w:val="Notedebasdepage"/>
        <w:jc w:val="both"/>
      </w:pPr>
      <w:r>
        <w:rPr>
          <w:rStyle w:val="Appelnotedebasdep"/>
        </w:rPr>
        <w:footnoteRef/>
      </w:r>
      <w:r>
        <w:t xml:space="preserve"> Formation sur mesure. </w:t>
      </w:r>
      <w:r>
        <w:rPr>
          <w:i/>
        </w:rPr>
        <w:t xml:space="preserve">Leadership ou l’art de diriger. </w:t>
      </w:r>
      <w:r w:rsidRPr="00225488">
        <w:t>[En ligne]</w:t>
      </w:r>
      <w:r>
        <w:rPr>
          <w:i/>
        </w:rPr>
        <w:t xml:space="preserve"> </w:t>
      </w:r>
      <w:r w:rsidRPr="00CC7749">
        <w:t>oraprdnt.uqtr.uquebec.ca/pls/public/docs/GSC3137/F1940070319_Leadership_ou_l_art_de_diriger.pdf</w:t>
      </w:r>
      <w:r>
        <w:t xml:space="preserve"> (page consultée le 4 avril 2015).</w:t>
      </w:r>
    </w:p>
  </w:footnote>
  <w:footnote w:id="104">
    <w:p w:rsidR="00CE1436" w:rsidRDefault="00CE1436" w:rsidP="00DC3AF1">
      <w:pPr>
        <w:pStyle w:val="Notedebasdepage"/>
      </w:pPr>
      <w:r>
        <w:rPr>
          <w:rStyle w:val="Appelnotedebasdep"/>
        </w:rPr>
        <w:footnoteRef/>
      </w:r>
      <w:r>
        <w:t xml:space="preserve"> </w:t>
      </w:r>
      <w:r w:rsidRPr="00F97B2C">
        <w:t xml:space="preserve">Mentorat. </w:t>
      </w:r>
      <w:r w:rsidRPr="00F97B2C">
        <w:rPr>
          <w:i/>
        </w:rPr>
        <w:t>Qu'est-ce que le mentorat</w:t>
      </w:r>
      <w:proofErr w:type="gramStart"/>
      <w:r w:rsidRPr="00F97B2C">
        <w:rPr>
          <w:i/>
        </w:rPr>
        <w:t>?.</w:t>
      </w:r>
      <w:proofErr w:type="gramEnd"/>
      <w:r w:rsidRPr="00F97B2C">
        <w:t xml:space="preserve"> [En ligne] https://oraprdnt.uqtr.uquebec.ca/pls/public/gscw030?owa_no_site=3746&amp;owa_no_fiche=84 (page consultée le 17 avril 2014).</w:t>
      </w:r>
    </w:p>
  </w:footnote>
  <w:footnote w:id="105">
    <w:p w:rsidR="00CE1436" w:rsidRDefault="00CE1436" w:rsidP="00DC3AF1">
      <w:pPr>
        <w:pStyle w:val="Notedebasdepage"/>
      </w:pPr>
      <w:r>
        <w:rPr>
          <w:rStyle w:val="Appelnotedebasdep"/>
        </w:rPr>
        <w:footnoteRef/>
      </w:r>
      <w:r>
        <w:t xml:space="preserve"> Ici, nous référons aux pays BRICS en émergence sans toutefois limiter l’Afrique à sa partie sud.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829797"/>
      <w:docPartObj>
        <w:docPartGallery w:val="Page Numbers (Top of Page)"/>
        <w:docPartUnique/>
      </w:docPartObj>
    </w:sdtPr>
    <w:sdtContent>
      <w:p w:rsidR="00CE1436" w:rsidRDefault="00CE1436">
        <w:pPr>
          <w:pStyle w:val="En-tte"/>
          <w:jc w:val="right"/>
        </w:pPr>
        <w:r>
          <w:rPr>
            <w:noProof/>
            <w:lang w:eastAsia="fr-CA"/>
          </w:rPr>
          <w:drawing>
            <wp:anchor distT="0" distB="0" distL="114300" distR="114300" simplePos="0" relativeHeight="251658240" behindDoc="0" locked="0" layoutInCell="1" allowOverlap="1">
              <wp:simplePos x="0" y="0"/>
              <wp:positionH relativeFrom="column">
                <wp:posOffset>-993140</wp:posOffset>
              </wp:positionH>
              <wp:positionV relativeFrom="paragraph">
                <wp:posOffset>-212090</wp:posOffset>
              </wp:positionV>
              <wp:extent cx="1194435" cy="438785"/>
              <wp:effectExtent l="19050" t="0" r="5715" b="0"/>
              <wp:wrapThrough wrapText="bothSides">
                <wp:wrapPolygon edited="0">
                  <wp:start x="-344" y="0"/>
                  <wp:lineTo x="-344" y="20631"/>
                  <wp:lineTo x="21703" y="20631"/>
                  <wp:lineTo x="21703" y="0"/>
                  <wp:lineTo x="-344" y="0"/>
                </wp:wrapPolygon>
              </wp:wrapThrough>
              <wp:docPr id="45" name="Image 7" descr="C:\Users\Célia\Documents\Administration des affaires\Hiver 2015\Gestion stratégique des entreprises\UQTR_5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élia\Documents\Administration des affaires\Hiver 2015\Gestion stratégique des entreprises\UQTR_5_300.jpg"/>
                      <pic:cNvPicPr>
                        <a:picLocks noChangeAspect="1" noChangeArrowheads="1"/>
                      </pic:cNvPicPr>
                    </pic:nvPicPr>
                    <pic:blipFill>
                      <a:blip r:embed="rId1">
                        <a:lum/>
                      </a:blip>
                      <a:srcRect/>
                      <a:stretch>
                        <a:fillRect/>
                      </a:stretch>
                    </pic:blipFill>
                    <pic:spPr bwMode="auto">
                      <a:xfrm>
                        <a:off x="0" y="0"/>
                        <a:ext cx="1194435" cy="438785"/>
                      </a:xfrm>
                      <a:prstGeom prst="rect">
                        <a:avLst/>
                      </a:prstGeom>
                      <a:noFill/>
                      <a:ln w="9525">
                        <a:noFill/>
                        <a:miter lim="800000"/>
                        <a:headEnd/>
                        <a:tailEnd/>
                      </a:ln>
                    </pic:spPr>
                  </pic:pic>
                </a:graphicData>
              </a:graphic>
            </wp:anchor>
          </w:drawing>
        </w:r>
        <w:fldSimple w:instr=" PAGE   \* MERGEFORMAT ">
          <w:r w:rsidR="004C5B8C">
            <w:rPr>
              <w:noProof/>
            </w:rPr>
            <w:t>118</w:t>
          </w:r>
        </w:fldSimple>
      </w:p>
    </w:sdtContent>
  </w:sdt>
  <w:p w:rsidR="00CE1436" w:rsidRDefault="00CE1436">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3in;height:3in" o:bullet="t"/>
    </w:pict>
  </w:numPicBullet>
  <w:numPicBullet w:numPicBulletId="1">
    <w:pict>
      <v:shape id="_x0000_i1063" type="#_x0000_t75" style="width:3in;height:3in" o:bullet="t"/>
    </w:pict>
  </w:numPicBullet>
  <w:numPicBullet w:numPicBulletId="2">
    <w:pict>
      <v:shape id="_x0000_i1064" type="#_x0000_t75" style="width:3in;height:3in" o:bullet="t"/>
    </w:pict>
  </w:numPicBullet>
  <w:numPicBullet w:numPicBulletId="3">
    <w:pict>
      <v:shape id="_x0000_i1065" type="#_x0000_t75" style="width:3in;height:3in" o:bullet="t"/>
    </w:pict>
  </w:numPicBullet>
  <w:abstractNum w:abstractNumId="0">
    <w:nsid w:val="082B78D6"/>
    <w:multiLevelType w:val="hybridMultilevel"/>
    <w:tmpl w:val="D074842A"/>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
    <w:nsid w:val="0BDA51AD"/>
    <w:multiLevelType w:val="hybridMultilevel"/>
    <w:tmpl w:val="21EEF0F8"/>
    <w:lvl w:ilvl="0" w:tplc="55565EB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nsid w:val="0C124391"/>
    <w:multiLevelType w:val="hybridMultilevel"/>
    <w:tmpl w:val="B9DCBF1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nsid w:val="0D9D6931"/>
    <w:multiLevelType w:val="multilevel"/>
    <w:tmpl w:val="79484C9A"/>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19D5884"/>
    <w:multiLevelType w:val="hybridMultilevel"/>
    <w:tmpl w:val="FB3AA67E"/>
    <w:lvl w:ilvl="0" w:tplc="0C0C0011">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5">
    <w:nsid w:val="1496620F"/>
    <w:multiLevelType w:val="multilevel"/>
    <w:tmpl w:val="5C1AEF64"/>
    <w:lvl w:ilvl="0">
      <w:start w:val="1"/>
      <w:numFmt w:val="bullet"/>
      <w:lvlText w:val=""/>
      <w:lvlPicBulletId w:val="2"/>
      <w:lvlJc w:val="left"/>
      <w:pPr>
        <w:tabs>
          <w:tab w:val="num" w:pos="720"/>
        </w:tabs>
        <w:ind w:left="720" w:hanging="360"/>
      </w:pPr>
      <w:rPr>
        <w:rFonts w:ascii="Symbol" w:hAnsi="Symbol" w:hint="default"/>
        <w:sz w:val="20"/>
      </w:rPr>
    </w:lvl>
    <w:lvl w:ilvl="1" w:tentative="1">
      <w:start w:val="1"/>
      <w:numFmt w:val="bullet"/>
      <w:lvlText w:val="o"/>
      <w:lvlPicBulletId w:val="3"/>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C0202E"/>
    <w:multiLevelType w:val="hybridMultilevel"/>
    <w:tmpl w:val="53403F6A"/>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1BF534EF"/>
    <w:multiLevelType w:val="hybridMultilevel"/>
    <w:tmpl w:val="C6EAA974"/>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1C2B5AEB"/>
    <w:multiLevelType w:val="hybridMultilevel"/>
    <w:tmpl w:val="3A344E08"/>
    <w:lvl w:ilvl="0" w:tplc="0C0C0011">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9">
    <w:nsid w:val="1FB92744"/>
    <w:multiLevelType w:val="hybridMultilevel"/>
    <w:tmpl w:val="AE0C8FC0"/>
    <w:lvl w:ilvl="0" w:tplc="AA0AAF0A">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0">
    <w:nsid w:val="255B4352"/>
    <w:multiLevelType w:val="hybridMultilevel"/>
    <w:tmpl w:val="B34E41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28A90B10"/>
    <w:multiLevelType w:val="hybridMultilevel"/>
    <w:tmpl w:val="E3B4F65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nsid w:val="2FEA6144"/>
    <w:multiLevelType w:val="hybridMultilevel"/>
    <w:tmpl w:val="F4782BC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34486E19"/>
    <w:multiLevelType w:val="hybridMultilevel"/>
    <w:tmpl w:val="FA401264"/>
    <w:lvl w:ilvl="0" w:tplc="D6F4ED20">
      <w:start w:val="1"/>
      <w:numFmt w:val="bullet"/>
      <w:lvlText w:val=""/>
      <w:lvlJc w:val="left"/>
      <w:pPr>
        <w:tabs>
          <w:tab w:val="num" w:pos="720"/>
        </w:tabs>
        <w:ind w:left="720" w:hanging="360"/>
      </w:pPr>
      <w:rPr>
        <w:rFonts w:ascii="Symbol" w:hAnsi="Symbol" w:hint="default"/>
        <w:color w:val="C4960C"/>
      </w:rPr>
    </w:lvl>
    <w:lvl w:ilvl="1" w:tplc="15606120" w:tentative="1">
      <w:start w:val="1"/>
      <w:numFmt w:val="bullet"/>
      <w:lvlText w:val=""/>
      <w:lvlJc w:val="left"/>
      <w:pPr>
        <w:tabs>
          <w:tab w:val="num" w:pos="1440"/>
        </w:tabs>
        <w:ind w:left="1440" w:hanging="360"/>
      </w:pPr>
      <w:rPr>
        <w:rFonts w:ascii="Symbol" w:hAnsi="Symbol" w:hint="default"/>
      </w:rPr>
    </w:lvl>
    <w:lvl w:ilvl="2" w:tplc="927E5CA2" w:tentative="1">
      <w:start w:val="1"/>
      <w:numFmt w:val="bullet"/>
      <w:lvlText w:val=""/>
      <w:lvlJc w:val="left"/>
      <w:pPr>
        <w:tabs>
          <w:tab w:val="num" w:pos="2160"/>
        </w:tabs>
        <w:ind w:left="2160" w:hanging="360"/>
      </w:pPr>
      <w:rPr>
        <w:rFonts w:ascii="Symbol" w:hAnsi="Symbol" w:hint="default"/>
      </w:rPr>
    </w:lvl>
    <w:lvl w:ilvl="3" w:tplc="25E2C124" w:tentative="1">
      <w:start w:val="1"/>
      <w:numFmt w:val="bullet"/>
      <w:lvlText w:val=""/>
      <w:lvlJc w:val="left"/>
      <w:pPr>
        <w:tabs>
          <w:tab w:val="num" w:pos="2880"/>
        </w:tabs>
        <w:ind w:left="2880" w:hanging="360"/>
      </w:pPr>
      <w:rPr>
        <w:rFonts w:ascii="Symbol" w:hAnsi="Symbol" w:hint="default"/>
      </w:rPr>
    </w:lvl>
    <w:lvl w:ilvl="4" w:tplc="3314E3A6" w:tentative="1">
      <w:start w:val="1"/>
      <w:numFmt w:val="bullet"/>
      <w:lvlText w:val=""/>
      <w:lvlJc w:val="left"/>
      <w:pPr>
        <w:tabs>
          <w:tab w:val="num" w:pos="3600"/>
        </w:tabs>
        <w:ind w:left="3600" w:hanging="360"/>
      </w:pPr>
      <w:rPr>
        <w:rFonts w:ascii="Symbol" w:hAnsi="Symbol" w:hint="default"/>
      </w:rPr>
    </w:lvl>
    <w:lvl w:ilvl="5" w:tplc="EB221CB0" w:tentative="1">
      <w:start w:val="1"/>
      <w:numFmt w:val="bullet"/>
      <w:lvlText w:val=""/>
      <w:lvlJc w:val="left"/>
      <w:pPr>
        <w:tabs>
          <w:tab w:val="num" w:pos="4320"/>
        </w:tabs>
        <w:ind w:left="4320" w:hanging="360"/>
      </w:pPr>
      <w:rPr>
        <w:rFonts w:ascii="Symbol" w:hAnsi="Symbol" w:hint="default"/>
      </w:rPr>
    </w:lvl>
    <w:lvl w:ilvl="6" w:tplc="D2E41EFA" w:tentative="1">
      <w:start w:val="1"/>
      <w:numFmt w:val="bullet"/>
      <w:lvlText w:val=""/>
      <w:lvlJc w:val="left"/>
      <w:pPr>
        <w:tabs>
          <w:tab w:val="num" w:pos="5040"/>
        </w:tabs>
        <w:ind w:left="5040" w:hanging="360"/>
      </w:pPr>
      <w:rPr>
        <w:rFonts w:ascii="Symbol" w:hAnsi="Symbol" w:hint="default"/>
      </w:rPr>
    </w:lvl>
    <w:lvl w:ilvl="7" w:tplc="BB9CC9E6" w:tentative="1">
      <w:start w:val="1"/>
      <w:numFmt w:val="bullet"/>
      <w:lvlText w:val=""/>
      <w:lvlJc w:val="left"/>
      <w:pPr>
        <w:tabs>
          <w:tab w:val="num" w:pos="5760"/>
        </w:tabs>
        <w:ind w:left="5760" w:hanging="360"/>
      </w:pPr>
      <w:rPr>
        <w:rFonts w:ascii="Symbol" w:hAnsi="Symbol" w:hint="default"/>
      </w:rPr>
    </w:lvl>
    <w:lvl w:ilvl="8" w:tplc="19F89A5E" w:tentative="1">
      <w:start w:val="1"/>
      <w:numFmt w:val="bullet"/>
      <w:lvlText w:val=""/>
      <w:lvlJc w:val="left"/>
      <w:pPr>
        <w:tabs>
          <w:tab w:val="num" w:pos="6480"/>
        </w:tabs>
        <w:ind w:left="6480" w:hanging="360"/>
      </w:pPr>
      <w:rPr>
        <w:rFonts w:ascii="Symbol" w:hAnsi="Symbol" w:hint="default"/>
      </w:rPr>
    </w:lvl>
  </w:abstractNum>
  <w:abstractNum w:abstractNumId="14">
    <w:nsid w:val="3770002B"/>
    <w:multiLevelType w:val="hybridMultilevel"/>
    <w:tmpl w:val="80526644"/>
    <w:lvl w:ilvl="0" w:tplc="A3465400">
      <w:start w:val="1"/>
      <w:numFmt w:val="bullet"/>
      <w:lvlText w:val=""/>
      <w:lvlJc w:val="left"/>
      <w:pPr>
        <w:tabs>
          <w:tab w:val="num" w:pos="720"/>
        </w:tabs>
        <w:ind w:left="720" w:hanging="360"/>
      </w:pPr>
      <w:rPr>
        <w:rFonts w:ascii="Symbol" w:hAnsi="Symbol" w:hint="default"/>
        <w:color w:val="C4960C"/>
      </w:rPr>
    </w:lvl>
    <w:lvl w:ilvl="1" w:tplc="D4461B14" w:tentative="1">
      <w:start w:val="1"/>
      <w:numFmt w:val="bullet"/>
      <w:lvlText w:val=""/>
      <w:lvlJc w:val="left"/>
      <w:pPr>
        <w:tabs>
          <w:tab w:val="num" w:pos="1440"/>
        </w:tabs>
        <w:ind w:left="1440" w:hanging="360"/>
      </w:pPr>
      <w:rPr>
        <w:rFonts w:ascii="Symbol" w:hAnsi="Symbol" w:hint="default"/>
      </w:rPr>
    </w:lvl>
    <w:lvl w:ilvl="2" w:tplc="186A1F96" w:tentative="1">
      <w:start w:val="1"/>
      <w:numFmt w:val="bullet"/>
      <w:lvlText w:val=""/>
      <w:lvlJc w:val="left"/>
      <w:pPr>
        <w:tabs>
          <w:tab w:val="num" w:pos="2160"/>
        </w:tabs>
        <w:ind w:left="2160" w:hanging="360"/>
      </w:pPr>
      <w:rPr>
        <w:rFonts w:ascii="Symbol" w:hAnsi="Symbol" w:hint="default"/>
      </w:rPr>
    </w:lvl>
    <w:lvl w:ilvl="3" w:tplc="44B2DFC6" w:tentative="1">
      <w:start w:val="1"/>
      <w:numFmt w:val="bullet"/>
      <w:lvlText w:val=""/>
      <w:lvlJc w:val="left"/>
      <w:pPr>
        <w:tabs>
          <w:tab w:val="num" w:pos="2880"/>
        </w:tabs>
        <w:ind w:left="2880" w:hanging="360"/>
      </w:pPr>
      <w:rPr>
        <w:rFonts w:ascii="Symbol" w:hAnsi="Symbol" w:hint="default"/>
      </w:rPr>
    </w:lvl>
    <w:lvl w:ilvl="4" w:tplc="47D8A980" w:tentative="1">
      <w:start w:val="1"/>
      <w:numFmt w:val="bullet"/>
      <w:lvlText w:val=""/>
      <w:lvlJc w:val="left"/>
      <w:pPr>
        <w:tabs>
          <w:tab w:val="num" w:pos="3600"/>
        </w:tabs>
        <w:ind w:left="3600" w:hanging="360"/>
      </w:pPr>
      <w:rPr>
        <w:rFonts w:ascii="Symbol" w:hAnsi="Symbol" w:hint="default"/>
      </w:rPr>
    </w:lvl>
    <w:lvl w:ilvl="5" w:tplc="24A08EC0" w:tentative="1">
      <w:start w:val="1"/>
      <w:numFmt w:val="bullet"/>
      <w:lvlText w:val=""/>
      <w:lvlJc w:val="left"/>
      <w:pPr>
        <w:tabs>
          <w:tab w:val="num" w:pos="4320"/>
        </w:tabs>
        <w:ind w:left="4320" w:hanging="360"/>
      </w:pPr>
      <w:rPr>
        <w:rFonts w:ascii="Symbol" w:hAnsi="Symbol" w:hint="default"/>
      </w:rPr>
    </w:lvl>
    <w:lvl w:ilvl="6" w:tplc="0428AA54" w:tentative="1">
      <w:start w:val="1"/>
      <w:numFmt w:val="bullet"/>
      <w:lvlText w:val=""/>
      <w:lvlJc w:val="left"/>
      <w:pPr>
        <w:tabs>
          <w:tab w:val="num" w:pos="5040"/>
        </w:tabs>
        <w:ind w:left="5040" w:hanging="360"/>
      </w:pPr>
      <w:rPr>
        <w:rFonts w:ascii="Symbol" w:hAnsi="Symbol" w:hint="default"/>
      </w:rPr>
    </w:lvl>
    <w:lvl w:ilvl="7" w:tplc="FAF2C970" w:tentative="1">
      <w:start w:val="1"/>
      <w:numFmt w:val="bullet"/>
      <w:lvlText w:val=""/>
      <w:lvlJc w:val="left"/>
      <w:pPr>
        <w:tabs>
          <w:tab w:val="num" w:pos="5760"/>
        </w:tabs>
        <w:ind w:left="5760" w:hanging="360"/>
      </w:pPr>
      <w:rPr>
        <w:rFonts w:ascii="Symbol" w:hAnsi="Symbol" w:hint="default"/>
      </w:rPr>
    </w:lvl>
    <w:lvl w:ilvl="8" w:tplc="4566AD8A" w:tentative="1">
      <w:start w:val="1"/>
      <w:numFmt w:val="bullet"/>
      <w:lvlText w:val=""/>
      <w:lvlJc w:val="left"/>
      <w:pPr>
        <w:tabs>
          <w:tab w:val="num" w:pos="6480"/>
        </w:tabs>
        <w:ind w:left="6480" w:hanging="360"/>
      </w:pPr>
      <w:rPr>
        <w:rFonts w:ascii="Symbol" w:hAnsi="Symbol" w:hint="default"/>
      </w:rPr>
    </w:lvl>
  </w:abstractNum>
  <w:abstractNum w:abstractNumId="15">
    <w:nsid w:val="387B7E15"/>
    <w:multiLevelType w:val="hybridMultilevel"/>
    <w:tmpl w:val="6A1AEC32"/>
    <w:lvl w:ilvl="0" w:tplc="0C0C0011">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6">
    <w:nsid w:val="3AD07580"/>
    <w:multiLevelType w:val="hybridMultilevel"/>
    <w:tmpl w:val="6840DFD8"/>
    <w:lvl w:ilvl="0" w:tplc="DB863748">
      <w:start w:val="1"/>
      <w:numFmt w:val="bullet"/>
      <w:lvlText w:val=""/>
      <w:lvlJc w:val="left"/>
      <w:pPr>
        <w:tabs>
          <w:tab w:val="num" w:pos="720"/>
        </w:tabs>
        <w:ind w:left="720" w:hanging="360"/>
      </w:pPr>
      <w:rPr>
        <w:rFonts w:ascii="Symbol" w:hAnsi="Symbol" w:hint="default"/>
        <w:color w:val="C4960C"/>
      </w:rPr>
    </w:lvl>
    <w:lvl w:ilvl="1" w:tplc="26D8A85A" w:tentative="1">
      <w:start w:val="1"/>
      <w:numFmt w:val="bullet"/>
      <w:lvlText w:val=""/>
      <w:lvlJc w:val="left"/>
      <w:pPr>
        <w:tabs>
          <w:tab w:val="num" w:pos="1440"/>
        </w:tabs>
        <w:ind w:left="1440" w:hanging="360"/>
      </w:pPr>
      <w:rPr>
        <w:rFonts w:ascii="Symbol" w:hAnsi="Symbol" w:hint="default"/>
      </w:rPr>
    </w:lvl>
    <w:lvl w:ilvl="2" w:tplc="344A80BC" w:tentative="1">
      <w:start w:val="1"/>
      <w:numFmt w:val="bullet"/>
      <w:lvlText w:val=""/>
      <w:lvlJc w:val="left"/>
      <w:pPr>
        <w:tabs>
          <w:tab w:val="num" w:pos="2160"/>
        </w:tabs>
        <w:ind w:left="2160" w:hanging="360"/>
      </w:pPr>
      <w:rPr>
        <w:rFonts w:ascii="Symbol" w:hAnsi="Symbol" w:hint="default"/>
      </w:rPr>
    </w:lvl>
    <w:lvl w:ilvl="3" w:tplc="419201C0" w:tentative="1">
      <w:start w:val="1"/>
      <w:numFmt w:val="bullet"/>
      <w:lvlText w:val=""/>
      <w:lvlJc w:val="left"/>
      <w:pPr>
        <w:tabs>
          <w:tab w:val="num" w:pos="2880"/>
        </w:tabs>
        <w:ind w:left="2880" w:hanging="360"/>
      </w:pPr>
      <w:rPr>
        <w:rFonts w:ascii="Symbol" w:hAnsi="Symbol" w:hint="default"/>
      </w:rPr>
    </w:lvl>
    <w:lvl w:ilvl="4" w:tplc="9F32D69C" w:tentative="1">
      <w:start w:val="1"/>
      <w:numFmt w:val="bullet"/>
      <w:lvlText w:val=""/>
      <w:lvlJc w:val="left"/>
      <w:pPr>
        <w:tabs>
          <w:tab w:val="num" w:pos="3600"/>
        </w:tabs>
        <w:ind w:left="3600" w:hanging="360"/>
      </w:pPr>
      <w:rPr>
        <w:rFonts w:ascii="Symbol" w:hAnsi="Symbol" w:hint="default"/>
      </w:rPr>
    </w:lvl>
    <w:lvl w:ilvl="5" w:tplc="C666BE10" w:tentative="1">
      <w:start w:val="1"/>
      <w:numFmt w:val="bullet"/>
      <w:lvlText w:val=""/>
      <w:lvlJc w:val="left"/>
      <w:pPr>
        <w:tabs>
          <w:tab w:val="num" w:pos="4320"/>
        </w:tabs>
        <w:ind w:left="4320" w:hanging="360"/>
      </w:pPr>
      <w:rPr>
        <w:rFonts w:ascii="Symbol" w:hAnsi="Symbol" w:hint="default"/>
      </w:rPr>
    </w:lvl>
    <w:lvl w:ilvl="6" w:tplc="0EA2CD3A" w:tentative="1">
      <w:start w:val="1"/>
      <w:numFmt w:val="bullet"/>
      <w:lvlText w:val=""/>
      <w:lvlJc w:val="left"/>
      <w:pPr>
        <w:tabs>
          <w:tab w:val="num" w:pos="5040"/>
        </w:tabs>
        <w:ind w:left="5040" w:hanging="360"/>
      </w:pPr>
      <w:rPr>
        <w:rFonts w:ascii="Symbol" w:hAnsi="Symbol" w:hint="default"/>
      </w:rPr>
    </w:lvl>
    <w:lvl w:ilvl="7" w:tplc="AB0C92F2" w:tentative="1">
      <w:start w:val="1"/>
      <w:numFmt w:val="bullet"/>
      <w:lvlText w:val=""/>
      <w:lvlJc w:val="left"/>
      <w:pPr>
        <w:tabs>
          <w:tab w:val="num" w:pos="5760"/>
        </w:tabs>
        <w:ind w:left="5760" w:hanging="360"/>
      </w:pPr>
      <w:rPr>
        <w:rFonts w:ascii="Symbol" w:hAnsi="Symbol" w:hint="default"/>
      </w:rPr>
    </w:lvl>
    <w:lvl w:ilvl="8" w:tplc="F6C22ACE" w:tentative="1">
      <w:start w:val="1"/>
      <w:numFmt w:val="bullet"/>
      <w:lvlText w:val=""/>
      <w:lvlJc w:val="left"/>
      <w:pPr>
        <w:tabs>
          <w:tab w:val="num" w:pos="6480"/>
        </w:tabs>
        <w:ind w:left="6480" w:hanging="360"/>
      </w:pPr>
      <w:rPr>
        <w:rFonts w:ascii="Symbol" w:hAnsi="Symbol" w:hint="default"/>
      </w:rPr>
    </w:lvl>
  </w:abstractNum>
  <w:abstractNum w:abstractNumId="17">
    <w:nsid w:val="435D12BB"/>
    <w:multiLevelType w:val="multilevel"/>
    <w:tmpl w:val="6BC49C8E"/>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18">
    <w:nsid w:val="452E263C"/>
    <w:multiLevelType w:val="hybridMultilevel"/>
    <w:tmpl w:val="0C10479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nsid w:val="467E1597"/>
    <w:multiLevelType w:val="hybridMultilevel"/>
    <w:tmpl w:val="84B6A140"/>
    <w:lvl w:ilvl="0" w:tplc="B0DC5482">
      <w:start w:val="1"/>
      <w:numFmt w:val="bullet"/>
      <w:lvlText w:val=""/>
      <w:lvlJc w:val="left"/>
      <w:pPr>
        <w:tabs>
          <w:tab w:val="num" w:pos="720"/>
        </w:tabs>
        <w:ind w:left="720" w:hanging="360"/>
      </w:pPr>
      <w:rPr>
        <w:rFonts w:ascii="Symbol" w:hAnsi="Symbol" w:hint="default"/>
        <w:color w:val="C4960C"/>
      </w:rPr>
    </w:lvl>
    <w:lvl w:ilvl="1" w:tplc="341C77DA" w:tentative="1">
      <w:start w:val="1"/>
      <w:numFmt w:val="bullet"/>
      <w:lvlText w:val=""/>
      <w:lvlJc w:val="left"/>
      <w:pPr>
        <w:tabs>
          <w:tab w:val="num" w:pos="1440"/>
        </w:tabs>
        <w:ind w:left="1440" w:hanging="360"/>
      </w:pPr>
      <w:rPr>
        <w:rFonts w:ascii="Symbol" w:hAnsi="Symbol" w:hint="default"/>
      </w:rPr>
    </w:lvl>
    <w:lvl w:ilvl="2" w:tplc="46F0BC06" w:tentative="1">
      <w:start w:val="1"/>
      <w:numFmt w:val="bullet"/>
      <w:lvlText w:val=""/>
      <w:lvlJc w:val="left"/>
      <w:pPr>
        <w:tabs>
          <w:tab w:val="num" w:pos="2160"/>
        </w:tabs>
        <w:ind w:left="2160" w:hanging="360"/>
      </w:pPr>
      <w:rPr>
        <w:rFonts w:ascii="Symbol" w:hAnsi="Symbol" w:hint="default"/>
      </w:rPr>
    </w:lvl>
    <w:lvl w:ilvl="3" w:tplc="ACDC0BD0" w:tentative="1">
      <w:start w:val="1"/>
      <w:numFmt w:val="bullet"/>
      <w:lvlText w:val=""/>
      <w:lvlJc w:val="left"/>
      <w:pPr>
        <w:tabs>
          <w:tab w:val="num" w:pos="2880"/>
        </w:tabs>
        <w:ind w:left="2880" w:hanging="360"/>
      </w:pPr>
      <w:rPr>
        <w:rFonts w:ascii="Symbol" w:hAnsi="Symbol" w:hint="default"/>
      </w:rPr>
    </w:lvl>
    <w:lvl w:ilvl="4" w:tplc="A3E0339A" w:tentative="1">
      <w:start w:val="1"/>
      <w:numFmt w:val="bullet"/>
      <w:lvlText w:val=""/>
      <w:lvlJc w:val="left"/>
      <w:pPr>
        <w:tabs>
          <w:tab w:val="num" w:pos="3600"/>
        </w:tabs>
        <w:ind w:left="3600" w:hanging="360"/>
      </w:pPr>
      <w:rPr>
        <w:rFonts w:ascii="Symbol" w:hAnsi="Symbol" w:hint="default"/>
      </w:rPr>
    </w:lvl>
    <w:lvl w:ilvl="5" w:tplc="05388228" w:tentative="1">
      <w:start w:val="1"/>
      <w:numFmt w:val="bullet"/>
      <w:lvlText w:val=""/>
      <w:lvlJc w:val="left"/>
      <w:pPr>
        <w:tabs>
          <w:tab w:val="num" w:pos="4320"/>
        </w:tabs>
        <w:ind w:left="4320" w:hanging="360"/>
      </w:pPr>
      <w:rPr>
        <w:rFonts w:ascii="Symbol" w:hAnsi="Symbol" w:hint="default"/>
      </w:rPr>
    </w:lvl>
    <w:lvl w:ilvl="6" w:tplc="A0E4EB78" w:tentative="1">
      <w:start w:val="1"/>
      <w:numFmt w:val="bullet"/>
      <w:lvlText w:val=""/>
      <w:lvlJc w:val="left"/>
      <w:pPr>
        <w:tabs>
          <w:tab w:val="num" w:pos="5040"/>
        </w:tabs>
        <w:ind w:left="5040" w:hanging="360"/>
      </w:pPr>
      <w:rPr>
        <w:rFonts w:ascii="Symbol" w:hAnsi="Symbol" w:hint="default"/>
      </w:rPr>
    </w:lvl>
    <w:lvl w:ilvl="7" w:tplc="0218A88E" w:tentative="1">
      <w:start w:val="1"/>
      <w:numFmt w:val="bullet"/>
      <w:lvlText w:val=""/>
      <w:lvlJc w:val="left"/>
      <w:pPr>
        <w:tabs>
          <w:tab w:val="num" w:pos="5760"/>
        </w:tabs>
        <w:ind w:left="5760" w:hanging="360"/>
      </w:pPr>
      <w:rPr>
        <w:rFonts w:ascii="Symbol" w:hAnsi="Symbol" w:hint="default"/>
      </w:rPr>
    </w:lvl>
    <w:lvl w:ilvl="8" w:tplc="F51018C4" w:tentative="1">
      <w:start w:val="1"/>
      <w:numFmt w:val="bullet"/>
      <w:lvlText w:val=""/>
      <w:lvlJc w:val="left"/>
      <w:pPr>
        <w:tabs>
          <w:tab w:val="num" w:pos="6480"/>
        </w:tabs>
        <w:ind w:left="6480" w:hanging="360"/>
      </w:pPr>
      <w:rPr>
        <w:rFonts w:ascii="Symbol" w:hAnsi="Symbol" w:hint="default"/>
      </w:rPr>
    </w:lvl>
  </w:abstractNum>
  <w:abstractNum w:abstractNumId="20">
    <w:nsid w:val="49F33CB9"/>
    <w:multiLevelType w:val="hybridMultilevel"/>
    <w:tmpl w:val="F71EEDDC"/>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nsid w:val="4A7704A1"/>
    <w:multiLevelType w:val="hybridMultilevel"/>
    <w:tmpl w:val="8E560B1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2">
    <w:nsid w:val="4AE86874"/>
    <w:multiLevelType w:val="hybridMultilevel"/>
    <w:tmpl w:val="0B503B18"/>
    <w:lvl w:ilvl="0" w:tplc="9C027646">
      <w:start w:val="1"/>
      <w:numFmt w:val="bullet"/>
      <w:lvlText w:val="•"/>
      <w:lvlJc w:val="left"/>
      <w:pPr>
        <w:tabs>
          <w:tab w:val="num" w:pos="720"/>
        </w:tabs>
        <w:ind w:left="720" w:hanging="360"/>
      </w:pPr>
      <w:rPr>
        <w:rFonts w:ascii="Arial" w:hAnsi="Arial" w:hint="default"/>
        <w:color w:val="C4960C"/>
      </w:rPr>
    </w:lvl>
    <w:lvl w:ilvl="1" w:tplc="16BA5EDE" w:tentative="1">
      <w:start w:val="1"/>
      <w:numFmt w:val="bullet"/>
      <w:lvlText w:val="•"/>
      <w:lvlJc w:val="left"/>
      <w:pPr>
        <w:tabs>
          <w:tab w:val="num" w:pos="1440"/>
        </w:tabs>
        <w:ind w:left="1440" w:hanging="360"/>
      </w:pPr>
      <w:rPr>
        <w:rFonts w:ascii="Arial" w:hAnsi="Arial" w:hint="default"/>
      </w:rPr>
    </w:lvl>
    <w:lvl w:ilvl="2" w:tplc="F08A6006" w:tentative="1">
      <w:start w:val="1"/>
      <w:numFmt w:val="bullet"/>
      <w:lvlText w:val="•"/>
      <w:lvlJc w:val="left"/>
      <w:pPr>
        <w:tabs>
          <w:tab w:val="num" w:pos="2160"/>
        </w:tabs>
        <w:ind w:left="2160" w:hanging="360"/>
      </w:pPr>
      <w:rPr>
        <w:rFonts w:ascii="Arial" w:hAnsi="Arial" w:hint="default"/>
      </w:rPr>
    </w:lvl>
    <w:lvl w:ilvl="3" w:tplc="615EDC64" w:tentative="1">
      <w:start w:val="1"/>
      <w:numFmt w:val="bullet"/>
      <w:lvlText w:val="•"/>
      <w:lvlJc w:val="left"/>
      <w:pPr>
        <w:tabs>
          <w:tab w:val="num" w:pos="2880"/>
        </w:tabs>
        <w:ind w:left="2880" w:hanging="360"/>
      </w:pPr>
      <w:rPr>
        <w:rFonts w:ascii="Arial" w:hAnsi="Arial" w:hint="default"/>
      </w:rPr>
    </w:lvl>
    <w:lvl w:ilvl="4" w:tplc="98569A7A" w:tentative="1">
      <w:start w:val="1"/>
      <w:numFmt w:val="bullet"/>
      <w:lvlText w:val="•"/>
      <w:lvlJc w:val="left"/>
      <w:pPr>
        <w:tabs>
          <w:tab w:val="num" w:pos="3600"/>
        </w:tabs>
        <w:ind w:left="3600" w:hanging="360"/>
      </w:pPr>
      <w:rPr>
        <w:rFonts w:ascii="Arial" w:hAnsi="Arial" w:hint="default"/>
      </w:rPr>
    </w:lvl>
    <w:lvl w:ilvl="5" w:tplc="ACCC8E0C" w:tentative="1">
      <w:start w:val="1"/>
      <w:numFmt w:val="bullet"/>
      <w:lvlText w:val="•"/>
      <w:lvlJc w:val="left"/>
      <w:pPr>
        <w:tabs>
          <w:tab w:val="num" w:pos="4320"/>
        </w:tabs>
        <w:ind w:left="4320" w:hanging="360"/>
      </w:pPr>
      <w:rPr>
        <w:rFonts w:ascii="Arial" w:hAnsi="Arial" w:hint="default"/>
      </w:rPr>
    </w:lvl>
    <w:lvl w:ilvl="6" w:tplc="D884D906" w:tentative="1">
      <w:start w:val="1"/>
      <w:numFmt w:val="bullet"/>
      <w:lvlText w:val="•"/>
      <w:lvlJc w:val="left"/>
      <w:pPr>
        <w:tabs>
          <w:tab w:val="num" w:pos="5040"/>
        </w:tabs>
        <w:ind w:left="5040" w:hanging="360"/>
      </w:pPr>
      <w:rPr>
        <w:rFonts w:ascii="Arial" w:hAnsi="Arial" w:hint="default"/>
      </w:rPr>
    </w:lvl>
    <w:lvl w:ilvl="7" w:tplc="43D00CE4" w:tentative="1">
      <w:start w:val="1"/>
      <w:numFmt w:val="bullet"/>
      <w:lvlText w:val="•"/>
      <w:lvlJc w:val="left"/>
      <w:pPr>
        <w:tabs>
          <w:tab w:val="num" w:pos="5760"/>
        </w:tabs>
        <w:ind w:left="5760" w:hanging="360"/>
      </w:pPr>
      <w:rPr>
        <w:rFonts w:ascii="Arial" w:hAnsi="Arial" w:hint="default"/>
      </w:rPr>
    </w:lvl>
    <w:lvl w:ilvl="8" w:tplc="C110F762" w:tentative="1">
      <w:start w:val="1"/>
      <w:numFmt w:val="bullet"/>
      <w:lvlText w:val="•"/>
      <w:lvlJc w:val="left"/>
      <w:pPr>
        <w:tabs>
          <w:tab w:val="num" w:pos="6480"/>
        </w:tabs>
        <w:ind w:left="6480" w:hanging="360"/>
      </w:pPr>
      <w:rPr>
        <w:rFonts w:ascii="Arial" w:hAnsi="Arial" w:hint="default"/>
      </w:rPr>
    </w:lvl>
  </w:abstractNum>
  <w:abstractNum w:abstractNumId="23">
    <w:nsid w:val="4CF101AB"/>
    <w:multiLevelType w:val="multilevel"/>
    <w:tmpl w:val="41085DCA"/>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1520BF4"/>
    <w:multiLevelType w:val="hybridMultilevel"/>
    <w:tmpl w:val="8104F02A"/>
    <w:lvl w:ilvl="0" w:tplc="3C80848C">
      <w:start w:val="1"/>
      <w:numFmt w:val="bullet"/>
      <w:lvlText w:val=""/>
      <w:lvlJc w:val="left"/>
      <w:pPr>
        <w:tabs>
          <w:tab w:val="num" w:pos="720"/>
        </w:tabs>
        <w:ind w:left="720" w:hanging="360"/>
      </w:pPr>
      <w:rPr>
        <w:rFonts w:ascii="Symbol" w:hAnsi="Symbol" w:hint="default"/>
        <w:color w:val="C4960C"/>
      </w:rPr>
    </w:lvl>
    <w:lvl w:ilvl="1" w:tplc="B350A29C" w:tentative="1">
      <w:start w:val="1"/>
      <w:numFmt w:val="bullet"/>
      <w:lvlText w:val=""/>
      <w:lvlJc w:val="left"/>
      <w:pPr>
        <w:tabs>
          <w:tab w:val="num" w:pos="1440"/>
        </w:tabs>
        <w:ind w:left="1440" w:hanging="360"/>
      </w:pPr>
      <w:rPr>
        <w:rFonts w:ascii="Symbol" w:hAnsi="Symbol" w:hint="default"/>
      </w:rPr>
    </w:lvl>
    <w:lvl w:ilvl="2" w:tplc="C0C0FD9E" w:tentative="1">
      <w:start w:val="1"/>
      <w:numFmt w:val="bullet"/>
      <w:lvlText w:val=""/>
      <w:lvlJc w:val="left"/>
      <w:pPr>
        <w:tabs>
          <w:tab w:val="num" w:pos="2160"/>
        </w:tabs>
        <w:ind w:left="2160" w:hanging="360"/>
      </w:pPr>
      <w:rPr>
        <w:rFonts w:ascii="Symbol" w:hAnsi="Symbol" w:hint="default"/>
      </w:rPr>
    </w:lvl>
    <w:lvl w:ilvl="3" w:tplc="225EE992" w:tentative="1">
      <w:start w:val="1"/>
      <w:numFmt w:val="bullet"/>
      <w:lvlText w:val=""/>
      <w:lvlJc w:val="left"/>
      <w:pPr>
        <w:tabs>
          <w:tab w:val="num" w:pos="2880"/>
        </w:tabs>
        <w:ind w:left="2880" w:hanging="360"/>
      </w:pPr>
      <w:rPr>
        <w:rFonts w:ascii="Symbol" w:hAnsi="Symbol" w:hint="default"/>
      </w:rPr>
    </w:lvl>
    <w:lvl w:ilvl="4" w:tplc="2A2AE8A6" w:tentative="1">
      <w:start w:val="1"/>
      <w:numFmt w:val="bullet"/>
      <w:lvlText w:val=""/>
      <w:lvlJc w:val="left"/>
      <w:pPr>
        <w:tabs>
          <w:tab w:val="num" w:pos="3600"/>
        </w:tabs>
        <w:ind w:left="3600" w:hanging="360"/>
      </w:pPr>
      <w:rPr>
        <w:rFonts w:ascii="Symbol" w:hAnsi="Symbol" w:hint="default"/>
      </w:rPr>
    </w:lvl>
    <w:lvl w:ilvl="5" w:tplc="CE2CEAE2" w:tentative="1">
      <w:start w:val="1"/>
      <w:numFmt w:val="bullet"/>
      <w:lvlText w:val=""/>
      <w:lvlJc w:val="left"/>
      <w:pPr>
        <w:tabs>
          <w:tab w:val="num" w:pos="4320"/>
        </w:tabs>
        <w:ind w:left="4320" w:hanging="360"/>
      </w:pPr>
      <w:rPr>
        <w:rFonts w:ascii="Symbol" w:hAnsi="Symbol" w:hint="default"/>
      </w:rPr>
    </w:lvl>
    <w:lvl w:ilvl="6" w:tplc="8DA0D8FA" w:tentative="1">
      <w:start w:val="1"/>
      <w:numFmt w:val="bullet"/>
      <w:lvlText w:val=""/>
      <w:lvlJc w:val="left"/>
      <w:pPr>
        <w:tabs>
          <w:tab w:val="num" w:pos="5040"/>
        </w:tabs>
        <w:ind w:left="5040" w:hanging="360"/>
      </w:pPr>
      <w:rPr>
        <w:rFonts w:ascii="Symbol" w:hAnsi="Symbol" w:hint="default"/>
      </w:rPr>
    </w:lvl>
    <w:lvl w:ilvl="7" w:tplc="A4469CC2" w:tentative="1">
      <w:start w:val="1"/>
      <w:numFmt w:val="bullet"/>
      <w:lvlText w:val=""/>
      <w:lvlJc w:val="left"/>
      <w:pPr>
        <w:tabs>
          <w:tab w:val="num" w:pos="5760"/>
        </w:tabs>
        <w:ind w:left="5760" w:hanging="360"/>
      </w:pPr>
      <w:rPr>
        <w:rFonts w:ascii="Symbol" w:hAnsi="Symbol" w:hint="default"/>
      </w:rPr>
    </w:lvl>
    <w:lvl w:ilvl="8" w:tplc="3770317A" w:tentative="1">
      <w:start w:val="1"/>
      <w:numFmt w:val="bullet"/>
      <w:lvlText w:val=""/>
      <w:lvlJc w:val="left"/>
      <w:pPr>
        <w:tabs>
          <w:tab w:val="num" w:pos="6480"/>
        </w:tabs>
        <w:ind w:left="6480" w:hanging="360"/>
      </w:pPr>
      <w:rPr>
        <w:rFonts w:ascii="Symbol" w:hAnsi="Symbol" w:hint="default"/>
      </w:rPr>
    </w:lvl>
  </w:abstractNum>
  <w:abstractNum w:abstractNumId="25">
    <w:nsid w:val="5B1E60E4"/>
    <w:multiLevelType w:val="hybridMultilevel"/>
    <w:tmpl w:val="95B23F6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nsid w:val="657A3902"/>
    <w:multiLevelType w:val="hybridMultilevel"/>
    <w:tmpl w:val="93406C32"/>
    <w:lvl w:ilvl="0" w:tplc="B536810E">
      <w:start w:val="21"/>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nsid w:val="67E4567A"/>
    <w:multiLevelType w:val="hybridMultilevel"/>
    <w:tmpl w:val="48A2C210"/>
    <w:lvl w:ilvl="0" w:tplc="7AB0379E">
      <w:start w:val="1"/>
      <w:numFmt w:val="bullet"/>
      <w:lvlText w:val="•"/>
      <w:lvlJc w:val="left"/>
      <w:pPr>
        <w:tabs>
          <w:tab w:val="num" w:pos="720"/>
        </w:tabs>
        <w:ind w:left="720" w:hanging="360"/>
      </w:pPr>
      <w:rPr>
        <w:rFonts w:ascii="Arial" w:hAnsi="Arial" w:hint="default"/>
        <w:color w:val="C4960C"/>
      </w:rPr>
    </w:lvl>
    <w:lvl w:ilvl="1" w:tplc="370063E0" w:tentative="1">
      <w:start w:val="1"/>
      <w:numFmt w:val="bullet"/>
      <w:lvlText w:val="•"/>
      <w:lvlJc w:val="left"/>
      <w:pPr>
        <w:tabs>
          <w:tab w:val="num" w:pos="1440"/>
        </w:tabs>
        <w:ind w:left="1440" w:hanging="360"/>
      </w:pPr>
      <w:rPr>
        <w:rFonts w:ascii="Arial" w:hAnsi="Arial" w:hint="default"/>
      </w:rPr>
    </w:lvl>
    <w:lvl w:ilvl="2" w:tplc="F926AD68" w:tentative="1">
      <w:start w:val="1"/>
      <w:numFmt w:val="bullet"/>
      <w:lvlText w:val="•"/>
      <w:lvlJc w:val="left"/>
      <w:pPr>
        <w:tabs>
          <w:tab w:val="num" w:pos="2160"/>
        </w:tabs>
        <w:ind w:left="2160" w:hanging="360"/>
      </w:pPr>
      <w:rPr>
        <w:rFonts w:ascii="Arial" w:hAnsi="Arial" w:hint="default"/>
      </w:rPr>
    </w:lvl>
    <w:lvl w:ilvl="3" w:tplc="011AA918" w:tentative="1">
      <w:start w:val="1"/>
      <w:numFmt w:val="bullet"/>
      <w:lvlText w:val="•"/>
      <w:lvlJc w:val="left"/>
      <w:pPr>
        <w:tabs>
          <w:tab w:val="num" w:pos="2880"/>
        </w:tabs>
        <w:ind w:left="2880" w:hanging="360"/>
      </w:pPr>
      <w:rPr>
        <w:rFonts w:ascii="Arial" w:hAnsi="Arial" w:hint="default"/>
      </w:rPr>
    </w:lvl>
    <w:lvl w:ilvl="4" w:tplc="89E48344" w:tentative="1">
      <w:start w:val="1"/>
      <w:numFmt w:val="bullet"/>
      <w:lvlText w:val="•"/>
      <w:lvlJc w:val="left"/>
      <w:pPr>
        <w:tabs>
          <w:tab w:val="num" w:pos="3600"/>
        </w:tabs>
        <w:ind w:left="3600" w:hanging="360"/>
      </w:pPr>
      <w:rPr>
        <w:rFonts w:ascii="Arial" w:hAnsi="Arial" w:hint="default"/>
      </w:rPr>
    </w:lvl>
    <w:lvl w:ilvl="5" w:tplc="5F0CA8B0" w:tentative="1">
      <w:start w:val="1"/>
      <w:numFmt w:val="bullet"/>
      <w:lvlText w:val="•"/>
      <w:lvlJc w:val="left"/>
      <w:pPr>
        <w:tabs>
          <w:tab w:val="num" w:pos="4320"/>
        </w:tabs>
        <w:ind w:left="4320" w:hanging="360"/>
      </w:pPr>
      <w:rPr>
        <w:rFonts w:ascii="Arial" w:hAnsi="Arial" w:hint="default"/>
      </w:rPr>
    </w:lvl>
    <w:lvl w:ilvl="6" w:tplc="0FB4DF52" w:tentative="1">
      <w:start w:val="1"/>
      <w:numFmt w:val="bullet"/>
      <w:lvlText w:val="•"/>
      <w:lvlJc w:val="left"/>
      <w:pPr>
        <w:tabs>
          <w:tab w:val="num" w:pos="5040"/>
        </w:tabs>
        <w:ind w:left="5040" w:hanging="360"/>
      </w:pPr>
      <w:rPr>
        <w:rFonts w:ascii="Arial" w:hAnsi="Arial" w:hint="default"/>
      </w:rPr>
    </w:lvl>
    <w:lvl w:ilvl="7" w:tplc="FEACA0D8" w:tentative="1">
      <w:start w:val="1"/>
      <w:numFmt w:val="bullet"/>
      <w:lvlText w:val="•"/>
      <w:lvlJc w:val="left"/>
      <w:pPr>
        <w:tabs>
          <w:tab w:val="num" w:pos="5760"/>
        </w:tabs>
        <w:ind w:left="5760" w:hanging="360"/>
      </w:pPr>
      <w:rPr>
        <w:rFonts w:ascii="Arial" w:hAnsi="Arial" w:hint="default"/>
      </w:rPr>
    </w:lvl>
    <w:lvl w:ilvl="8" w:tplc="23ACD86E" w:tentative="1">
      <w:start w:val="1"/>
      <w:numFmt w:val="bullet"/>
      <w:lvlText w:val="•"/>
      <w:lvlJc w:val="left"/>
      <w:pPr>
        <w:tabs>
          <w:tab w:val="num" w:pos="6480"/>
        </w:tabs>
        <w:ind w:left="6480" w:hanging="360"/>
      </w:pPr>
      <w:rPr>
        <w:rFonts w:ascii="Arial" w:hAnsi="Arial" w:hint="default"/>
      </w:rPr>
    </w:lvl>
  </w:abstractNum>
  <w:abstractNum w:abstractNumId="28">
    <w:nsid w:val="692A454B"/>
    <w:multiLevelType w:val="hybridMultilevel"/>
    <w:tmpl w:val="43F0C88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9">
    <w:nsid w:val="6D6B66EF"/>
    <w:multiLevelType w:val="hybridMultilevel"/>
    <w:tmpl w:val="4CFA6D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nsid w:val="6DB45C1D"/>
    <w:multiLevelType w:val="hybridMultilevel"/>
    <w:tmpl w:val="6D6A1D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nsid w:val="6F502F11"/>
    <w:multiLevelType w:val="hybridMultilevel"/>
    <w:tmpl w:val="AFE4360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2">
    <w:nsid w:val="6F684B62"/>
    <w:multiLevelType w:val="hybridMultilevel"/>
    <w:tmpl w:val="8226604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3">
    <w:nsid w:val="70B23AA5"/>
    <w:multiLevelType w:val="hybridMultilevel"/>
    <w:tmpl w:val="21EEF0F8"/>
    <w:lvl w:ilvl="0" w:tplc="55565EB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nsid w:val="71C67B5D"/>
    <w:multiLevelType w:val="hybridMultilevel"/>
    <w:tmpl w:val="EE5E3982"/>
    <w:lvl w:ilvl="0" w:tplc="0C0C0011">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5">
    <w:nsid w:val="7BC462C2"/>
    <w:multiLevelType w:val="hybridMultilevel"/>
    <w:tmpl w:val="FEC4321A"/>
    <w:lvl w:ilvl="0" w:tplc="6CDC9D7A">
      <w:start w:val="1"/>
      <w:numFmt w:val="bullet"/>
      <w:lvlText w:val=""/>
      <w:lvlJc w:val="left"/>
      <w:pPr>
        <w:tabs>
          <w:tab w:val="num" w:pos="720"/>
        </w:tabs>
        <w:ind w:left="720" w:hanging="360"/>
      </w:pPr>
      <w:rPr>
        <w:rFonts w:ascii="Symbol" w:hAnsi="Symbol" w:hint="default"/>
        <w:color w:val="C4960C"/>
      </w:rPr>
    </w:lvl>
    <w:lvl w:ilvl="1" w:tplc="3326A828" w:tentative="1">
      <w:start w:val="1"/>
      <w:numFmt w:val="bullet"/>
      <w:lvlText w:val=""/>
      <w:lvlJc w:val="left"/>
      <w:pPr>
        <w:tabs>
          <w:tab w:val="num" w:pos="1440"/>
        </w:tabs>
        <w:ind w:left="1440" w:hanging="360"/>
      </w:pPr>
      <w:rPr>
        <w:rFonts w:ascii="Symbol" w:hAnsi="Symbol" w:hint="default"/>
      </w:rPr>
    </w:lvl>
    <w:lvl w:ilvl="2" w:tplc="94F4ED1C" w:tentative="1">
      <w:start w:val="1"/>
      <w:numFmt w:val="bullet"/>
      <w:lvlText w:val=""/>
      <w:lvlJc w:val="left"/>
      <w:pPr>
        <w:tabs>
          <w:tab w:val="num" w:pos="2160"/>
        </w:tabs>
        <w:ind w:left="2160" w:hanging="360"/>
      </w:pPr>
      <w:rPr>
        <w:rFonts w:ascii="Symbol" w:hAnsi="Symbol" w:hint="default"/>
      </w:rPr>
    </w:lvl>
    <w:lvl w:ilvl="3" w:tplc="EC82EF3C" w:tentative="1">
      <w:start w:val="1"/>
      <w:numFmt w:val="bullet"/>
      <w:lvlText w:val=""/>
      <w:lvlJc w:val="left"/>
      <w:pPr>
        <w:tabs>
          <w:tab w:val="num" w:pos="2880"/>
        </w:tabs>
        <w:ind w:left="2880" w:hanging="360"/>
      </w:pPr>
      <w:rPr>
        <w:rFonts w:ascii="Symbol" w:hAnsi="Symbol" w:hint="default"/>
      </w:rPr>
    </w:lvl>
    <w:lvl w:ilvl="4" w:tplc="91525EB0" w:tentative="1">
      <w:start w:val="1"/>
      <w:numFmt w:val="bullet"/>
      <w:lvlText w:val=""/>
      <w:lvlJc w:val="left"/>
      <w:pPr>
        <w:tabs>
          <w:tab w:val="num" w:pos="3600"/>
        </w:tabs>
        <w:ind w:left="3600" w:hanging="360"/>
      </w:pPr>
      <w:rPr>
        <w:rFonts w:ascii="Symbol" w:hAnsi="Symbol" w:hint="default"/>
      </w:rPr>
    </w:lvl>
    <w:lvl w:ilvl="5" w:tplc="FA02D920" w:tentative="1">
      <w:start w:val="1"/>
      <w:numFmt w:val="bullet"/>
      <w:lvlText w:val=""/>
      <w:lvlJc w:val="left"/>
      <w:pPr>
        <w:tabs>
          <w:tab w:val="num" w:pos="4320"/>
        </w:tabs>
        <w:ind w:left="4320" w:hanging="360"/>
      </w:pPr>
      <w:rPr>
        <w:rFonts w:ascii="Symbol" w:hAnsi="Symbol" w:hint="default"/>
      </w:rPr>
    </w:lvl>
    <w:lvl w:ilvl="6" w:tplc="569AAD02" w:tentative="1">
      <w:start w:val="1"/>
      <w:numFmt w:val="bullet"/>
      <w:lvlText w:val=""/>
      <w:lvlJc w:val="left"/>
      <w:pPr>
        <w:tabs>
          <w:tab w:val="num" w:pos="5040"/>
        </w:tabs>
        <w:ind w:left="5040" w:hanging="360"/>
      </w:pPr>
      <w:rPr>
        <w:rFonts w:ascii="Symbol" w:hAnsi="Symbol" w:hint="default"/>
      </w:rPr>
    </w:lvl>
    <w:lvl w:ilvl="7" w:tplc="A3F69B80" w:tentative="1">
      <w:start w:val="1"/>
      <w:numFmt w:val="bullet"/>
      <w:lvlText w:val=""/>
      <w:lvlJc w:val="left"/>
      <w:pPr>
        <w:tabs>
          <w:tab w:val="num" w:pos="5760"/>
        </w:tabs>
        <w:ind w:left="5760" w:hanging="360"/>
      </w:pPr>
      <w:rPr>
        <w:rFonts w:ascii="Symbol" w:hAnsi="Symbol" w:hint="default"/>
      </w:rPr>
    </w:lvl>
    <w:lvl w:ilvl="8" w:tplc="042C5754" w:tentative="1">
      <w:start w:val="1"/>
      <w:numFmt w:val="bullet"/>
      <w:lvlText w:val=""/>
      <w:lvlJc w:val="left"/>
      <w:pPr>
        <w:tabs>
          <w:tab w:val="num" w:pos="6480"/>
        </w:tabs>
        <w:ind w:left="6480" w:hanging="360"/>
      </w:pPr>
      <w:rPr>
        <w:rFonts w:ascii="Symbol" w:hAnsi="Symbol" w:hint="default"/>
      </w:rPr>
    </w:lvl>
  </w:abstractNum>
  <w:num w:numId="1">
    <w:abstractNumId w:val="6"/>
  </w:num>
  <w:num w:numId="2">
    <w:abstractNumId w:val="7"/>
  </w:num>
  <w:num w:numId="3">
    <w:abstractNumId w:val="12"/>
  </w:num>
  <w:num w:numId="4">
    <w:abstractNumId w:val="18"/>
  </w:num>
  <w:num w:numId="5">
    <w:abstractNumId w:val="33"/>
  </w:num>
  <w:num w:numId="6">
    <w:abstractNumId w:val="20"/>
  </w:num>
  <w:num w:numId="7">
    <w:abstractNumId w:val="17"/>
  </w:num>
  <w:num w:numId="8">
    <w:abstractNumId w:val="21"/>
  </w:num>
  <w:num w:numId="9">
    <w:abstractNumId w:val="9"/>
  </w:num>
  <w:num w:numId="10">
    <w:abstractNumId w:val="29"/>
  </w:num>
  <w:num w:numId="11">
    <w:abstractNumId w:val="30"/>
  </w:num>
  <w:num w:numId="12">
    <w:abstractNumId w:val="28"/>
  </w:num>
  <w:num w:numId="13">
    <w:abstractNumId w:val="25"/>
  </w:num>
  <w:num w:numId="14">
    <w:abstractNumId w:val="11"/>
  </w:num>
  <w:num w:numId="15">
    <w:abstractNumId w:val="31"/>
  </w:num>
  <w:num w:numId="16">
    <w:abstractNumId w:val="2"/>
  </w:num>
  <w:num w:numId="17">
    <w:abstractNumId w:val="32"/>
  </w:num>
  <w:num w:numId="18">
    <w:abstractNumId w:val="15"/>
  </w:num>
  <w:num w:numId="19">
    <w:abstractNumId w:val="34"/>
  </w:num>
  <w:num w:numId="20">
    <w:abstractNumId w:val="8"/>
  </w:num>
  <w:num w:numId="21">
    <w:abstractNumId w:val="4"/>
  </w:num>
  <w:num w:numId="22">
    <w:abstractNumId w:val="23"/>
  </w:num>
  <w:num w:numId="23">
    <w:abstractNumId w:val="26"/>
  </w:num>
  <w:num w:numId="24">
    <w:abstractNumId w:val="0"/>
  </w:num>
  <w:num w:numId="25">
    <w:abstractNumId w:val="27"/>
  </w:num>
  <w:num w:numId="26">
    <w:abstractNumId w:val="22"/>
  </w:num>
  <w:num w:numId="27">
    <w:abstractNumId w:val="1"/>
  </w:num>
  <w:num w:numId="28">
    <w:abstractNumId w:val="35"/>
  </w:num>
  <w:num w:numId="29">
    <w:abstractNumId w:val="16"/>
  </w:num>
  <w:num w:numId="30">
    <w:abstractNumId w:val="13"/>
  </w:num>
  <w:num w:numId="31">
    <w:abstractNumId w:val="19"/>
  </w:num>
  <w:num w:numId="32">
    <w:abstractNumId w:val="14"/>
  </w:num>
  <w:num w:numId="33">
    <w:abstractNumId w:val="24"/>
  </w:num>
  <w:num w:numId="34">
    <w:abstractNumId w:val="3"/>
  </w:num>
  <w:num w:numId="35">
    <w:abstractNumId w:val="5"/>
  </w:num>
  <w:num w:numId="36">
    <w:abstractNumId w:val="10"/>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6146"/>
  </w:hdrShapeDefaults>
  <w:footnotePr>
    <w:footnote w:id="-1"/>
    <w:footnote w:id="0"/>
  </w:footnotePr>
  <w:endnotePr>
    <w:endnote w:id="-1"/>
    <w:endnote w:id="0"/>
  </w:endnotePr>
  <w:compat/>
  <w:rsids>
    <w:rsidRoot w:val="00F77C59"/>
    <w:rsid w:val="000130A5"/>
    <w:rsid w:val="00022797"/>
    <w:rsid w:val="0002490B"/>
    <w:rsid w:val="0003266F"/>
    <w:rsid w:val="000404CA"/>
    <w:rsid w:val="00041300"/>
    <w:rsid w:val="00050924"/>
    <w:rsid w:val="0005275B"/>
    <w:rsid w:val="000640A4"/>
    <w:rsid w:val="000676A9"/>
    <w:rsid w:val="00074250"/>
    <w:rsid w:val="00075543"/>
    <w:rsid w:val="00077152"/>
    <w:rsid w:val="00092F08"/>
    <w:rsid w:val="000A48B6"/>
    <w:rsid w:val="000A718B"/>
    <w:rsid w:val="000A798B"/>
    <w:rsid w:val="000B0A7E"/>
    <w:rsid w:val="000B3F0C"/>
    <w:rsid w:val="000B78F5"/>
    <w:rsid w:val="000C4148"/>
    <w:rsid w:val="000C478B"/>
    <w:rsid w:val="000D0609"/>
    <w:rsid w:val="000E06B5"/>
    <w:rsid w:val="000E34FE"/>
    <w:rsid w:val="000F235D"/>
    <w:rsid w:val="000F7EDB"/>
    <w:rsid w:val="00111742"/>
    <w:rsid w:val="001212D6"/>
    <w:rsid w:val="00123FFA"/>
    <w:rsid w:val="00133348"/>
    <w:rsid w:val="00140BC0"/>
    <w:rsid w:val="00142EC8"/>
    <w:rsid w:val="001434B6"/>
    <w:rsid w:val="001441E6"/>
    <w:rsid w:val="00154773"/>
    <w:rsid w:val="00163610"/>
    <w:rsid w:val="001756D5"/>
    <w:rsid w:val="0017637B"/>
    <w:rsid w:val="001A1E40"/>
    <w:rsid w:val="001A5F5A"/>
    <w:rsid w:val="001A6C04"/>
    <w:rsid w:val="001B2EF4"/>
    <w:rsid w:val="001B3201"/>
    <w:rsid w:val="001C3661"/>
    <w:rsid w:val="001D1D47"/>
    <w:rsid w:val="001D2425"/>
    <w:rsid w:val="001E353F"/>
    <w:rsid w:val="001E7700"/>
    <w:rsid w:val="002005F8"/>
    <w:rsid w:val="0020507B"/>
    <w:rsid w:val="0021317E"/>
    <w:rsid w:val="00213C61"/>
    <w:rsid w:val="00225488"/>
    <w:rsid w:val="00230672"/>
    <w:rsid w:val="00235611"/>
    <w:rsid w:val="002579E1"/>
    <w:rsid w:val="0026295A"/>
    <w:rsid w:val="00277C37"/>
    <w:rsid w:val="002841FC"/>
    <w:rsid w:val="00286515"/>
    <w:rsid w:val="00290527"/>
    <w:rsid w:val="002A7945"/>
    <w:rsid w:val="002C1DCC"/>
    <w:rsid w:val="002E5740"/>
    <w:rsid w:val="002F44EC"/>
    <w:rsid w:val="002F4784"/>
    <w:rsid w:val="003053EE"/>
    <w:rsid w:val="00305B4B"/>
    <w:rsid w:val="00307A60"/>
    <w:rsid w:val="0033401B"/>
    <w:rsid w:val="00335617"/>
    <w:rsid w:val="00342B74"/>
    <w:rsid w:val="00346249"/>
    <w:rsid w:val="0035125C"/>
    <w:rsid w:val="003520A0"/>
    <w:rsid w:val="00363EA5"/>
    <w:rsid w:val="00372433"/>
    <w:rsid w:val="0038008E"/>
    <w:rsid w:val="003856FB"/>
    <w:rsid w:val="00393B78"/>
    <w:rsid w:val="0039694D"/>
    <w:rsid w:val="003A4200"/>
    <w:rsid w:val="003C1ED4"/>
    <w:rsid w:val="003C1FB4"/>
    <w:rsid w:val="00400914"/>
    <w:rsid w:val="00411AB4"/>
    <w:rsid w:val="004274B3"/>
    <w:rsid w:val="00441F0A"/>
    <w:rsid w:val="00442D5C"/>
    <w:rsid w:val="00443D9F"/>
    <w:rsid w:val="004443E2"/>
    <w:rsid w:val="0044593C"/>
    <w:rsid w:val="00457875"/>
    <w:rsid w:val="00470BEF"/>
    <w:rsid w:val="00473635"/>
    <w:rsid w:val="0047516C"/>
    <w:rsid w:val="00494660"/>
    <w:rsid w:val="00495DD4"/>
    <w:rsid w:val="004A2C2A"/>
    <w:rsid w:val="004A4802"/>
    <w:rsid w:val="004B2CE7"/>
    <w:rsid w:val="004C16A0"/>
    <w:rsid w:val="004C3376"/>
    <w:rsid w:val="004C5B8C"/>
    <w:rsid w:val="004C7776"/>
    <w:rsid w:val="004D1F0D"/>
    <w:rsid w:val="004D7BC8"/>
    <w:rsid w:val="004E6089"/>
    <w:rsid w:val="004F3BA8"/>
    <w:rsid w:val="004F6B0E"/>
    <w:rsid w:val="005170E0"/>
    <w:rsid w:val="00517B79"/>
    <w:rsid w:val="005235D6"/>
    <w:rsid w:val="005409AA"/>
    <w:rsid w:val="00540A65"/>
    <w:rsid w:val="00545978"/>
    <w:rsid w:val="00563E4D"/>
    <w:rsid w:val="0056746D"/>
    <w:rsid w:val="00574E45"/>
    <w:rsid w:val="00581774"/>
    <w:rsid w:val="00582B79"/>
    <w:rsid w:val="00584A0C"/>
    <w:rsid w:val="00586AF5"/>
    <w:rsid w:val="00597357"/>
    <w:rsid w:val="005A19AC"/>
    <w:rsid w:val="005A538E"/>
    <w:rsid w:val="005B15E4"/>
    <w:rsid w:val="005C0292"/>
    <w:rsid w:val="005C7BD2"/>
    <w:rsid w:val="005D465A"/>
    <w:rsid w:val="005F298C"/>
    <w:rsid w:val="005F406B"/>
    <w:rsid w:val="005F4E18"/>
    <w:rsid w:val="005F6958"/>
    <w:rsid w:val="00602B4E"/>
    <w:rsid w:val="0061502F"/>
    <w:rsid w:val="0062135B"/>
    <w:rsid w:val="00631F95"/>
    <w:rsid w:val="006326B7"/>
    <w:rsid w:val="006331FA"/>
    <w:rsid w:val="006607D0"/>
    <w:rsid w:val="00660B2C"/>
    <w:rsid w:val="006649F8"/>
    <w:rsid w:val="00694B54"/>
    <w:rsid w:val="00696F42"/>
    <w:rsid w:val="006C011D"/>
    <w:rsid w:val="006C3C42"/>
    <w:rsid w:val="006C3DB7"/>
    <w:rsid w:val="006D3AC5"/>
    <w:rsid w:val="006E124F"/>
    <w:rsid w:val="006E6233"/>
    <w:rsid w:val="006F3DC4"/>
    <w:rsid w:val="00700C67"/>
    <w:rsid w:val="00702CF3"/>
    <w:rsid w:val="00711AEA"/>
    <w:rsid w:val="00742364"/>
    <w:rsid w:val="00747881"/>
    <w:rsid w:val="00753ED9"/>
    <w:rsid w:val="007543B7"/>
    <w:rsid w:val="00760174"/>
    <w:rsid w:val="00764798"/>
    <w:rsid w:val="007734AB"/>
    <w:rsid w:val="00781E70"/>
    <w:rsid w:val="00792E94"/>
    <w:rsid w:val="00793259"/>
    <w:rsid w:val="0079364E"/>
    <w:rsid w:val="007940F8"/>
    <w:rsid w:val="007A7A51"/>
    <w:rsid w:val="007B7B75"/>
    <w:rsid w:val="007C1AF3"/>
    <w:rsid w:val="007C52F2"/>
    <w:rsid w:val="007D170B"/>
    <w:rsid w:val="007D2605"/>
    <w:rsid w:val="007D6CD6"/>
    <w:rsid w:val="007D78BF"/>
    <w:rsid w:val="007F6FD9"/>
    <w:rsid w:val="00802537"/>
    <w:rsid w:val="0080431A"/>
    <w:rsid w:val="0081240C"/>
    <w:rsid w:val="00815219"/>
    <w:rsid w:val="008166F6"/>
    <w:rsid w:val="008436FC"/>
    <w:rsid w:val="00863336"/>
    <w:rsid w:val="008834B4"/>
    <w:rsid w:val="00887FE1"/>
    <w:rsid w:val="00893AFC"/>
    <w:rsid w:val="008D53B6"/>
    <w:rsid w:val="008D702F"/>
    <w:rsid w:val="008E134A"/>
    <w:rsid w:val="008E52F2"/>
    <w:rsid w:val="008F217B"/>
    <w:rsid w:val="008F35C8"/>
    <w:rsid w:val="008F4E76"/>
    <w:rsid w:val="00903179"/>
    <w:rsid w:val="00910D16"/>
    <w:rsid w:val="00923799"/>
    <w:rsid w:val="00924A14"/>
    <w:rsid w:val="00930AA4"/>
    <w:rsid w:val="009369FB"/>
    <w:rsid w:val="009576E7"/>
    <w:rsid w:val="009756AF"/>
    <w:rsid w:val="0098209D"/>
    <w:rsid w:val="00984E6F"/>
    <w:rsid w:val="009A3991"/>
    <w:rsid w:val="009E2399"/>
    <w:rsid w:val="009E3733"/>
    <w:rsid w:val="009F33BE"/>
    <w:rsid w:val="009F3F18"/>
    <w:rsid w:val="00A00091"/>
    <w:rsid w:val="00A015D7"/>
    <w:rsid w:val="00A041BF"/>
    <w:rsid w:val="00A25F20"/>
    <w:rsid w:val="00A30513"/>
    <w:rsid w:val="00A30B3C"/>
    <w:rsid w:val="00A4138B"/>
    <w:rsid w:val="00A471D4"/>
    <w:rsid w:val="00A5428F"/>
    <w:rsid w:val="00A55D21"/>
    <w:rsid w:val="00A60587"/>
    <w:rsid w:val="00A65F8F"/>
    <w:rsid w:val="00A6670F"/>
    <w:rsid w:val="00A771AC"/>
    <w:rsid w:val="00A802FC"/>
    <w:rsid w:val="00A83EA8"/>
    <w:rsid w:val="00A85F79"/>
    <w:rsid w:val="00A9103C"/>
    <w:rsid w:val="00A93AF2"/>
    <w:rsid w:val="00A94EC9"/>
    <w:rsid w:val="00AA392D"/>
    <w:rsid w:val="00AA54D0"/>
    <w:rsid w:val="00AC168C"/>
    <w:rsid w:val="00AC2A83"/>
    <w:rsid w:val="00AC55AF"/>
    <w:rsid w:val="00AD3B2A"/>
    <w:rsid w:val="00AE7D62"/>
    <w:rsid w:val="00AF40DE"/>
    <w:rsid w:val="00B00901"/>
    <w:rsid w:val="00B05C0A"/>
    <w:rsid w:val="00B173B0"/>
    <w:rsid w:val="00B3494D"/>
    <w:rsid w:val="00B46354"/>
    <w:rsid w:val="00B533CC"/>
    <w:rsid w:val="00B620EE"/>
    <w:rsid w:val="00B65E4B"/>
    <w:rsid w:val="00B75FB8"/>
    <w:rsid w:val="00B8562B"/>
    <w:rsid w:val="00B965DA"/>
    <w:rsid w:val="00BA40BD"/>
    <w:rsid w:val="00BB004B"/>
    <w:rsid w:val="00BB04F6"/>
    <w:rsid w:val="00BB6046"/>
    <w:rsid w:val="00BB6551"/>
    <w:rsid w:val="00BC1637"/>
    <w:rsid w:val="00BC7CA8"/>
    <w:rsid w:val="00BD22D0"/>
    <w:rsid w:val="00BD3BDE"/>
    <w:rsid w:val="00BD4272"/>
    <w:rsid w:val="00BF0F0A"/>
    <w:rsid w:val="00BF1DA1"/>
    <w:rsid w:val="00C176BF"/>
    <w:rsid w:val="00C234C5"/>
    <w:rsid w:val="00C30C59"/>
    <w:rsid w:val="00C32C2B"/>
    <w:rsid w:val="00C43C95"/>
    <w:rsid w:val="00C442A1"/>
    <w:rsid w:val="00C452DE"/>
    <w:rsid w:val="00C452FA"/>
    <w:rsid w:val="00C4717A"/>
    <w:rsid w:val="00C52D52"/>
    <w:rsid w:val="00C543B7"/>
    <w:rsid w:val="00C66463"/>
    <w:rsid w:val="00C72879"/>
    <w:rsid w:val="00C800E2"/>
    <w:rsid w:val="00C80B59"/>
    <w:rsid w:val="00C829B5"/>
    <w:rsid w:val="00CA0653"/>
    <w:rsid w:val="00CA298F"/>
    <w:rsid w:val="00CA6E46"/>
    <w:rsid w:val="00CB50FE"/>
    <w:rsid w:val="00CC12FB"/>
    <w:rsid w:val="00CC6767"/>
    <w:rsid w:val="00CE1436"/>
    <w:rsid w:val="00CE4EB5"/>
    <w:rsid w:val="00CE6106"/>
    <w:rsid w:val="00CE6905"/>
    <w:rsid w:val="00D019C2"/>
    <w:rsid w:val="00D03CF4"/>
    <w:rsid w:val="00D053DF"/>
    <w:rsid w:val="00D07B80"/>
    <w:rsid w:val="00D12663"/>
    <w:rsid w:val="00D20431"/>
    <w:rsid w:val="00D2381B"/>
    <w:rsid w:val="00D53635"/>
    <w:rsid w:val="00D60383"/>
    <w:rsid w:val="00D93DEA"/>
    <w:rsid w:val="00DA06B6"/>
    <w:rsid w:val="00DA2EC9"/>
    <w:rsid w:val="00DA52F8"/>
    <w:rsid w:val="00DA619A"/>
    <w:rsid w:val="00DA6813"/>
    <w:rsid w:val="00DB5487"/>
    <w:rsid w:val="00DC21C3"/>
    <w:rsid w:val="00DC3AF1"/>
    <w:rsid w:val="00DD0281"/>
    <w:rsid w:val="00DE78CB"/>
    <w:rsid w:val="00DE7D8C"/>
    <w:rsid w:val="00DF39AB"/>
    <w:rsid w:val="00DF7CFF"/>
    <w:rsid w:val="00E035A2"/>
    <w:rsid w:val="00E03FF1"/>
    <w:rsid w:val="00E13C97"/>
    <w:rsid w:val="00E21339"/>
    <w:rsid w:val="00E21E7E"/>
    <w:rsid w:val="00E306FE"/>
    <w:rsid w:val="00E465E0"/>
    <w:rsid w:val="00E5063D"/>
    <w:rsid w:val="00E56BC1"/>
    <w:rsid w:val="00E56FAA"/>
    <w:rsid w:val="00E57237"/>
    <w:rsid w:val="00E60539"/>
    <w:rsid w:val="00E63459"/>
    <w:rsid w:val="00E659C2"/>
    <w:rsid w:val="00E83021"/>
    <w:rsid w:val="00E846D6"/>
    <w:rsid w:val="00EA3DBC"/>
    <w:rsid w:val="00EB491C"/>
    <w:rsid w:val="00EB5348"/>
    <w:rsid w:val="00EC025F"/>
    <w:rsid w:val="00EC7F73"/>
    <w:rsid w:val="00ED327A"/>
    <w:rsid w:val="00ED4F25"/>
    <w:rsid w:val="00EE58D6"/>
    <w:rsid w:val="00EF0D5B"/>
    <w:rsid w:val="00EF105C"/>
    <w:rsid w:val="00EF38D0"/>
    <w:rsid w:val="00EF6D28"/>
    <w:rsid w:val="00EF708E"/>
    <w:rsid w:val="00F05706"/>
    <w:rsid w:val="00F1116C"/>
    <w:rsid w:val="00F14FAE"/>
    <w:rsid w:val="00F2289E"/>
    <w:rsid w:val="00F22DBA"/>
    <w:rsid w:val="00F275DA"/>
    <w:rsid w:val="00F45DEB"/>
    <w:rsid w:val="00F51D27"/>
    <w:rsid w:val="00F523FC"/>
    <w:rsid w:val="00F56906"/>
    <w:rsid w:val="00F763C2"/>
    <w:rsid w:val="00F77C59"/>
    <w:rsid w:val="00F77DE6"/>
    <w:rsid w:val="00F83104"/>
    <w:rsid w:val="00F85B73"/>
    <w:rsid w:val="00F90F3A"/>
    <w:rsid w:val="00F97B2C"/>
    <w:rsid w:val="00FA6C34"/>
    <w:rsid w:val="00FE1559"/>
    <w:rsid w:val="00FE1F3D"/>
    <w:rsid w:val="00FE46A0"/>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7BD2"/>
  </w:style>
  <w:style w:type="paragraph" w:styleId="Titre1">
    <w:name w:val="heading 1"/>
    <w:basedOn w:val="Normal"/>
    <w:next w:val="Normal"/>
    <w:link w:val="Titre1Car"/>
    <w:uiPriority w:val="9"/>
    <w:qFormat/>
    <w:rsid w:val="000D0609"/>
    <w:pPr>
      <w:keepNext/>
      <w:keepLines/>
      <w:spacing w:before="480" w:after="0" w:line="276" w:lineRule="auto"/>
      <w:outlineLvl w:val="0"/>
    </w:pPr>
    <w:rPr>
      <w:rFonts w:asciiTheme="majorHAnsi" w:eastAsiaTheme="majorEastAsia" w:hAnsiTheme="majorHAnsi" w:cstheme="majorBidi"/>
      <w:b/>
      <w:bCs/>
      <w:color w:val="00532C" w:themeColor="accent1" w:themeShade="BF"/>
      <w:sz w:val="28"/>
      <w:szCs w:val="28"/>
    </w:rPr>
  </w:style>
  <w:style w:type="paragraph" w:styleId="Titre2">
    <w:name w:val="heading 2"/>
    <w:basedOn w:val="Normal"/>
    <w:next w:val="Normal"/>
    <w:link w:val="Titre2Car"/>
    <w:uiPriority w:val="9"/>
    <w:unhideWhenUsed/>
    <w:qFormat/>
    <w:rsid w:val="000D0609"/>
    <w:pPr>
      <w:keepNext/>
      <w:keepLines/>
      <w:spacing w:before="200" w:after="0" w:line="276" w:lineRule="auto"/>
      <w:outlineLvl w:val="1"/>
    </w:pPr>
    <w:rPr>
      <w:rFonts w:asciiTheme="majorHAnsi" w:eastAsiaTheme="majorEastAsia" w:hAnsiTheme="majorHAnsi" w:cstheme="majorBidi"/>
      <w:b/>
      <w:bCs/>
      <w:color w:val="00703C" w:themeColor="accent1"/>
      <w:sz w:val="26"/>
      <w:szCs w:val="26"/>
    </w:rPr>
  </w:style>
  <w:style w:type="paragraph" w:styleId="Titre3">
    <w:name w:val="heading 3"/>
    <w:basedOn w:val="Normal"/>
    <w:next w:val="Normal"/>
    <w:link w:val="Titre3Car"/>
    <w:uiPriority w:val="9"/>
    <w:unhideWhenUsed/>
    <w:qFormat/>
    <w:rsid w:val="000D0609"/>
    <w:pPr>
      <w:keepNext/>
      <w:keepLines/>
      <w:spacing w:before="200" w:after="0" w:line="276" w:lineRule="auto"/>
      <w:outlineLvl w:val="2"/>
    </w:pPr>
    <w:rPr>
      <w:rFonts w:asciiTheme="majorHAnsi" w:eastAsiaTheme="majorEastAsia" w:hAnsiTheme="majorHAnsi" w:cstheme="majorBidi"/>
      <w:b/>
      <w:bCs/>
      <w:color w:val="00703C" w:themeColor="accent1"/>
    </w:rPr>
  </w:style>
  <w:style w:type="paragraph" w:styleId="Titre4">
    <w:name w:val="heading 4"/>
    <w:basedOn w:val="Normal"/>
    <w:next w:val="Normal"/>
    <w:link w:val="Titre4Car"/>
    <w:uiPriority w:val="9"/>
    <w:unhideWhenUsed/>
    <w:qFormat/>
    <w:rsid w:val="000D0609"/>
    <w:pPr>
      <w:keepNext/>
      <w:keepLines/>
      <w:spacing w:before="200" w:after="0" w:line="276" w:lineRule="auto"/>
      <w:outlineLvl w:val="3"/>
    </w:pPr>
    <w:rPr>
      <w:rFonts w:asciiTheme="majorHAnsi" w:eastAsiaTheme="majorEastAsia" w:hAnsiTheme="majorHAnsi" w:cstheme="majorBidi"/>
      <w:b/>
      <w:bCs/>
      <w:i/>
      <w:iCs/>
      <w:color w:val="00703C"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77C59"/>
    <w:pPr>
      <w:ind w:left="720"/>
      <w:contextualSpacing/>
    </w:pPr>
  </w:style>
  <w:style w:type="character" w:styleId="Marquedecommentaire">
    <w:name w:val="annotation reference"/>
    <w:basedOn w:val="Policepardfaut"/>
    <w:uiPriority w:val="99"/>
    <w:semiHidden/>
    <w:unhideWhenUsed/>
    <w:rsid w:val="00F77C59"/>
    <w:rPr>
      <w:sz w:val="16"/>
      <w:szCs w:val="16"/>
    </w:rPr>
  </w:style>
  <w:style w:type="paragraph" w:styleId="Commentaire">
    <w:name w:val="annotation text"/>
    <w:basedOn w:val="Normal"/>
    <w:link w:val="CommentaireCar"/>
    <w:uiPriority w:val="99"/>
    <w:semiHidden/>
    <w:unhideWhenUsed/>
    <w:rsid w:val="00F77C59"/>
    <w:pPr>
      <w:spacing w:after="200" w:line="240" w:lineRule="auto"/>
    </w:pPr>
    <w:rPr>
      <w:rFonts w:ascii="Times New Roman" w:hAnsi="Times New Roman"/>
      <w:sz w:val="20"/>
      <w:szCs w:val="20"/>
    </w:rPr>
  </w:style>
  <w:style w:type="character" w:customStyle="1" w:styleId="CommentaireCar">
    <w:name w:val="Commentaire Car"/>
    <w:basedOn w:val="Policepardfaut"/>
    <w:link w:val="Commentaire"/>
    <w:uiPriority w:val="99"/>
    <w:semiHidden/>
    <w:rsid w:val="00F77C59"/>
    <w:rPr>
      <w:rFonts w:ascii="Times New Roman" w:hAnsi="Times New Roman"/>
      <w:sz w:val="20"/>
      <w:szCs w:val="20"/>
    </w:rPr>
  </w:style>
  <w:style w:type="paragraph" w:styleId="Textedebulles">
    <w:name w:val="Balloon Text"/>
    <w:basedOn w:val="Normal"/>
    <w:link w:val="TextedebullesCar"/>
    <w:uiPriority w:val="99"/>
    <w:semiHidden/>
    <w:unhideWhenUsed/>
    <w:rsid w:val="00F77C5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77C59"/>
    <w:rPr>
      <w:rFonts w:ascii="Segoe UI" w:hAnsi="Segoe UI" w:cs="Segoe UI"/>
      <w:sz w:val="18"/>
      <w:szCs w:val="18"/>
    </w:rPr>
  </w:style>
  <w:style w:type="character" w:styleId="Lienhypertexte">
    <w:name w:val="Hyperlink"/>
    <w:basedOn w:val="Policepardfaut"/>
    <w:uiPriority w:val="99"/>
    <w:unhideWhenUsed/>
    <w:rsid w:val="00F77C59"/>
    <w:rPr>
      <w:color w:val="CC9900" w:themeColor="hyperlink"/>
      <w:u w:val="single"/>
    </w:rPr>
  </w:style>
  <w:style w:type="paragraph" w:styleId="Notedebasdepage">
    <w:name w:val="footnote text"/>
    <w:basedOn w:val="Normal"/>
    <w:link w:val="NotedebasdepageCar"/>
    <w:uiPriority w:val="99"/>
    <w:unhideWhenUsed/>
    <w:rsid w:val="00F77C59"/>
    <w:pPr>
      <w:spacing w:after="0" w:line="240" w:lineRule="auto"/>
    </w:pPr>
    <w:rPr>
      <w:rFonts w:ascii="Times New Roman" w:hAnsi="Times New Roman"/>
      <w:sz w:val="20"/>
      <w:szCs w:val="20"/>
    </w:rPr>
  </w:style>
  <w:style w:type="character" w:customStyle="1" w:styleId="NotedebasdepageCar">
    <w:name w:val="Note de bas de page Car"/>
    <w:basedOn w:val="Policepardfaut"/>
    <w:link w:val="Notedebasdepage"/>
    <w:uiPriority w:val="99"/>
    <w:rsid w:val="00F77C59"/>
    <w:rPr>
      <w:rFonts w:ascii="Times New Roman" w:hAnsi="Times New Roman"/>
      <w:sz w:val="20"/>
      <w:szCs w:val="20"/>
    </w:rPr>
  </w:style>
  <w:style w:type="character" w:styleId="Appelnotedebasdep">
    <w:name w:val="footnote reference"/>
    <w:basedOn w:val="Policepardfaut"/>
    <w:uiPriority w:val="99"/>
    <w:semiHidden/>
    <w:unhideWhenUsed/>
    <w:rsid w:val="00F77C59"/>
    <w:rPr>
      <w:vertAlign w:val="superscript"/>
    </w:rPr>
  </w:style>
  <w:style w:type="character" w:styleId="Lienhypertextesuivivisit">
    <w:name w:val="FollowedHyperlink"/>
    <w:basedOn w:val="Policepardfaut"/>
    <w:uiPriority w:val="99"/>
    <w:semiHidden/>
    <w:unhideWhenUsed/>
    <w:rsid w:val="00F77C59"/>
    <w:rPr>
      <w:color w:val="96A9A9" w:themeColor="followedHyperlink"/>
      <w:u w:val="single"/>
    </w:rPr>
  </w:style>
  <w:style w:type="table" w:styleId="Grilledutableau">
    <w:name w:val="Table Grid"/>
    <w:basedOn w:val="TableauNormal"/>
    <w:uiPriority w:val="39"/>
    <w:rsid w:val="00C442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90F3A"/>
    <w:pPr>
      <w:spacing w:before="100" w:beforeAutospacing="1" w:after="100" w:afterAutospacing="1" w:line="240" w:lineRule="auto"/>
    </w:pPr>
    <w:rPr>
      <w:rFonts w:ascii="Times New Roman" w:eastAsiaTheme="minorEastAsia" w:hAnsi="Times New Roman" w:cs="Times New Roman"/>
      <w:sz w:val="24"/>
      <w:szCs w:val="24"/>
      <w:lang w:eastAsia="fr-CA"/>
    </w:rPr>
  </w:style>
  <w:style w:type="character" w:customStyle="1" w:styleId="Titre1Car">
    <w:name w:val="Titre 1 Car"/>
    <w:basedOn w:val="Policepardfaut"/>
    <w:link w:val="Titre1"/>
    <w:uiPriority w:val="9"/>
    <w:rsid w:val="000D0609"/>
    <w:rPr>
      <w:rFonts w:asciiTheme="majorHAnsi" w:eastAsiaTheme="majorEastAsia" w:hAnsiTheme="majorHAnsi" w:cstheme="majorBidi"/>
      <w:b/>
      <w:bCs/>
      <w:color w:val="00532C" w:themeColor="accent1" w:themeShade="BF"/>
      <w:sz w:val="28"/>
      <w:szCs w:val="28"/>
    </w:rPr>
  </w:style>
  <w:style w:type="character" w:customStyle="1" w:styleId="Titre2Car">
    <w:name w:val="Titre 2 Car"/>
    <w:basedOn w:val="Policepardfaut"/>
    <w:link w:val="Titre2"/>
    <w:uiPriority w:val="9"/>
    <w:rsid w:val="000D0609"/>
    <w:rPr>
      <w:rFonts w:asciiTheme="majorHAnsi" w:eastAsiaTheme="majorEastAsia" w:hAnsiTheme="majorHAnsi" w:cstheme="majorBidi"/>
      <w:b/>
      <w:bCs/>
      <w:color w:val="00703C" w:themeColor="accent1"/>
      <w:sz w:val="26"/>
      <w:szCs w:val="26"/>
    </w:rPr>
  </w:style>
  <w:style w:type="character" w:customStyle="1" w:styleId="Titre3Car">
    <w:name w:val="Titre 3 Car"/>
    <w:basedOn w:val="Policepardfaut"/>
    <w:link w:val="Titre3"/>
    <w:uiPriority w:val="9"/>
    <w:rsid w:val="000D0609"/>
    <w:rPr>
      <w:rFonts w:asciiTheme="majorHAnsi" w:eastAsiaTheme="majorEastAsia" w:hAnsiTheme="majorHAnsi" w:cstheme="majorBidi"/>
      <w:b/>
      <w:bCs/>
      <w:color w:val="00703C" w:themeColor="accent1"/>
    </w:rPr>
  </w:style>
  <w:style w:type="character" w:customStyle="1" w:styleId="Titre4Car">
    <w:name w:val="Titre 4 Car"/>
    <w:basedOn w:val="Policepardfaut"/>
    <w:link w:val="Titre4"/>
    <w:uiPriority w:val="9"/>
    <w:rsid w:val="000D0609"/>
    <w:rPr>
      <w:rFonts w:asciiTheme="majorHAnsi" w:eastAsiaTheme="majorEastAsia" w:hAnsiTheme="majorHAnsi" w:cstheme="majorBidi"/>
      <w:b/>
      <w:bCs/>
      <w:i/>
      <w:iCs/>
      <w:color w:val="00703C" w:themeColor="accent1"/>
    </w:rPr>
  </w:style>
  <w:style w:type="paragraph" w:styleId="En-ttedetabledesmatires">
    <w:name w:val="TOC Heading"/>
    <w:basedOn w:val="Titre1"/>
    <w:next w:val="Normal"/>
    <w:uiPriority w:val="39"/>
    <w:semiHidden/>
    <w:unhideWhenUsed/>
    <w:qFormat/>
    <w:rsid w:val="000D0609"/>
    <w:pPr>
      <w:outlineLvl w:val="9"/>
    </w:pPr>
    <w:rPr>
      <w:lang w:val="fr-FR"/>
    </w:rPr>
  </w:style>
  <w:style w:type="paragraph" w:styleId="TM1">
    <w:name w:val="toc 1"/>
    <w:basedOn w:val="Normal"/>
    <w:next w:val="Normal"/>
    <w:autoRedefine/>
    <w:uiPriority w:val="39"/>
    <w:unhideWhenUsed/>
    <w:qFormat/>
    <w:rsid w:val="000D0609"/>
    <w:pPr>
      <w:spacing w:before="360" w:after="0"/>
    </w:pPr>
    <w:rPr>
      <w:rFonts w:asciiTheme="majorHAnsi" w:hAnsiTheme="majorHAnsi" w:cstheme="majorHAnsi"/>
      <w:b/>
      <w:bCs/>
      <w:caps/>
      <w:sz w:val="24"/>
      <w:szCs w:val="24"/>
    </w:rPr>
  </w:style>
  <w:style w:type="paragraph" w:styleId="TM2">
    <w:name w:val="toc 2"/>
    <w:basedOn w:val="Normal"/>
    <w:next w:val="Normal"/>
    <w:autoRedefine/>
    <w:uiPriority w:val="39"/>
    <w:unhideWhenUsed/>
    <w:qFormat/>
    <w:rsid w:val="000D0609"/>
    <w:pPr>
      <w:spacing w:before="240" w:after="0"/>
    </w:pPr>
    <w:rPr>
      <w:rFonts w:cstheme="minorHAnsi"/>
      <w:b/>
      <w:bCs/>
      <w:sz w:val="20"/>
      <w:szCs w:val="20"/>
    </w:rPr>
  </w:style>
  <w:style w:type="paragraph" w:styleId="TM3">
    <w:name w:val="toc 3"/>
    <w:basedOn w:val="Normal"/>
    <w:next w:val="Normal"/>
    <w:autoRedefine/>
    <w:uiPriority w:val="39"/>
    <w:unhideWhenUsed/>
    <w:qFormat/>
    <w:rsid w:val="000D0609"/>
    <w:pPr>
      <w:spacing w:after="0"/>
      <w:ind w:left="220"/>
    </w:pPr>
    <w:rPr>
      <w:rFonts w:cstheme="minorHAnsi"/>
      <w:sz w:val="20"/>
      <w:szCs w:val="20"/>
    </w:rPr>
  </w:style>
  <w:style w:type="paragraph" w:styleId="Sansinterligne">
    <w:name w:val="No Spacing"/>
    <w:uiPriority w:val="1"/>
    <w:qFormat/>
    <w:rsid w:val="008F217B"/>
    <w:pPr>
      <w:spacing w:after="0" w:line="240" w:lineRule="auto"/>
    </w:pPr>
  </w:style>
  <w:style w:type="character" w:customStyle="1" w:styleId="hps">
    <w:name w:val="hps"/>
    <w:basedOn w:val="Policepardfaut"/>
    <w:rsid w:val="008166F6"/>
  </w:style>
  <w:style w:type="character" w:styleId="lev">
    <w:name w:val="Strong"/>
    <w:basedOn w:val="Policepardfaut"/>
    <w:uiPriority w:val="22"/>
    <w:qFormat/>
    <w:rsid w:val="00747881"/>
    <w:rPr>
      <w:b/>
      <w:bCs/>
    </w:rPr>
  </w:style>
  <w:style w:type="paragraph" w:customStyle="1" w:styleId="DecimalAligned">
    <w:name w:val="Decimal Aligned"/>
    <w:basedOn w:val="Normal"/>
    <w:uiPriority w:val="40"/>
    <w:qFormat/>
    <w:rsid w:val="00ED4F25"/>
    <w:pPr>
      <w:tabs>
        <w:tab w:val="decimal" w:pos="360"/>
      </w:tabs>
      <w:spacing w:after="200" w:line="276" w:lineRule="auto"/>
    </w:pPr>
    <w:rPr>
      <w:rFonts w:eastAsiaTheme="minorEastAsia"/>
      <w:lang w:val="fr-FR"/>
    </w:rPr>
  </w:style>
  <w:style w:type="table" w:styleId="Tramemoyenne2-Accent5">
    <w:name w:val="Medium Shading 2 Accent 5"/>
    <w:basedOn w:val="TableauNormal"/>
    <w:uiPriority w:val="64"/>
    <w:rsid w:val="00ED4F25"/>
    <w:pPr>
      <w:spacing w:after="0" w:line="240" w:lineRule="auto"/>
    </w:pPr>
    <w:rPr>
      <w:rFonts w:eastAsiaTheme="minorEastAsia"/>
      <w:lang w:val="fr-F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3CC33"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3CC33" w:themeFill="accent5"/>
      </w:tcPr>
    </w:tblStylePr>
    <w:tblStylePr w:type="lastCol">
      <w:rPr>
        <w:b/>
        <w:bCs/>
        <w:color w:val="FFFFFF" w:themeColor="background1"/>
      </w:rPr>
      <w:tblPr/>
      <w:tcPr>
        <w:tcBorders>
          <w:left w:val="nil"/>
          <w:right w:val="nil"/>
          <w:insideH w:val="nil"/>
          <w:insideV w:val="nil"/>
        </w:tcBorders>
        <w:shd w:val="clear" w:color="auto" w:fill="33CC3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claire-Accent6">
    <w:name w:val="Light List Accent 6"/>
    <w:basedOn w:val="TableauNormal"/>
    <w:uiPriority w:val="61"/>
    <w:rsid w:val="005F298C"/>
    <w:pPr>
      <w:spacing w:after="0" w:line="240" w:lineRule="auto"/>
    </w:pPr>
    <w:tblPr>
      <w:tblStyleRowBandSize w:val="1"/>
      <w:tblStyleColBandSize w:val="1"/>
      <w:tblInd w:w="0" w:type="dxa"/>
      <w:tblBorders>
        <w:top w:val="single" w:sz="8" w:space="0" w:color="855D5D" w:themeColor="accent6"/>
        <w:left w:val="single" w:sz="8" w:space="0" w:color="855D5D" w:themeColor="accent6"/>
        <w:bottom w:val="single" w:sz="8" w:space="0" w:color="855D5D" w:themeColor="accent6"/>
        <w:right w:val="single" w:sz="8" w:space="0" w:color="855D5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55D5D" w:themeFill="accent6"/>
      </w:tcPr>
    </w:tblStylePr>
    <w:tblStylePr w:type="lastRow">
      <w:pPr>
        <w:spacing w:before="0" w:after="0" w:line="240" w:lineRule="auto"/>
      </w:pPr>
      <w:rPr>
        <w:b/>
        <w:bCs/>
      </w:rPr>
      <w:tblPr/>
      <w:tcPr>
        <w:tcBorders>
          <w:top w:val="double" w:sz="6" w:space="0" w:color="855D5D" w:themeColor="accent6"/>
          <w:left w:val="single" w:sz="8" w:space="0" w:color="855D5D" w:themeColor="accent6"/>
          <w:bottom w:val="single" w:sz="8" w:space="0" w:color="855D5D" w:themeColor="accent6"/>
          <w:right w:val="single" w:sz="8" w:space="0" w:color="855D5D" w:themeColor="accent6"/>
        </w:tcBorders>
      </w:tcPr>
    </w:tblStylePr>
    <w:tblStylePr w:type="firstCol">
      <w:rPr>
        <w:b/>
        <w:bCs/>
      </w:rPr>
    </w:tblStylePr>
    <w:tblStylePr w:type="lastCol">
      <w:rPr>
        <w:b/>
        <w:bCs/>
      </w:rPr>
    </w:tblStylePr>
    <w:tblStylePr w:type="band1Vert">
      <w:tblPr/>
      <w:tcPr>
        <w:tcBorders>
          <w:top w:val="single" w:sz="8" w:space="0" w:color="855D5D" w:themeColor="accent6"/>
          <w:left w:val="single" w:sz="8" w:space="0" w:color="855D5D" w:themeColor="accent6"/>
          <w:bottom w:val="single" w:sz="8" w:space="0" w:color="855D5D" w:themeColor="accent6"/>
          <w:right w:val="single" w:sz="8" w:space="0" w:color="855D5D" w:themeColor="accent6"/>
        </w:tcBorders>
      </w:tcPr>
    </w:tblStylePr>
    <w:tblStylePr w:type="band1Horz">
      <w:tblPr/>
      <w:tcPr>
        <w:tcBorders>
          <w:top w:val="single" w:sz="8" w:space="0" w:color="855D5D" w:themeColor="accent6"/>
          <w:left w:val="single" w:sz="8" w:space="0" w:color="855D5D" w:themeColor="accent6"/>
          <w:bottom w:val="single" w:sz="8" w:space="0" w:color="855D5D" w:themeColor="accent6"/>
          <w:right w:val="single" w:sz="8" w:space="0" w:color="855D5D" w:themeColor="accent6"/>
        </w:tcBorders>
      </w:tcPr>
    </w:tblStylePr>
  </w:style>
  <w:style w:type="table" w:styleId="Tramemoyenne2-Accent6">
    <w:name w:val="Medium Shading 2 Accent 6"/>
    <w:basedOn w:val="TableauNormal"/>
    <w:uiPriority w:val="64"/>
    <w:rsid w:val="005F298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5D5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55D5D" w:themeFill="accent6"/>
      </w:tcPr>
    </w:tblStylePr>
    <w:tblStylePr w:type="lastCol">
      <w:rPr>
        <w:b/>
        <w:bCs/>
        <w:color w:val="FFFFFF" w:themeColor="background1"/>
      </w:rPr>
      <w:tblPr/>
      <w:tcPr>
        <w:tcBorders>
          <w:left w:val="nil"/>
          <w:right w:val="nil"/>
          <w:insideH w:val="nil"/>
          <w:insideV w:val="nil"/>
        </w:tcBorders>
        <w:shd w:val="clear" w:color="auto" w:fill="855D5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Lgende">
    <w:name w:val="caption"/>
    <w:basedOn w:val="Normal"/>
    <w:next w:val="Normal"/>
    <w:uiPriority w:val="35"/>
    <w:unhideWhenUsed/>
    <w:qFormat/>
    <w:rsid w:val="005F298C"/>
    <w:pPr>
      <w:spacing w:after="200" w:line="240" w:lineRule="auto"/>
    </w:pPr>
    <w:rPr>
      <w:b/>
      <w:bCs/>
      <w:color w:val="00703C" w:themeColor="accent1"/>
      <w:sz w:val="18"/>
      <w:szCs w:val="18"/>
    </w:rPr>
  </w:style>
  <w:style w:type="table" w:styleId="Grilleclaire-Accent3">
    <w:name w:val="Light Grid Accent 3"/>
    <w:basedOn w:val="TableauNormal"/>
    <w:uiPriority w:val="62"/>
    <w:rsid w:val="00DA6813"/>
    <w:pPr>
      <w:spacing w:after="0" w:line="240" w:lineRule="auto"/>
    </w:pPr>
    <w:tblPr>
      <w:tblStyleRowBandSize w:val="1"/>
      <w:tblStyleColBandSize w:val="1"/>
      <w:tblInd w:w="0" w:type="dxa"/>
      <w:tblBorders>
        <w:top w:val="single" w:sz="8" w:space="0" w:color="FFE084" w:themeColor="accent3"/>
        <w:left w:val="single" w:sz="8" w:space="0" w:color="FFE084" w:themeColor="accent3"/>
        <w:bottom w:val="single" w:sz="8" w:space="0" w:color="FFE084" w:themeColor="accent3"/>
        <w:right w:val="single" w:sz="8" w:space="0" w:color="FFE084" w:themeColor="accent3"/>
        <w:insideH w:val="single" w:sz="8" w:space="0" w:color="FFE084" w:themeColor="accent3"/>
        <w:insideV w:val="single" w:sz="8" w:space="0" w:color="FFE084"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E084" w:themeColor="accent3"/>
          <w:left w:val="single" w:sz="8" w:space="0" w:color="FFE084" w:themeColor="accent3"/>
          <w:bottom w:val="single" w:sz="18" w:space="0" w:color="FFE084" w:themeColor="accent3"/>
          <w:right w:val="single" w:sz="8" w:space="0" w:color="FFE084" w:themeColor="accent3"/>
          <w:insideH w:val="nil"/>
          <w:insideV w:val="single" w:sz="8" w:space="0" w:color="FFE08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E084" w:themeColor="accent3"/>
          <w:left w:val="single" w:sz="8" w:space="0" w:color="FFE084" w:themeColor="accent3"/>
          <w:bottom w:val="single" w:sz="8" w:space="0" w:color="FFE084" w:themeColor="accent3"/>
          <w:right w:val="single" w:sz="8" w:space="0" w:color="FFE084" w:themeColor="accent3"/>
          <w:insideH w:val="nil"/>
          <w:insideV w:val="single" w:sz="8" w:space="0" w:color="FFE08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E084" w:themeColor="accent3"/>
          <w:left w:val="single" w:sz="8" w:space="0" w:color="FFE084" w:themeColor="accent3"/>
          <w:bottom w:val="single" w:sz="8" w:space="0" w:color="FFE084" w:themeColor="accent3"/>
          <w:right w:val="single" w:sz="8" w:space="0" w:color="FFE084" w:themeColor="accent3"/>
        </w:tcBorders>
      </w:tcPr>
    </w:tblStylePr>
    <w:tblStylePr w:type="band1Vert">
      <w:tblPr/>
      <w:tcPr>
        <w:tcBorders>
          <w:top w:val="single" w:sz="8" w:space="0" w:color="FFE084" w:themeColor="accent3"/>
          <w:left w:val="single" w:sz="8" w:space="0" w:color="FFE084" w:themeColor="accent3"/>
          <w:bottom w:val="single" w:sz="8" w:space="0" w:color="FFE084" w:themeColor="accent3"/>
          <w:right w:val="single" w:sz="8" w:space="0" w:color="FFE084" w:themeColor="accent3"/>
        </w:tcBorders>
        <w:shd w:val="clear" w:color="auto" w:fill="FFF7E0" w:themeFill="accent3" w:themeFillTint="3F"/>
      </w:tcPr>
    </w:tblStylePr>
    <w:tblStylePr w:type="band1Horz">
      <w:tblPr/>
      <w:tcPr>
        <w:tcBorders>
          <w:top w:val="single" w:sz="8" w:space="0" w:color="FFE084" w:themeColor="accent3"/>
          <w:left w:val="single" w:sz="8" w:space="0" w:color="FFE084" w:themeColor="accent3"/>
          <w:bottom w:val="single" w:sz="8" w:space="0" w:color="FFE084" w:themeColor="accent3"/>
          <w:right w:val="single" w:sz="8" w:space="0" w:color="FFE084" w:themeColor="accent3"/>
          <w:insideV w:val="single" w:sz="8" w:space="0" w:color="FFE084" w:themeColor="accent3"/>
        </w:tcBorders>
        <w:shd w:val="clear" w:color="auto" w:fill="FFF7E0" w:themeFill="accent3" w:themeFillTint="3F"/>
      </w:tcPr>
    </w:tblStylePr>
    <w:tblStylePr w:type="band2Horz">
      <w:tblPr/>
      <w:tcPr>
        <w:tcBorders>
          <w:top w:val="single" w:sz="8" w:space="0" w:color="FFE084" w:themeColor="accent3"/>
          <w:left w:val="single" w:sz="8" w:space="0" w:color="FFE084" w:themeColor="accent3"/>
          <w:bottom w:val="single" w:sz="8" w:space="0" w:color="FFE084" w:themeColor="accent3"/>
          <w:right w:val="single" w:sz="8" w:space="0" w:color="FFE084" w:themeColor="accent3"/>
          <w:insideV w:val="single" w:sz="8" w:space="0" w:color="FFE084" w:themeColor="accent3"/>
        </w:tcBorders>
      </w:tcPr>
    </w:tblStylePr>
  </w:style>
  <w:style w:type="character" w:customStyle="1" w:styleId="apple-converted-space">
    <w:name w:val="apple-converted-space"/>
    <w:basedOn w:val="Policepardfaut"/>
    <w:rsid w:val="005B15E4"/>
  </w:style>
  <w:style w:type="paragraph" w:styleId="Objetducommentaire">
    <w:name w:val="annotation subject"/>
    <w:basedOn w:val="Commentaire"/>
    <w:next w:val="Commentaire"/>
    <w:link w:val="ObjetducommentaireCar"/>
    <w:uiPriority w:val="99"/>
    <w:semiHidden/>
    <w:unhideWhenUsed/>
    <w:rsid w:val="006C3DB7"/>
    <w:pPr>
      <w:spacing w:after="160"/>
    </w:pPr>
    <w:rPr>
      <w:rFonts w:asciiTheme="minorHAnsi" w:hAnsiTheme="minorHAnsi"/>
      <w:b/>
      <w:bCs/>
    </w:rPr>
  </w:style>
  <w:style w:type="character" w:customStyle="1" w:styleId="ObjetducommentaireCar">
    <w:name w:val="Objet du commentaire Car"/>
    <w:basedOn w:val="CommentaireCar"/>
    <w:link w:val="Objetducommentaire"/>
    <w:uiPriority w:val="99"/>
    <w:semiHidden/>
    <w:rsid w:val="006C3DB7"/>
    <w:rPr>
      <w:rFonts w:ascii="Times New Roman" w:hAnsi="Times New Roman"/>
      <w:b/>
      <w:bCs/>
      <w:sz w:val="20"/>
      <w:szCs w:val="20"/>
    </w:rPr>
  </w:style>
  <w:style w:type="paragraph" w:styleId="TM4">
    <w:name w:val="toc 4"/>
    <w:basedOn w:val="Normal"/>
    <w:next w:val="Normal"/>
    <w:autoRedefine/>
    <w:uiPriority w:val="39"/>
    <w:unhideWhenUsed/>
    <w:rsid w:val="005F6958"/>
    <w:pPr>
      <w:spacing w:after="0"/>
      <w:ind w:left="440"/>
    </w:pPr>
    <w:rPr>
      <w:rFonts w:cstheme="minorHAnsi"/>
      <w:sz w:val="20"/>
      <w:szCs w:val="20"/>
    </w:rPr>
  </w:style>
  <w:style w:type="paragraph" w:styleId="TM5">
    <w:name w:val="toc 5"/>
    <w:basedOn w:val="Normal"/>
    <w:next w:val="Normal"/>
    <w:autoRedefine/>
    <w:uiPriority w:val="39"/>
    <w:unhideWhenUsed/>
    <w:rsid w:val="005F6958"/>
    <w:pPr>
      <w:spacing w:after="0"/>
      <w:ind w:left="660"/>
    </w:pPr>
    <w:rPr>
      <w:rFonts w:cstheme="minorHAnsi"/>
      <w:sz w:val="20"/>
      <w:szCs w:val="20"/>
    </w:rPr>
  </w:style>
  <w:style w:type="paragraph" w:styleId="TM6">
    <w:name w:val="toc 6"/>
    <w:basedOn w:val="Normal"/>
    <w:next w:val="Normal"/>
    <w:autoRedefine/>
    <w:uiPriority w:val="39"/>
    <w:unhideWhenUsed/>
    <w:rsid w:val="005F6958"/>
    <w:pPr>
      <w:spacing w:after="0"/>
      <w:ind w:left="880"/>
    </w:pPr>
    <w:rPr>
      <w:rFonts w:cstheme="minorHAnsi"/>
      <w:sz w:val="20"/>
      <w:szCs w:val="20"/>
    </w:rPr>
  </w:style>
  <w:style w:type="paragraph" w:styleId="TM7">
    <w:name w:val="toc 7"/>
    <w:basedOn w:val="Normal"/>
    <w:next w:val="Normal"/>
    <w:autoRedefine/>
    <w:uiPriority w:val="39"/>
    <w:unhideWhenUsed/>
    <w:rsid w:val="005F6958"/>
    <w:pPr>
      <w:spacing w:after="0"/>
      <w:ind w:left="1100"/>
    </w:pPr>
    <w:rPr>
      <w:rFonts w:cstheme="minorHAnsi"/>
      <w:sz w:val="20"/>
      <w:szCs w:val="20"/>
    </w:rPr>
  </w:style>
  <w:style w:type="paragraph" w:styleId="TM8">
    <w:name w:val="toc 8"/>
    <w:basedOn w:val="Normal"/>
    <w:next w:val="Normal"/>
    <w:autoRedefine/>
    <w:uiPriority w:val="39"/>
    <w:unhideWhenUsed/>
    <w:rsid w:val="005F6958"/>
    <w:pPr>
      <w:spacing w:after="0"/>
      <w:ind w:left="1320"/>
    </w:pPr>
    <w:rPr>
      <w:rFonts w:cstheme="minorHAnsi"/>
      <w:sz w:val="20"/>
      <w:szCs w:val="20"/>
    </w:rPr>
  </w:style>
  <w:style w:type="paragraph" w:styleId="TM9">
    <w:name w:val="toc 9"/>
    <w:basedOn w:val="Normal"/>
    <w:next w:val="Normal"/>
    <w:autoRedefine/>
    <w:uiPriority w:val="39"/>
    <w:unhideWhenUsed/>
    <w:rsid w:val="005F6958"/>
    <w:pPr>
      <w:spacing w:after="0"/>
      <w:ind w:left="1540"/>
    </w:pPr>
    <w:rPr>
      <w:rFonts w:cstheme="minorHAnsi"/>
      <w:sz w:val="20"/>
      <w:szCs w:val="20"/>
    </w:rPr>
  </w:style>
  <w:style w:type="paragraph" w:styleId="En-tte">
    <w:name w:val="header"/>
    <w:basedOn w:val="Normal"/>
    <w:link w:val="En-tteCar"/>
    <w:uiPriority w:val="99"/>
    <w:unhideWhenUsed/>
    <w:rsid w:val="00D93DEA"/>
    <w:pPr>
      <w:tabs>
        <w:tab w:val="center" w:pos="4320"/>
        <w:tab w:val="right" w:pos="8640"/>
      </w:tabs>
      <w:spacing w:after="0" w:line="240" w:lineRule="auto"/>
    </w:pPr>
  </w:style>
  <w:style w:type="character" w:customStyle="1" w:styleId="En-tteCar">
    <w:name w:val="En-tête Car"/>
    <w:basedOn w:val="Policepardfaut"/>
    <w:link w:val="En-tte"/>
    <w:uiPriority w:val="99"/>
    <w:rsid w:val="00D93DEA"/>
  </w:style>
  <w:style w:type="paragraph" w:styleId="Pieddepage">
    <w:name w:val="footer"/>
    <w:basedOn w:val="Normal"/>
    <w:link w:val="PieddepageCar"/>
    <w:uiPriority w:val="99"/>
    <w:unhideWhenUsed/>
    <w:rsid w:val="00D93DEA"/>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D93DEA"/>
  </w:style>
  <w:style w:type="character" w:customStyle="1" w:styleId="uficommentbody">
    <w:name w:val="uficommentbody"/>
    <w:basedOn w:val="Policepardfaut"/>
    <w:rsid w:val="00660B2C"/>
  </w:style>
  <w:style w:type="paragraph" w:styleId="Rvision">
    <w:name w:val="Revision"/>
    <w:hidden/>
    <w:uiPriority w:val="99"/>
    <w:semiHidden/>
    <w:rsid w:val="003053EE"/>
    <w:pPr>
      <w:spacing w:after="0" w:line="240" w:lineRule="auto"/>
    </w:pPr>
  </w:style>
</w:styles>
</file>

<file path=word/webSettings.xml><?xml version="1.0" encoding="utf-8"?>
<w:webSettings xmlns:r="http://schemas.openxmlformats.org/officeDocument/2006/relationships" xmlns:w="http://schemas.openxmlformats.org/wordprocessingml/2006/main">
  <w:divs>
    <w:div w:id="140079603">
      <w:bodyDiv w:val="1"/>
      <w:marLeft w:val="0"/>
      <w:marRight w:val="0"/>
      <w:marTop w:val="0"/>
      <w:marBottom w:val="0"/>
      <w:divBdr>
        <w:top w:val="none" w:sz="0" w:space="0" w:color="auto"/>
        <w:left w:val="none" w:sz="0" w:space="0" w:color="auto"/>
        <w:bottom w:val="none" w:sz="0" w:space="0" w:color="auto"/>
        <w:right w:val="none" w:sz="0" w:space="0" w:color="auto"/>
      </w:divBdr>
      <w:divsChild>
        <w:div w:id="1019697328">
          <w:marLeft w:val="0"/>
          <w:marRight w:val="0"/>
          <w:marTop w:val="0"/>
          <w:marBottom w:val="0"/>
          <w:divBdr>
            <w:top w:val="none" w:sz="0" w:space="0" w:color="auto"/>
            <w:left w:val="none" w:sz="0" w:space="0" w:color="auto"/>
            <w:bottom w:val="none" w:sz="0" w:space="0" w:color="auto"/>
            <w:right w:val="none" w:sz="0" w:space="0" w:color="auto"/>
          </w:divBdr>
          <w:divsChild>
            <w:div w:id="1671829600">
              <w:marLeft w:val="0"/>
              <w:marRight w:val="0"/>
              <w:marTop w:val="0"/>
              <w:marBottom w:val="0"/>
              <w:divBdr>
                <w:top w:val="none" w:sz="0" w:space="0" w:color="auto"/>
                <w:left w:val="none" w:sz="0" w:space="0" w:color="auto"/>
                <w:bottom w:val="none" w:sz="0" w:space="0" w:color="auto"/>
                <w:right w:val="none" w:sz="0" w:space="0" w:color="auto"/>
              </w:divBdr>
              <w:divsChild>
                <w:div w:id="1668172487">
                  <w:marLeft w:val="0"/>
                  <w:marRight w:val="0"/>
                  <w:marTop w:val="0"/>
                  <w:marBottom w:val="0"/>
                  <w:divBdr>
                    <w:top w:val="none" w:sz="0" w:space="0" w:color="auto"/>
                    <w:left w:val="none" w:sz="0" w:space="0" w:color="auto"/>
                    <w:bottom w:val="none" w:sz="0" w:space="0" w:color="auto"/>
                    <w:right w:val="none" w:sz="0" w:space="0" w:color="auto"/>
                  </w:divBdr>
                  <w:divsChild>
                    <w:div w:id="2087149267">
                      <w:marLeft w:val="0"/>
                      <w:marRight w:val="0"/>
                      <w:marTop w:val="0"/>
                      <w:marBottom w:val="0"/>
                      <w:divBdr>
                        <w:top w:val="none" w:sz="0" w:space="0" w:color="auto"/>
                        <w:left w:val="none" w:sz="0" w:space="0" w:color="auto"/>
                        <w:bottom w:val="none" w:sz="0" w:space="0" w:color="auto"/>
                        <w:right w:val="none" w:sz="0" w:space="0" w:color="auto"/>
                      </w:divBdr>
                      <w:divsChild>
                        <w:div w:id="1223827224">
                          <w:marLeft w:val="0"/>
                          <w:marRight w:val="0"/>
                          <w:marTop w:val="0"/>
                          <w:marBottom w:val="0"/>
                          <w:divBdr>
                            <w:top w:val="none" w:sz="0" w:space="0" w:color="auto"/>
                            <w:left w:val="none" w:sz="0" w:space="0" w:color="auto"/>
                            <w:bottom w:val="none" w:sz="0" w:space="0" w:color="auto"/>
                            <w:right w:val="none" w:sz="0" w:space="0" w:color="auto"/>
                          </w:divBdr>
                          <w:divsChild>
                            <w:div w:id="1150825704">
                              <w:marLeft w:val="0"/>
                              <w:marRight w:val="0"/>
                              <w:marTop w:val="0"/>
                              <w:marBottom w:val="0"/>
                              <w:divBdr>
                                <w:top w:val="none" w:sz="0" w:space="0" w:color="auto"/>
                                <w:left w:val="none" w:sz="0" w:space="0" w:color="auto"/>
                                <w:bottom w:val="none" w:sz="0" w:space="0" w:color="auto"/>
                                <w:right w:val="none" w:sz="0" w:space="0" w:color="auto"/>
                              </w:divBdr>
                              <w:divsChild>
                                <w:div w:id="1009678243">
                                  <w:marLeft w:val="0"/>
                                  <w:marRight w:val="0"/>
                                  <w:marTop w:val="0"/>
                                  <w:marBottom w:val="0"/>
                                  <w:divBdr>
                                    <w:top w:val="none" w:sz="0" w:space="0" w:color="auto"/>
                                    <w:left w:val="none" w:sz="0" w:space="0" w:color="auto"/>
                                    <w:bottom w:val="none" w:sz="0" w:space="0" w:color="auto"/>
                                    <w:right w:val="none" w:sz="0" w:space="0" w:color="auto"/>
                                  </w:divBdr>
                                  <w:divsChild>
                                    <w:div w:id="691033699">
                                      <w:marLeft w:val="0"/>
                                      <w:marRight w:val="0"/>
                                      <w:marTop w:val="0"/>
                                      <w:marBottom w:val="0"/>
                                      <w:divBdr>
                                        <w:top w:val="none" w:sz="0" w:space="0" w:color="auto"/>
                                        <w:left w:val="none" w:sz="0" w:space="0" w:color="auto"/>
                                        <w:bottom w:val="none" w:sz="0" w:space="0" w:color="auto"/>
                                        <w:right w:val="none" w:sz="0" w:space="0" w:color="auto"/>
                                      </w:divBdr>
                                      <w:divsChild>
                                        <w:div w:id="488908690">
                                          <w:marLeft w:val="0"/>
                                          <w:marRight w:val="0"/>
                                          <w:marTop w:val="0"/>
                                          <w:marBottom w:val="0"/>
                                          <w:divBdr>
                                            <w:top w:val="none" w:sz="0" w:space="0" w:color="auto"/>
                                            <w:left w:val="none" w:sz="0" w:space="0" w:color="auto"/>
                                            <w:bottom w:val="none" w:sz="0" w:space="0" w:color="auto"/>
                                            <w:right w:val="none" w:sz="0" w:space="0" w:color="auto"/>
                                          </w:divBdr>
                                          <w:divsChild>
                                            <w:div w:id="2045982971">
                                              <w:marLeft w:val="0"/>
                                              <w:marRight w:val="0"/>
                                              <w:marTop w:val="0"/>
                                              <w:marBottom w:val="0"/>
                                              <w:divBdr>
                                                <w:top w:val="none" w:sz="0" w:space="0" w:color="auto"/>
                                                <w:left w:val="none" w:sz="0" w:space="0" w:color="auto"/>
                                                <w:bottom w:val="none" w:sz="0" w:space="0" w:color="auto"/>
                                                <w:right w:val="none" w:sz="0" w:space="0" w:color="auto"/>
                                              </w:divBdr>
                                              <w:divsChild>
                                                <w:div w:id="1282805160">
                                                  <w:marLeft w:val="0"/>
                                                  <w:marRight w:val="0"/>
                                                  <w:marTop w:val="0"/>
                                                  <w:marBottom w:val="0"/>
                                                  <w:divBdr>
                                                    <w:top w:val="none" w:sz="0" w:space="0" w:color="auto"/>
                                                    <w:left w:val="none" w:sz="0" w:space="0" w:color="auto"/>
                                                    <w:bottom w:val="none" w:sz="0" w:space="0" w:color="auto"/>
                                                    <w:right w:val="none" w:sz="0" w:space="0" w:color="auto"/>
                                                  </w:divBdr>
                                                  <w:divsChild>
                                                    <w:div w:id="1784615189">
                                                      <w:marLeft w:val="0"/>
                                                      <w:marRight w:val="0"/>
                                                      <w:marTop w:val="0"/>
                                                      <w:marBottom w:val="0"/>
                                                      <w:divBdr>
                                                        <w:top w:val="none" w:sz="0" w:space="0" w:color="auto"/>
                                                        <w:left w:val="none" w:sz="0" w:space="0" w:color="auto"/>
                                                        <w:bottom w:val="none" w:sz="0" w:space="0" w:color="auto"/>
                                                        <w:right w:val="none" w:sz="0" w:space="0" w:color="auto"/>
                                                      </w:divBdr>
                                                      <w:divsChild>
                                                        <w:div w:id="1547139173">
                                                          <w:marLeft w:val="480"/>
                                                          <w:marRight w:val="0"/>
                                                          <w:marTop w:val="0"/>
                                                          <w:marBottom w:val="0"/>
                                                          <w:divBdr>
                                                            <w:top w:val="none" w:sz="0" w:space="0" w:color="auto"/>
                                                            <w:left w:val="none" w:sz="0" w:space="0" w:color="auto"/>
                                                            <w:bottom w:val="none" w:sz="0" w:space="0" w:color="auto"/>
                                                            <w:right w:val="none" w:sz="0" w:space="0" w:color="auto"/>
                                                          </w:divBdr>
                                                          <w:divsChild>
                                                            <w:div w:id="1032534379">
                                                              <w:marLeft w:val="0"/>
                                                              <w:marRight w:val="0"/>
                                                              <w:marTop w:val="0"/>
                                                              <w:marBottom w:val="0"/>
                                                              <w:divBdr>
                                                                <w:top w:val="none" w:sz="0" w:space="0" w:color="auto"/>
                                                                <w:left w:val="none" w:sz="0" w:space="0" w:color="auto"/>
                                                                <w:bottom w:val="none" w:sz="0" w:space="0" w:color="auto"/>
                                                                <w:right w:val="none" w:sz="0" w:space="0" w:color="auto"/>
                                                              </w:divBdr>
                                                              <w:divsChild>
                                                                <w:div w:id="943803609">
                                                                  <w:marLeft w:val="0"/>
                                                                  <w:marRight w:val="0"/>
                                                                  <w:marTop w:val="0"/>
                                                                  <w:marBottom w:val="0"/>
                                                                  <w:divBdr>
                                                                    <w:top w:val="none" w:sz="0" w:space="0" w:color="auto"/>
                                                                    <w:left w:val="none" w:sz="0" w:space="0" w:color="auto"/>
                                                                    <w:bottom w:val="none" w:sz="0" w:space="0" w:color="auto"/>
                                                                    <w:right w:val="none" w:sz="0" w:space="0" w:color="auto"/>
                                                                  </w:divBdr>
                                                                  <w:divsChild>
                                                                    <w:div w:id="1989281931">
                                                                      <w:marLeft w:val="0"/>
                                                                      <w:marRight w:val="0"/>
                                                                      <w:marTop w:val="0"/>
                                                                      <w:marBottom w:val="0"/>
                                                                      <w:divBdr>
                                                                        <w:top w:val="none" w:sz="0" w:space="0" w:color="auto"/>
                                                                        <w:left w:val="none" w:sz="0" w:space="0" w:color="auto"/>
                                                                        <w:bottom w:val="none" w:sz="0" w:space="0" w:color="auto"/>
                                                                        <w:right w:val="none" w:sz="0" w:space="0" w:color="auto"/>
                                                                      </w:divBdr>
                                                                      <w:divsChild>
                                                                        <w:div w:id="904946808">
                                                                          <w:marLeft w:val="0"/>
                                                                          <w:marRight w:val="0"/>
                                                                          <w:marTop w:val="0"/>
                                                                          <w:marBottom w:val="0"/>
                                                                          <w:divBdr>
                                                                            <w:top w:val="none" w:sz="0" w:space="0" w:color="auto"/>
                                                                            <w:left w:val="none" w:sz="0" w:space="0" w:color="auto"/>
                                                                            <w:bottom w:val="none" w:sz="0" w:space="0" w:color="auto"/>
                                                                            <w:right w:val="none" w:sz="0" w:space="0" w:color="auto"/>
                                                                          </w:divBdr>
                                                                          <w:divsChild>
                                                                            <w:div w:id="1666200150">
                                                                              <w:marLeft w:val="0"/>
                                                                              <w:marRight w:val="0"/>
                                                                              <w:marTop w:val="0"/>
                                                                              <w:marBottom w:val="0"/>
                                                                              <w:divBdr>
                                                                                <w:top w:val="none" w:sz="0" w:space="0" w:color="auto"/>
                                                                                <w:left w:val="none" w:sz="0" w:space="0" w:color="auto"/>
                                                                                <w:bottom w:val="none" w:sz="0" w:space="0" w:color="auto"/>
                                                                                <w:right w:val="none" w:sz="0" w:space="0" w:color="auto"/>
                                                                              </w:divBdr>
                                                                              <w:divsChild>
                                                                                <w:div w:id="614169094">
                                                                                  <w:marLeft w:val="0"/>
                                                                                  <w:marRight w:val="0"/>
                                                                                  <w:marTop w:val="0"/>
                                                                                  <w:marBottom w:val="0"/>
                                                                                  <w:divBdr>
                                                                                    <w:top w:val="none" w:sz="0" w:space="0" w:color="auto"/>
                                                                                    <w:left w:val="none" w:sz="0" w:space="0" w:color="auto"/>
                                                                                    <w:bottom w:val="single" w:sz="6" w:space="23" w:color="auto"/>
                                                                                    <w:right w:val="none" w:sz="0" w:space="0" w:color="auto"/>
                                                                                  </w:divBdr>
                                                                                  <w:divsChild>
                                                                                    <w:div w:id="2119374026">
                                                                                      <w:marLeft w:val="0"/>
                                                                                      <w:marRight w:val="0"/>
                                                                                      <w:marTop w:val="0"/>
                                                                                      <w:marBottom w:val="0"/>
                                                                                      <w:divBdr>
                                                                                        <w:top w:val="none" w:sz="0" w:space="0" w:color="auto"/>
                                                                                        <w:left w:val="none" w:sz="0" w:space="0" w:color="auto"/>
                                                                                        <w:bottom w:val="none" w:sz="0" w:space="0" w:color="auto"/>
                                                                                        <w:right w:val="none" w:sz="0" w:space="0" w:color="auto"/>
                                                                                      </w:divBdr>
                                                                                      <w:divsChild>
                                                                                        <w:div w:id="451217568">
                                                                                          <w:marLeft w:val="0"/>
                                                                                          <w:marRight w:val="0"/>
                                                                                          <w:marTop w:val="0"/>
                                                                                          <w:marBottom w:val="0"/>
                                                                                          <w:divBdr>
                                                                                            <w:top w:val="none" w:sz="0" w:space="0" w:color="auto"/>
                                                                                            <w:left w:val="none" w:sz="0" w:space="0" w:color="auto"/>
                                                                                            <w:bottom w:val="none" w:sz="0" w:space="0" w:color="auto"/>
                                                                                            <w:right w:val="none" w:sz="0" w:space="0" w:color="auto"/>
                                                                                          </w:divBdr>
                                                                                          <w:divsChild>
                                                                                            <w:div w:id="264651841">
                                                                                              <w:marLeft w:val="0"/>
                                                                                              <w:marRight w:val="0"/>
                                                                                              <w:marTop w:val="0"/>
                                                                                              <w:marBottom w:val="120"/>
                                                                                              <w:divBdr>
                                                                                                <w:top w:val="single" w:sz="6" w:space="2" w:color="D3D3D3"/>
                                                                                                <w:left w:val="single" w:sz="6" w:space="2" w:color="D3D3D3"/>
                                                                                                <w:bottom w:val="single" w:sz="6" w:space="2" w:color="D3D3D3"/>
                                                                                                <w:right w:val="single" w:sz="6" w:space="2" w:color="D3D3D3"/>
                                                                                              </w:divBdr>
                                                                                              <w:divsChild>
                                                                                                <w:div w:id="941452519">
                                                                                                  <w:marLeft w:val="0"/>
                                                                                                  <w:marRight w:val="0"/>
                                                                                                  <w:marTop w:val="0"/>
                                                                                                  <w:marBottom w:val="0"/>
                                                                                                  <w:divBdr>
                                                                                                    <w:top w:val="none" w:sz="0" w:space="0" w:color="auto"/>
                                                                                                    <w:left w:val="none" w:sz="0" w:space="0" w:color="auto"/>
                                                                                                    <w:bottom w:val="none" w:sz="0" w:space="0" w:color="auto"/>
                                                                                                    <w:right w:val="none" w:sz="0" w:space="0" w:color="auto"/>
                                                                                                  </w:divBdr>
                                                                                                  <w:divsChild>
                                                                                                    <w:div w:id="1177117985">
                                                                                                      <w:marLeft w:val="0"/>
                                                                                                      <w:marRight w:val="0"/>
                                                                                                      <w:marTop w:val="0"/>
                                                                                                      <w:marBottom w:val="0"/>
                                                                                                      <w:divBdr>
                                                                                                        <w:top w:val="none" w:sz="0" w:space="0" w:color="auto"/>
                                                                                                        <w:left w:val="none" w:sz="0" w:space="0" w:color="auto"/>
                                                                                                        <w:bottom w:val="none" w:sz="0" w:space="0" w:color="auto"/>
                                                                                                        <w:right w:val="none" w:sz="0" w:space="0" w:color="auto"/>
                                                                                                      </w:divBdr>
                                                                                                      <w:divsChild>
                                                                                                        <w:div w:id="1902668429">
                                                                                                          <w:marLeft w:val="0"/>
                                                                                                          <w:marRight w:val="0"/>
                                                                                                          <w:marTop w:val="0"/>
                                                                                                          <w:marBottom w:val="0"/>
                                                                                                          <w:divBdr>
                                                                                                            <w:top w:val="none" w:sz="0" w:space="0" w:color="auto"/>
                                                                                                            <w:left w:val="none" w:sz="0" w:space="0" w:color="auto"/>
                                                                                                            <w:bottom w:val="none" w:sz="0" w:space="0" w:color="auto"/>
                                                                                                            <w:right w:val="none" w:sz="0" w:space="0" w:color="auto"/>
                                                                                                          </w:divBdr>
                                                                                                          <w:divsChild>
                                                                                                            <w:div w:id="649289918">
                                                                                                              <w:marLeft w:val="0"/>
                                                                                                              <w:marRight w:val="0"/>
                                                                                                              <w:marTop w:val="0"/>
                                                                                                              <w:marBottom w:val="0"/>
                                                                                                              <w:divBdr>
                                                                                                                <w:top w:val="none" w:sz="0" w:space="0" w:color="auto"/>
                                                                                                                <w:left w:val="none" w:sz="0" w:space="0" w:color="auto"/>
                                                                                                                <w:bottom w:val="none" w:sz="0" w:space="0" w:color="auto"/>
                                                                                                                <w:right w:val="none" w:sz="0" w:space="0" w:color="auto"/>
                                                                                                              </w:divBdr>
                                                                                                              <w:divsChild>
                                                                                                                <w:div w:id="427045609">
                                                                                                                  <w:marLeft w:val="0"/>
                                                                                                                  <w:marRight w:val="0"/>
                                                                                                                  <w:marTop w:val="0"/>
                                                                                                                  <w:marBottom w:val="0"/>
                                                                                                                  <w:divBdr>
                                                                                                                    <w:top w:val="none" w:sz="0" w:space="0" w:color="auto"/>
                                                                                                                    <w:left w:val="none" w:sz="0" w:space="0" w:color="auto"/>
                                                                                                                    <w:bottom w:val="none" w:sz="0" w:space="0" w:color="auto"/>
                                                                                                                    <w:right w:val="none" w:sz="0" w:space="0" w:color="auto"/>
                                                                                                                  </w:divBdr>
                                                                                                                  <w:divsChild>
                                                                                                                    <w:div w:id="1972057250">
                                                                                                                      <w:marLeft w:val="0"/>
                                                                                                                      <w:marRight w:val="0"/>
                                                                                                                      <w:marTop w:val="0"/>
                                                                                                                      <w:marBottom w:val="0"/>
                                                                                                                      <w:divBdr>
                                                                                                                        <w:top w:val="none" w:sz="0" w:space="0" w:color="auto"/>
                                                                                                                        <w:left w:val="none" w:sz="0" w:space="0" w:color="auto"/>
                                                                                                                        <w:bottom w:val="none" w:sz="0" w:space="0" w:color="auto"/>
                                                                                                                        <w:right w:val="none" w:sz="0" w:space="0" w:color="auto"/>
                                                                                                                      </w:divBdr>
                                                                                                                    </w:div>
                                                                                                                    <w:div w:id="138964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8786535">
      <w:bodyDiv w:val="1"/>
      <w:marLeft w:val="0"/>
      <w:marRight w:val="0"/>
      <w:marTop w:val="0"/>
      <w:marBottom w:val="0"/>
      <w:divBdr>
        <w:top w:val="none" w:sz="0" w:space="0" w:color="auto"/>
        <w:left w:val="none" w:sz="0" w:space="0" w:color="auto"/>
        <w:bottom w:val="none" w:sz="0" w:space="0" w:color="auto"/>
        <w:right w:val="none" w:sz="0" w:space="0" w:color="auto"/>
      </w:divBdr>
    </w:div>
    <w:div w:id="611593451">
      <w:bodyDiv w:val="1"/>
      <w:marLeft w:val="0"/>
      <w:marRight w:val="0"/>
      <w:marTop w:val="0"/>
      <w:marBottom w:val="0"/>
      <w:divBdr>
        <w:top w:val="none" w:sz="0" w:space="0" w:color="auto"/>
        <w:left w:val="none" w:sz="0" w:space="0" w:color="auto"/>
        <w:bottom w:val="none" w:sz="0" w:space="0" w:color="auto"/>
        <w:right w:val="none" w:sz="0" w:space="0" w:color="auto"/>
      </w:divBdr>
    </w:div>
    <w:div w:id="693774363">
      <w:bodyDiv w:val="1"/>
      <w:marLeft w:val="0"/>
      <w:marRight w:val="0"/>
      <w:marTop w:val="0"/>
      <w:marBottom w:val="0"/>
      <w:divBdr>
        <w:top w:val="none" w:sz="0" w:space="0" w:color="auto"/>
        <w:left w:val="none" w:sz="0" w:space="0" w:color="auto"/>
        <w:bottom w:val="none" w:sz="0" w:space="0" w:color="auto"/>
        <w:right w:val="none" w:sz="0" w:space="0" w:color="auto"/>
      </w:divBdr>
    </w:div>
    <w:div w:id="951472315">
      <w:bodyDiv w:val="1"/>
      <w:marLeft w:val="0"/>
      <w:marRight w:val="0"/>
      <w:marTop w:val="0"/>
      <w:marBottom w:val="0"/>
      <w:divBdr>
        <w:top w:val="none" w:sz="0" w:space="0" w:color="auto"/>
        <w:left w:val="none" w:sz="0" w:space="0" w:color="auto"/>
        <w:bottom w:val="none" w:sz="0" w:space="0" w:color="auto"/>
        <w:right w:val="none" w:sz="0" w:space="0" w:color="auto"/>
      </w:divBdr>
      <w:divsChild>
        <w:div w:id="1557931690">
          <w:marLeft w:val="547"/>
          <w:marRight w:val="0"/>
          <w:marTop w:val="0"/>
          <w:marBottom w:val="0"/>
          <w:divBdr>
            <w:top w:val="none" w:sz="0" w:space="0" w:color="auto"/>
            <w:left w:val="none" w:sz="0" w:space="0" w:color="auto"/>
            <w:bottom w:val="none" w:sz="0" w:space="0" w:color="auto"/>
            <w:right w:val="none" w:sz="0" w:space="0" w:color="auto"/>
          </w:divBdr>
        </w:div>
        <w:div w:id="1211914156">
          <w:marLeft w:val="547"/>
          <w:marRight w:val="0"/>
          <w:marTop w:val="0"/>
          <w:marBottom w:val="0"/>
          <w:divBdr>
            <w:top w:val="none" w:sz="0" w:space="0" w:color="auto"/>
            <w:left w:val="none" w:sz="0" w:space="0" w:color="auto"/>
            <w:bottom w:val="none" w:sz="0" w:space="0" w:color="auto"/>
            <w:right w:val="none" w:sz="0" w:space="0" w:color="auto"/>
          </w:divBdr>
        </w:div>
        <w:div w:id="123428016">
          <w:marLeft w:val="547"/>
          <w:marRight w:val="0"/>
          <w:marTop w:val="0"/>
          <w:marBottom w:val="0"/>
          <w:divBdr>
            <w:top w:val="none" w:sz="0" w:space="0" w:color="auto"/>
            <w:left w:val="none" w:sz="0" w:space="0" w:color="auto"/>
            <w:bottom w:val="none" w:sz="0" w:space="0" w:color="auto"/>
            <w:right w:val="none" w:sz="0" w:space="0" w:color="auto"/>
          </w:divBdr>
        </w:div>
        <w:div w:id="1872573647">
          <w:marLeft w:val="547"/>
          <w:marRight w:val="0"/>
          <w:marTop w:val="0"/>
          <w:marBottom w:val="0"/>
          <w:divBdr>
            <w:top w:val="none" w:sz="0" w:space="0" w:color="auto"/>
            <w:left w:val="none" w:sz="0" w:space="0" w:color="auto"/>
            <w:bottom w:val="none" w:sz="0" w:space="0" w:color="auto"/>
            <w:right w:val="none" w:sz="0" w:space="0" w:color="auto"/>
          </w:divBdr>
        </w:div>
        <w:div w:id="70198978">
          <w:marLeft w:val="547"/>
          <w:marRight w:val="0"/>
          <w:marTop w:val="0"/>
          <w:marBottom w:val="0"/>
          <w:divBdr>
            <w:top w:val="none" w:sz="0" w:space="0" w:color="auto"/>
            <w:left w:val="none" w:sz="0" w:space="0" w:color="auto"/>
            <w:bottom w:val="none" w:sz="0" w:space="0" w:color="auto"/>
            <w:right w:val="none" w:sz="0" w:space="0" w:color="auto"/>
          </w:divBdr>
        </w:div>
        <w:div w:id="1677537981">
          <w:marLeft w:val="547"/>
          <w:marRight w:val="0"/>
          <w:marTop w:val="0"/>
          <w:marBottom w:val="0"/>
          <w:divBdr>
            <w:top w:val="none" w:sz="0" w:space="0" w:color="auto"/>
            <w:left w:val="none" w:sz="0" w:space="0" w:color="auto"/>
            <w:bottom w:val="none" w:sz="0" w:space="0" w:color="auto"/>
            <w:right w:val="none" w:sz="0" w:space="0" w:color="auto"/>
          </w:divBdr>
        </w:div>
        <w:div w:id="234439412">
          <w:marLeft w:val="547"/>
          <w:marRight w:val="0"/>
          <w:marTop w:val="0"/>
          <w:marBottom w:val="0"/>
          <w:divBdr>
            <w:top w:val="none" w:sz="0" w:space="0" w:color="auto"/>
            <w:left w:val="none" w:sz="0" w:space="0" w:color="auto"/>
            <w:bottom w:val="none" w:sz="0" w:space="0" w:color="auto"/>
            <w:right w:val="none" w:sz="0" w:space="0" w:color="auto"/>
          </w:divBdr>
        </w:div>
        <w:div w:id="406733173">
          <w:marLeft w:val="547"/>
          <w:marRight w:val="0"/>
          <w:marTop w:val="0"/>
          <w:marBottom w:val="0"/>
          <w:divBdr>
            <w:top w:val="none" w:sz="0" w:space="0" w:color="auto"/>
            <w:left w:val="none" w:sz="0" w:space="0" w:color="auto"/>
            <w:bottom w:val="none" w:sz="0" w:space="0" w:color="auto"/>
            <w:right w:val="none" w:sz="0" w:space="0" w:color="auto"/>
          </w:divBdr>
        </w:div>
        <w:div w:id="1417903087">
          <w:marLeft w:val="547"/>
          <w:marRight w:val="0"/>
          <w:marTop w:val="0"/>
          <w:marBottom w:val="0"/>
          <w:divBdr>
            <w:top w:val="none" w:sz="0" w:space="0" w:color="auto"/>
            <w:left w:val="none" w:sz="0" w:space="0" w:color="auto"/>
            <w:bottom w:val="none" w:sz="0" w:space="0" w:color="auto"/>
            <w:right w:val="none" w:sz="0" w:space="0" w:color="auto"/>
          </w:divBdr>
        </w:div>
        <w:div w:id="1303804674">
          <w:marLeft w:val="547"/>
          <w:marRight w:val="0"/>
          <w:marTop w:val="0"/>
          <w:marBottom w:val="0"/>
          <w:divBdr>
            <w:top w:val="none" w:sz="0" w:space="0" w:color="auto"/>
            <w:left w:val="none" w:sz="0" w:space="0" w:color="auto"/>
            <w:bottom w:val="none" w:sz="0" w:space="0" w:color="auto"/>
            <w:right w:val="none" w:sz="0" w:space="0" w:color="auto"/>
          </w:divBdr>
        </w:div>
        <w:div w:id="810243977">
          <w:marLeft w:val="547"/>
          <w:marRight w:val="0"/>
          <w:marTop w:val="0"/>
          <w:marBottom w:val="0"/>
          <w:divBdr>
            <w:top w:val="none" w:sz="0" w:space="0" w:color="auto"/>
            <w:left w:val="none" w:sz="0" w:space="0" w:color="auto"/>
            <w:bottom w:val="none" w:sz="0" w:space="0" w:color="auto"/>
            <w:right w:val="none" w:sz="0" w:space="0" w:color="auto"/>
          </w:divBdr>
        </w:div>
        <w:div w:id="781849126">
          <w:marLeft w:val="547"/>
          <w:marRight w:val="0"/>
          <w:marTop w:val="0"/>
          <w:marBottom w:val="0"/>
          <w:divBdr>
            <w:top w:val="none" w:sz="0" w:space="0" w:color="auto"/>
            <w:left w:val="none" w:sz="0" w:space="0" w:color="auto"/>
            <w:bottom w:val="none" w:sz="0" w:space="0" w:color="auto"/>
            <w:right w:val="none" w:sz="0" w:space="0" w:color="auto"/>
          </w:divBdr>
        </w:div>
        <w:div w:id="433015939">
          <w:marLeft w:val="547"/>
          <w:marRight w:val="0"/>
          <w:marTop w:val="0"/>
          <w:marBottom w:val="0"/>
          <w:divBdr>
            <w:top w:val="none" w:sz="0" w:space="0" w:color="auto"/>
            <w:left w:val="none" w:sz="0" w:space="0" w:color="auto"/>
            <w:bottom w:val="none" w:sz="0" w:space="0" w:color="auto"/>
            <w:right w:val="none" w:sz="0" w:space="0" w:color="auto"/>
          </w:divBdr>
        </w:div>
        <w:div w:id="901141006">
          <w:marLeft w:val="547"/>
          <w:marRight w:val="0"/>
          <w:marTop w:val="0"/>
          <w:marBottom w:val="0"/>
          <w:divBdr>
            <w:top w:val="none" w:sz="0" w:space="0" w:color="auto"/>
            <w:left w:val="none" w:sz="0" w:space="0" w:color="auto"/>
            <w:bottom w:val="none" w:sz="0" w:space="0" w:color="auto"/>
            <w:right w:val="none" w:sz="0" w:space="0" w:color="auto"/>
          </w:divBdr>
        </w:div>
        <w:div w:id="1895192464">
          <w:marLeft w:val="547"/>
          <w:marRight w:val="0"/>
          <w:marTop w:val="0"/>
          <w:marBottom w:val="0"/>
          <w:divBdr>
            <w:top w:val="none" w:sz="0" w:space="0" w:color="auto"/>
            <w:left w:val="none" w:sz="0" w:space="0" w:color="auto"/>
            <w:bottom w:val="none" w:sz="0" w:space="0" w:color="auto"/>
            <w:right w:val="none" w:sz="0" w:space="0" w:color="auto"/>
          </w:divBdr>
        </w:div>
        <w:div w:id="1182554020">
          <w:marLeft w:val="547"/>
          <w:marRight w:val="0"/>
          <w:marTop w:val="0"/>
          <w:marBottom w:val="0"/>
          <w:divBdr>
            <w:top w:val="none" w:sz="0" w:space="0" w:color="auto"/>
            <w:left w:val="none" w:sz="0" w:space="0" w:color="auto"/>
            <w:bottom w:val="none" w:sz="0" w:space="0" w:color="auto"/>
            <w:right w:val="none" w:sz="0" w:space="0" w:color="auto"/>
          </w:divBdr>
        </w:div>
        <w:div w:id="1355770586">
          <w:marLeft w:val="547"/>
          <w:marRight w:val="0"/>
          <w:marTop w:val="0"/>
          <w:marBottom w:val="0"/>
          <w:divBdr>
            <w:top w:val="none" w:sz="0" w:space="0" w:color="auto"/>
            <w:left w:val="none" w:sz="0" w:space="0" w:color="auto"/>
            <w:bottom w:val="none" w:sz="0" w:space="0" w:color="auto"/>
            <w:right w:val="none" w:sz="0" w:space="0" w:color="auto"/>
          </w:divBdr>
        </w:div>
        <w:div w:id="1596203729">
          <w:marLeft w:val="547"/>
          <w:marRight w:val="0"/>
          <w:marTop w:val="0"/>
          <w:marBottom w:val="0"/>
          <w:divBdr>
            <w:top w:val="none" w:sz="0" w:space="0" w:color="auto"/>
            <w:left w:val="none" w:sz="0" w:space="0" w:color="auto"/>
            <w:bottom w:val="none" w:sz="0" w:space="0" w:color="auto"/>
            <w:right w:val="none" w:sz="0" w:space="0" w:color="auto"/>
          </w:divBdr>
        </w:div>
        <w:div w:id="1112895624">
          <w:marLeft w:val="547"/>
          <w:marRight w:val="0"/>
          <w:marTop w:val="0"/>
          <w:marBottom w:val="0"/>
          <w:divBdr>
            <w:top w:val="none" w:sz="0" w:space="0" w:color="auto"/>
            <w:left w:val="none" w:sz="0" w:space="0" w:color="auto"/>
            <w:bottom w:val="none" w:sz="0" w:space="0" w:color="auto"/>
            <w:right w:val="none" w:sz="0" w:space="0" w:color="auto"/>
          </w:divBdr>
        </w:div>
      </w:divsChild>
    </w:div>
    <w:div w:id="1321231005">
      <w:bodyDiv w:val="1"/>
      <w:marLeft w:val="0"/>
      <w:marRight w:val="0"/>
      <w:marTop w:val="0"/>
      <w:marBottom w:val="0"/>
      <w:divBdr>
        <w:top w:val="none" w:sz="0" w:space="0" w:color="auto"/>
        <w:left w:val="none" w:sz="0" w:space="0" w:color="auto"/>
        <w:bottom w:val="none" w:sz="0" w:space="0" w:color="auto"/>
        <w:right w:val="none" w:sz="0" w:space="0" w:color="auto"/>
      </w:divBdr>
      <w:divsChild>
        <w:div w:id="1163812379">
          <w:marLeft w:val="0"/>
          <w:marRight w:val="0"/>
          <w:marTop w:val="0"/>
          <w:marBottom w:val="0"/>
          <w:divBdr>
            <w:top w:val="none" w:sz="0" w:space="0" w:color="auto"/>
            <w:left w:val="none" w:sz="0" w:space="0" w:color="auto"/>
            <w:bottom w:val="none" w:sz="0" w:space="0" w:color="auto"/>
            <w:right w:val="none" w:sz="0" w:space="0" w:color="auto"/>
          </w:divBdr>
          <w:divsChild>
            <w:div w:id="2094082403">
              <w:marLeft w:val="0"/>
              <w:marRight w:val="0"/>
              <w:marTop w:val="0"/>
              <w:marBottom w:val="0"/>
              <w:divBdr>
                <w:top w:val="none" w:sz="0" w:space="0" w:color="auto"/>
                <w:left w:val="none" w:sz="0" w:space="0" w:color="auto"/>
                <w:bottom w:val="none" w:sz="0" w:space="0" w:color="auto"/>
                <w:right w:val="none" w:sz="0" w:space="0" w:color="auto"/>
              </w:divBdr>
              <w:divsChild>
                <w:div w:id="548151668">
                  <w:marLeft w:val="204"/>
                  <w:marRight w:val="0"/>
                  <w:marTop w:val="136"/>
                  <w:marBottom w:val="272"/>
                  <w:divBdr>
                    <w:top w:val="none" w:sz="0" w:space="0" w:color="auto"/>
                    <w:left w:val="none" w:sz="0" w:space="0" w:color="auto"/>
                    <w:bottom w:val="none" w:sz="0" w:space="0" w:color="auto"/>
                    <w:right w:val="none" w:sz="0" w:space="0" w:color="auto"/>
                  </w:divBdr>
                  <w:divsChild>
                    <w:div w:id="1006129549">
                      <w:marLeft w:val="0"/>
                      <w:marRight w:val="0"/>
                      <w:marTop w:val="0"/>
                      <w:marBottom w:val="0"/>
                      <w:divBdr>
                        <w:top w:val="none" w:sz="0" w:space="0" w:color="auto"/>
                        <w:left w:val="none" w:sz="0" w:space="0" w:color="auto"/>
                        <w:bottom w:val="none" w:sz="0" w:space="0" w:color="auto"/>
                        <w:right w:val="none" w:sz="0" w:space="0" w:color="auto"/>
                      </w:divBdr>
                      <w:divsChild>
                        <w:div w:id="140282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397297">
      <w:bodyDiv w:val="1"/>
      <w:marLeft w:val="0"/>
      <w:marRight w:val="0"/>
      <w:marTop w:val="0"/>
      <w:marBottom w:val="0"/>
      <w:divBdr>
        <w:top w:val="none" w:sz="0" w:space="0" w:color="auto"/>
        <w:left w:val="none" w:sz="0" w:space="0" w:color="auto"/>
        <w:bottom w:val="none" w:sz="0" w:space="0" w:color="auto"/>
        <w:right w:val="none" w:sz="0" w:space="0" w:color="auto"/>
      </w:divBdr>
    </w:div>
    <w:div w:id="1678581203">
      <w:bodyDiv w:val="1"/>
      <w:marLeft w:val="0"/>
      <w:marRight w:val="0"/>
      <w:marTop w:val="0"/>
      <w:marBottom w:val="0"/>
      <w:divBdr>
        <w:top w:val="none" w:sz="0" w:space="0" w:color="auto"/>
        <w:left w:val="none" w:sz="0" w:space="0" w:color="auto"/>
        <w:bottom w:val="none" w:sz="0" w:space="0" w:color="auto"/>
        <w:right w:val="none" w:sz="0" w:space="0" w:color="auto"/>
      </w:divBdr>
    </w:div>
    <w:div w:id="1717314915">
      <w:bodyDiv w:val="1"/>
      <w:marLeft w:val="0"/>
      <w:marRight w:val="0"/>
      <w:marTop w:val="0"/>
      <w:marBottom w:val="0"/>
      <w:divBdr>
        <w:top w:val="none" w:sz="0" w:space="0" w:color="auto"/>
        <w:left w:val="none" w:sz="0" w:space="0" w:color="auto"/>
        <w:bottom w:val="none" w:sz="0" w:space="0" w:color="auto"/>
        <w:right w:val="none" w:sz="0" w:space="0" w:color="auto"/>
      </w:divBdr>
    </w:div>
    <w:div w:id="1907490893">
      <w:bodyDiv w:val="1"/>
      <w:marLeft w:val="0"/>
      <w:marRight w:val="0"/>
      <w:marTop w:val="0"/>
      <w:marBottom w:val="0"/>
      <w:divBdr>
        <w:top w:val="none" w:sz="0" w:space="0" w:color="auto"/>
        <w:left w:val="none" w:sz="0" w:space="0" w:color="auto"/>
        <w:bottom w:val="none" w:sz="0" w:space="0" w:color="auto"/>
        <w:right w:val="none" w:sz="0" w:space="0" w:color="auto"/>
      </w:divBdr>
    </w:div>
    <w:div w:id="1941601448">
      <w:bodyDiv w:val="1"/>
      <w:marLeft w:val="0"/>
      <w:marRight w:val="0"/>
      <w:marTop w:val="0"/>
      <w:marBottom w:val="0"/>
      <w:divBdr>
        <w:top w:val="none" w:sz="0" w:space="0" w:color="auto"/>
        <w:left w:val="none" w:sz="0" w:space="0" w:color="auto"/>
        <w:bottom w:val="none" w:sz="0" w:space="0" w:color="auto"/>
        <w:right w:val="none" w:sz="0" w:space="0" w:color="auto"/>
      </w:divBdr>
    </w:div>
    <w:div w:id="2011523926">
      <w:bodyDiv w:val="1"/>
      <w:marLeft w:val="0"/>
      <w:marRight w:val="0"/>
      <w:marTop w:val="0"/>
      <w:marBottom w:val="0"/>
      <w:divBdr>
        <w:top w:val="none" w:sz="0" w:space="0" w:color="auto"/>
        <w:left w:val="none" w:sz="0" w:space="0" w:color="auto"/>
        <w:bottom w:val="none" w:sz="0" w:space="0" w:color="auto"/>
        <w:right w:val="none" w:sz="0" w:space="0" w:color="auto"/>
      </w:divBdr>
    </w:div>
    <w:div w:id="2096197514">
      <w:bodyDiv w:val="1"/>
      <w:marLeft w:val="0"/>
      <w:marRight w:val="0"/>
      <w:marTop w:val="0"/>
      <w:marBottom w:val="0"/>
      <w:divBdr>
        <w:top w:val="none" w:sz="0" w:space="0" w:color="auto"/>
        <w:left w:val="none" w:sz="0" w:space="0" w:color="auto"/>
        <w:bottom w:val="none" w:sz="0" w:space="0" w:color="auto"/>
        <w:right w:val="none" w:sz="0" w:space="0" w:color="auto"/>
      </w:divBdr>
      <w:divsChild>
        <w:div w:id="243729602">
          <w:marLeft w:val="0"/>
          <w:marRight w:val="0"/>
          <w:marTop w:val="0"/>
          <w:marBottom w:val="0"/>
          <w:divBdr>
            <w:top w:val="none" w:sz="0" w:space="0" w:color="auto"/>
            <w:left w:val="none" w:sz="0" w:space="0" w:color="auto"/>
            <w:bottom w:val="none" w:sz="0" w:space="0" w:color="auto"/>
            <w:right w:val="none" w:sz="0" w:space="0" w:color="auto"/>
          </w:divBdr>
          <w:divsChild>
            <w:div w:id="1160773959">
              <w:marLeft w:val="0"/>
              <w:marRight w:val="0"/>
              <w:marTop w:val="0"/>
              <w:marBottom w:val="0"/>
              <w:divBdr>
                <w:top w:val="none" w:sz="0" w:space="0" w:color="auto"/>
                <w:left w:val="none" w:sz="0" w:space="0" w:color="auto"/>
                <w:bottom w:val="none" w:sz="0" w:space="0" w:color="auto"/>
                <w:right w:val="none" w:sz="0" w:space="0" w:color="auto"/>
              </w:divBdr>
              <w:divsChild>
                <w:div w:id="917787909">
                  <w:marLeft w:val="225"/>
                  <w:marRight w:val="0"/>
                  <w:marTop w:val="150"/>
                  <w:marBottom w:val="300"/>
                  <w:divBdr>
                    <w:top w:val="none" w:sz="0" w:space="0" w:color="auto"/>
                    <w:left w:val="none" w:sz="0" w:space="0" w:color="auto"/>
                    <w:bottom w:val="none" w:sz="0" w:space="0" w:color="auto"/>
                    <w:right w:val="none" w:sz="0" w:space="0" w:color="auto"/>
                  </w:divBdr>
                  <w:divsChild>
                    <w:div w:id="121211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diagramQuickStyle" Target="diagrams/quickStyle9.xml"/><Relationship Id="rId21" Type="http://schemas.openxmlformats.org/officeDocument/2006/relationships/chart" Target="charts/chart3.xml"/><Relationship Id="rId42" Type="http://schemas.openxmlformats.org/officeDocument/2006/relationships/image" Target="media/image16.png"/><Relationship Id="rId47" Type="http://schemas.microsoft.com/office/2007/relationships/diagramDrawing" Target="diagrams/drawing4.xml"/><Relationship Id="rId63" Type="http://schemas.openxmlformats.org/officeDocument/2006/relationships/diagramLayout" Target="diagrams/layout7.xml"/><Relationship Id="rId68" Type="http://schemas.openxmlformats.org/officeDocument/2006/relationships/image" Target="media/image19.png"/><Relationship Id="rId84" Type="http://schemas.openxmlformats.org/officeDocument/2006/relationships/hyperlink" Target="https://oraprdnt.uqtr.uquebec.ca/pls/public/gscw031?owa_no_site=513&amp;owa_no_%09fiche=30&amp;owa_apercu=N&amp;owa_imprimable=N&amp;owa_bottin" TargetMode="External"/><Relationship Id="rId89" Type="http://schemas.openxmlformats.org/officeDocument/2006/relationships/hyperlink" Target="http://www.deltab.ca/solutions/etablissements-enseignement.html" TargetMode="External"/><Relationship Id="rId112" Type="http://schemas.openxmlformats.org/officeDocument/2006/relationships/hyperlink" Target="http://www23.statcan.gc.ca/imdb/p2SV_f.pl?Function=getSurvey&amp;SDDS=2803&amp;%09lang=fr&amp;db=imdb&amp;adm=8&amp;dis=2" TargetMode="External"/><Relationship Id="rId133" Type="http://schemas.openxmlformats.org/officeDocument/2006/relationships/image" Target="media/image30.png"/><Relationship Id="rId138" Type="http://schemas.openxmlformats.org/officeDocument/2006/relationships/image" Target="media/image35.png"/><Relationship Id="rId154" Type="http://schemas.openxmlformats.org/officeDocument/2006/relationships/image" Target="media/image51.png"/><Relationship Id="rId159" Type="http://schemas.openxmlformats.org/officeDocument/2006/relationships/image" Target="media/image56.png"/><Relationship Id="rId16" Type="http://schemas.openxmlformats.org/officeDocument/2006/relationships/diagramLayout" Target="diagrams/layout1.xml"/><Relationship Id="rId107" Type="http://schemas.openxmlformats.org/officeDocument/2006/relationships/hyperlink" Target="https://oraprdnt.uqtr.uquebec.ca/pls/public/gscw030?owa_no_site=3746&amp;owa_no" TargetMode="External"/><Relationship Id="rId11" Type="http://schemas.openxmlformats.org/officeDocument/2006/relationships/image" Target="media/image4.png"/><Relationship Id="rId32" Type="http://schemas.openxmlformats.org/officeDocument/2006/relationships/diagramQuickStyle" Target="diagrams/quickStyle2.xml"/><Relationship Id="rId37" Type="http://schemas.openxmlformats.org/officeDocument/2006/relationships/diagramQuickStyle" Target="diagrams/quickStyle3.xml"/><Relationship Id="rId53" Type="http://schemas.openxmlformats.org/officeDocument/2006/relationships/diagramColors" Target="diagrams/colors5.xml"/><Relationship Id="rId58" Type="http://schemas.openxmlformats.org/officeDocument/2006/relationships/diagramLayout" Target="diagrams/layout6.xml"/><Relationship Id="rId74" Type="http://schemas.openxmlformats.org/officeDocument/2006/relationships/hyperlink" Target="http://www.southeastern.edu/" TargetMode="External"/><Relationship Id="rId79" Type="http://schemas.microsoft.com/office/2007/relationships/diagramDrawing" Target="diagrams/drawing8.xml"/><Relationship Id="rId102" Type="http://schemas.openxmlformats.org/officeDocument/2006/relationships/hyperlink" Target="http://www.stat.gouv.qc.ca/statistiques/profils/panorama-regions-2014.pdf" TargetMode="External"/><Relationship Id="rId123" Type="http://schemas.openxmlformats.org/officeDocument/2006/relationships/diagramColors" Target="diagrams/colors10.xml"/><Relationship Id="rId128" Type="http://schemas.openxmlformats.org/officeDocument/2006/relationships/image" Target="media/image25.png"/><Relationship Id="rId144" Type="http://schemas.openxmlformats.org/officeDocument/2006/relationships/image" Target="media/image41.png"/><Relationship Id="rId149" Type="http://schemas.openxmlformats.org/officeDocument/2006/relationships/image" Target="media/image46.png"/><Relationship Id="rId5" Type="http://schemas.openxmlformats.org/officeDocument/2006/relationships/webSettings" Target="webSettings.xml"/><Relationship Id="rId90" Type="http://schemas.openxmlformats.org/officeDocument/2006/relationships/hyperlink" Target="http://blogue.uqtr.ca/2013/01/28/la-population-etudiante-de-luqtr-en-hausse-a-tous-les-cycles/" TargetMode="External"/><Relationship Id="rId95" Type="http://schemas.openxmlformats.org/officeDocument/2006/relationships/hyperlink" Target="http://www.mesrs.gouv.qc.ca/universites/personnel-duniversite/statistiques-etudes-et-rapports/previsions-de-leffectif-etudiant-a-luniversite-previsions-de-2014-a-2028/" TargetMode="External"/><Relationship Id="rId160" Type="http://schemas.openxmlformats.org/officeDocument/2006/relationships/image" Target="media/image57.png"/><Relationship Id="rId165" Type="http://schemas.openxmlformats.org/officeDocument/2006/relationships/theme" Target="theme/theme1.xml"/><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diagramData" Target="diagrams/data4.xml"/><Relationship Id="rId48" Type="http://schemas.openxmlformats.org/officeDocument/2006/relationships/hyperlink" Target="http://www.citeenforme.com/tarifs.php" TargetMode="External"/><Relationship Id="rId64" Type="http://schemas.openxmlformats.org/officeDocument/2006/relationships/diagramQuickStyle" Target="diagrams/quickStyle7.xml"/><Relationship Id="rId69" Type="http://schemas.openxmlformats.org/officeDocument/2006/relationships/chart" Target="charts/chart5.xml"/><Relationship Id="rId113" Type="http://schemas.openxmlformats.org/officeDocument/2006/relationships/hyperlink" Target="http://www.tradingeconomics.com/canada/unemployment-rate" TargetMode="External"/><Relationship Id="rId118" Type="http://schemas.openxmlformats.org/officeDocument/2006/relationships/diagramColors" Target="diagrams/colors9.xml"/><Relationship Id="rId134" Type="http://schemas.openxmlformats.org/officeDocument/2006/relationships/image" Target="media/image31.png"/><Relationship Id="rId139" Type="http://schemas.openxmlformats.org/officeDocument/2006/relationships/image" Target="media/image36.png"/><Relationship Id="rId80" Type="http://schemas.openxmlformats.org/officeDocument/2006/relationships/hyperlink" Target="http://www.4icu.org/ca/" TargetMode="External"/><Relationship Id="rId85" Type="http://schemas.openxmlformats.org/officeDocument/2006/relationships/hyperlink" Target="http://www.parl.gc.ca/content/sen/committee/411/soci/dpk_pse/recommend-f.htm" TargetMode="External"/><Relationship Id="rId150" Type="http://schemas.openxmlformats.org/officeDocument/2006/relationships/image" Target="media/image47.png"/><Relationship Id="rId155" Type="http://schemas.openxmlformats.org/officeDocument/2006/relationships/image" Target="media/image52.png"/><Relationship Id="rId12" Type="http://schemas.openxmlformats.org/officeDocument/2006/relationships/image" Target="media/image5.png"/><Relationship Id="rId17" Type="http://schemas.openxmlformats.org/officeDocument/2006/relationships/diagramQuickStyle" Target="diagrams/quickStyle1.xml"/><Relationship Id="rId33" Type="http://schemas.openxmlformats.org/officeDocument/2006/relationships/diagramColors" Target="diagrams/colors2.xml"/><Relationship Id="rId38" Type="http://schemas.openxmlformats.org/officeDocument/2006/relationships/diagramColors" Target="diagrams/colors3.xml"/><Relationship Id="rId59" Type="http://schemas.openxmlformats.org/officeDocument/2006/relationships/diagramQuickStyle" Target="diagrams/quickStyle6.xml"/><Relationship Id="rId103" Type="http://schemas.openxmlformats.org/officeDocument/2006/relationships/hyperlink" Target="http://www.stat.gouv.qc.ca/statistiques/population-%09demographie/bulletins/coupdoeil-no30.pdf" TargetMode="External"/><Relationship Id="rId108" Type="http://schemas.openxmlformats.org/officeDocument/2006/relationships/hyperlink" Target="http://ici.radio-canada.ca/regions/mauricie/2015/01/12/001-%09upac-uqtr-nadia-ghazzali-enquete.shtml" TargetMode="External"/><Relationship Id="rId124" Type="http://schemas.microsoft.com/office/2007/relationships/diagramDrawing" Target="diagrams/drawing10.xml"/><Relationship Id="rId129" Type="http://schemas.openxmlformats.org/officeDocument/2006/relationships/image" Target="media/image26.png"/><Relationship Id="rId54" Type="http://schemas.microsoft.com/office/2007/relationships/diagramDrawing" Target="diagrams/drawing5.xml"/><Relationship Id="rId70" Type="http://schemas.openxmlformats.org/officeDocument/2006/relationships/image" Target="media/image20.png"/><Relationship Id="rId75" Type="http://schemas.openxmlformats.org/officeDocument/2006/relationships/diagramData" Target="diagrams/data8.xml"/><Relationship Id="rId91" Type="http://schemas.openxmlformats.org/officeDocument/2006/relationships/hyperlink" Target="http://blogue.uqtr.ca/2015/01/23/hausse-population-etudiante-luqtr-au-trimestre-dhiver/" TargetMode="External"/><Relationship Id="rId96" Type="http://schemas.openxmlformats.org/officeDocument/2006/relationships/hyperlink" Target="http://www.statcan.gc.ca/" TargetMode="External"/><Relationship Id="rId140" Type="http://schemas.openxmlformats.org/officeDocument/2006/relationships/image" Target="media/image37.png"/><Relationship Id="rId145" Type="http://schemas.openxmlformats.org/officeDocument/2006/relationships/image" Target="media/image42.png"/><Relationship Id="rId161" Type="http://schemas.openxmlformats.org/officeDocument/2006/relationships/image" Target="media/image58.png"/><Relationship Id="rId166"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diagramLayout" Target="diagrams/layout3.xml"/><Relationship Id="rId49" Type="http://schemas.openxmlformats.org/officeDocument/2006/relationships/hyperlink" Target="http://caps.uqtr.ca/wpcaps/salle-dentrainement/" TargetMode="External"/><Relationship Id="rId57" Type="http://schemas.openxmlformats.org/officeDocument/2006/relationships/diagramData" Target="diagrams/data6.xml"/><Relationship Id="rId106" Type="http://schemas.openxmlformats.org/officeDocument/2006/relationships/hyperlink" Target="http://www.lapresse.ca/le-nouvelliste/actualites/201101/26/01-4363745-nouvelle-hausse-du-nombre-detudiants-a-luqtr.php" TargetMode="External"/><Relationship Id="rId114" Type="http://schemas.openxmlformats.org/officeDocument/2006/relationships/hyperlink" Target="http://www.sciencedirect.com.biblioproxy.uqtr.ca/science/article/pii/S027277571%093001039" TargetMode="External"/><Relationship Id="rId119" Type="http://schemas.microsoft.com/office/2007/relationships/diagramDrawing" Target="diagrams/drawing9.xml"/><Relationship Id="rId127" Type="http://schemas.openxmlformats.org/officeDocument/2006/relationships/image" Target="media/image24.png"/><Relationship Id="rId10" Type="http://schemas.openxmlformats.org/officeDocument/2006/relationships/footer" Target="footer1.xml"/><Relationship Id="rId31" Type="http://schemas.openxmlformats.org/officeDocument/2006/relationships/diagramLayout" Target="diagrams/layout2.xml"/><Relationship Id="rId44" Type="http://schemas.openxmlformats.org/officeDocument/2006/relationships/diagramLayout" Target="diagrams/layout4.xml"/><Relationship Id="rId52" Type="http://schemas.openxmlformats.org/officeDocument/2006/relationships/diagramQuickStyle" Target="diagrams/quickStyle5.xml"/><Relationship Id="rId60" Type="http://schemas.openxmlformats.org/officeDocument/2006/relationships/diagramColors" Target="diagrams/colors6.xml"/><Relationship Id="rId65" Type="http://schemas.openxmlformats.org/officeDocument/2006/relationships/diagramColors" Target="diagrams/colors7.xml"/><Relationship Id="rId73" Type="http://schemas.openxmlformats.org/officeDocument/2006/relationships/hyperlink" Target="http://www.unistra.fr/index.php?id=accueil" TargetMode="External"/><Relationship Id="rId78" Type="http://schemas.openxmlformats.org/officeDocument/2006/relationships/diagramColors" Target="diagrams/colors8.xml"/><Relationship Id="rId81" Type="http://schemas.openxmlformats.org/officeDocument/2006/relationships/hyperlink" Target="http://www.aucc.ca/wp-%09content/uploads/2011/05/trends-2011-vol1-enrolment-e.pdf" TargetMode="External"/><Relationship Id="rId86" Type="http://schemas.openxmlformats.org/officeDocument/2006/relationships/hyperlink" Target="http://www.midi.gouv.qc.ca/publications/fr/cri/immigration-%09planification/Memoire-planification-immigration-20122015.pdf" TargetMode="External"/><Relationship Id="rId94" Type="http://schemas.openxmlformats.org/officeDocument/2006/relationships/hyperlink" Target="http://www2.publicationsduquebec.gouv.qc.ca/dynamicSearch/telecharge.php?type=2&amp;file=/E_14_1/E14_1.html%20(Page" TargetMode="External"/><Relationship Id="rId99" Type="http://schemas.openxmlformats.org/officeDocument/2006/relationships/hyperlink" Target="http://ici.radio-canada.ca/regions/mauricie/2014/10/07/001-campus-uqtr-drummondville-construction-pelletee-de-terre.shtml" TargetMode="External"/><Relationship Id="rId101" Type="http://schemas.openxmlformats.org/officeDocument/2006/relationships/hyperlink" Target="http://www.stat.gouv.qc.ca/statistiques/profils/panorama-regions-2014.pdf" TargetMode="External"/><Relationship Id="rId122" Type="http://schemas.openxmlformats.org/officeDocument/2006/relationships/diagramQuickStyle" Target="diagrams/quickStyle10.xml"/><Relationship Id="rId130" Type="http://schemas.openxmlformats.org/officeDocument/2006/relationships/image" Target="media/image27.png"/><Relationship Id="rId135" Type="http://schemas.openxmlformats.org/officeDocument/2006/relationships/image" Target="media/image32.png"/><Relationship Id="rId143" Type="http://schemas.openxmlformats.org/officeDocument/2006/relationships/image" Target="media/image40.png"/><Relationship Id="rId148" Type="http://schemas.openxmlformats.org/officeDocument/2006/relationships/image" Target="media/image45.png"/><Relationship Id="rId151" Type="http://schemas.openxmlformats.org/officeDocument/2006/relationships/image" Target="media/image48.png"/><Relationship Id="rId156" Type="http://schemas.openxmlformats.org/officeDocument/2006/relationships/image" Target="media/image53.png"/><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chart" Target="charts/chart1.xml"/><Relationship Id="rId18" Type="http://schemas.openxmlformats.org/officeDocument/2006/relationships/diagramColors" Target="diagrams/colors1.xml"/><Relationship Id="rId39" Type="http://schemas.microsoft.com/office/2007/relationships/diagramDrawing" Target="diagrams/drawing3.xml"/><Relationship Id="rId109" Type="http://schemas.openxmlformats.org/officeDocument/2006/relationships/hyperlink" Target="http://quebec.huffingtonpost.ca/2015/02/12/quebec-triple-les-droits-de-scolarite-%09des-etudiants-francais_n_6670568.html" TargetMode="External"/><Relationship Id="rId34" Type="http://schemas.microsoft.com/office/2007/relationships/diagramDrawing" Target="diagrams/drawing2.xml"/><Relationship Id="rId50" Type="http://schemas.openxmlformats.org/officeDocument/2006/relationships/diagramData" Target="diagrams/data5.xml"/><Relationship Id="rId55" Type="http://schemas.openxmlformats.org/officeDocument/2006/relationships/chart" Target="charts/chart4.xml"/><Relationship Id="rId76" Type="http://schemas.openxmlformats.org/officeDocument/2006/relationships/diagramLayout" Target="diagrams/layout8.xml"/><Relationship Id="rId97" Type="http://schemas.openxmlformats.org/officeDocument/2006/relationships/hyperlink" Target="http://www.uqtr.ca/media/Comm2014/Novembre/141112_Comm.Ouv.bur.EIF.en.%09Chine.pdf" TargetMode="External"/><Relationship Id="rId104" Type="http://schemas.openxmlformats.org/officeDocument/2006/relationships/hyperlink" Target="http://zonecampus.ca/blogue/?p=4257" TargetMode="External"/><Relationship Id="rId120" Type="http://schemas.openxmlformats.org/officeDocument/2006/relationships/diagramData" Target="diagrams/data10.xml"/><Relationship Id="rId125" Type="http://schemas.openxmlformats.org/officeDocument/2006/relationships/hyperlink" Target="https://www.sondageonline.com/?url=result_det&amp;uid=323291&amp;f_rid=16953109" TargetMode="External"/><Relationship Id="rId141" Type="http://schemas.openxmlformats.org/officeDocument/2006/relationships/image" Target="media/image38.png"/><Relationship Id="rId146" Type="http://schemas.openxmlformats.org/officeDocument/2006/relationships/image" Target="media/image43.png"/><Relationship Id="rId7" Type="http://schemas.openxmlformats.org/officeDocument/2006/relationships/endnotes" Target="endnotes.xml"/><Relationship Id="rId71" Type="http://schemas.openxmlformats.org/officeDocument/2006/relationships/image" Target="media/image21.png"/><Relationship Id="rId92" Type="http://schemas.openxmlformats.org/officeDocument/2006/relationships/hyperlink" Target="http://eric.ed.gov/?id=EJ720378" TargetMode="External"/><Relationship Id="rId162" Type="http://schemas.openxmlformats.org/officeDocument/2006/relationships/chart" Target="charts/chart6.xml"/><Relationship Id="rId2" Type="http://schemas.openxmlformats.org/officeDocument/2006/relationships/numbering" Target="numbering.xml"/><Relationship Id="rId29" Type="http://schemas.openxmlformats.org/officeDocument/2006/relationships/hyperlink" Target="https://oraprdnt.uqtr.uquebec.ca/pls/public/gscw031?owa_no_site=40&amp;owa_no_fiche=4&amp;owa_apercu=N&amp;owa_imprimable=N&amp;owa_bottin" TargetMode="External"/><Relationship Id="rId24" Type="http://schemas.openxmlformats.org/officeDocument/2006/relationships/image" Target="media/image9.png"/><Relationship Id="rId40" Type="http://schemas.openxmlformats.org/officeDocument/2006/relationships/image" Target="media/image14.jpeg"/><Relationship Id="rId45" Type="http://schemas.openxmlformats.org/officeDocument/2006/relationships/diagramQuickStyle" Target="diagrams/quickStyle4.xml"/><Relationship Id="rId66" Type="http://schemas.microsoft.com/office/2007/relationships/diagramDrawing" Target="diagrams/drawing7.xml"/><Relationship Id="rId87" Type="http://schemas.openxmlformats.org/officeDocument/2006/relationships/hyperlink" Target="http://collections.banq.qc.ca/ark:/52327/bs52187" TargetMode="External"/><Relationship Id="rId110" Type="http://schemas.openxmlformats.org/officeDocument/2006/relationships/hyperlink" Target="http://eric.ed.gov/?id=ED542143" TargetMode="External"/><Relationship Id="rId115" Type="http://schemas.openxmlformats.org/officeDocument/2006/relationships/diagramData" Target="diagrams/data9.xml"/><Relationship Id="rId131" Type="http://schemas.openxmlformats.org/officeDocument/2006/relationships/image" Target="media/image28.png"/><Relationship Id="rId136" Type="http://schemas.openxmlformats.org/officeDocument/2006/relationships/image" Target="media/image33.png"/><Relationship Id="rId157" Type="http://schemas.openxmlformats.org/officeDocument/2006/relationships/image" Target="media/image54.png"/><Relationship Id="rId61" Type="http://schemas.microsoft.com/office/2007/relationships/diagramDrawing" Target="diagrams/drawing6.xml"/><Relationship Id="rId82" Type="http://schemas.openxmlformats.org/officeDocument/2006/relationships/hyperlink" Target="http://www.uqtr.ca/etudiant/cliniquephysiotherapie.shtml" TargetMode="External"/><Relationship Id="rId152" Type="http://schemas.openxmlformats.org/officeDocument/2006/relationships/image" Target="media/image49.png"/><Relationship Id="rId19" Type="http://schemas.microsoft.com/office/2007/relationships/diagramDrawing" Target="diagrams/drawing1.xml"/><Relationship Id="rId14" Type="http://schemas.openxmlformats.org/officeDocument/2006/relationships/chart" Target="charts/chart2.xml"/><Relationship Id="rId30" Type="http://schemas.openxmlformats.org/officeDocument/2006/relationships/diagramData" Target="diagrams/data2.xml"/><Relationship Id="rId35" Type="http://schemas.openxmlformats.org/officeDocument/2006/relationships/diagramData" Target="diagrams/data3.xml"/><Relationship Id="rId56" Type="http://schemas.openxmlformats.org/officeDocument/2006/relationships/image" Target="media/image17.png"/><Relationship Id="rId77" Type="http://schemas.openxmlformats.org/officeDocument/2006/relationships/diagramQuickStyle" Target="diagrams/quickStyle8.xml"/><Relationship Id="rId100" Type="http://schemas.openxmlformats.org/officeDocument/2006/relationships/hyperlink" Target="http://irh.uqtr.ca/accueil/a-propos-de-lirh.html" TargetMode="External"/><Relationship Id="rId105" Type="http://schemas.openxmlformats.org/officeDocument/2006/relationships/hyperlink" Target="http://www.ledevoir.com/societe/education/418586/les-universites-redoutent-l-impact-des-compressions" TargetMode="External"/><Relationship Id="rId126" Type="http://schemas.openxmlformats.org/officeDocument/2006/relationships/image" Target="media/image23.png"/><Relationship Id="rId147" Type="http://schemas.openxmlformats.org/officeDocument/2006/relationships/image" Target="media/image44.png"/><Relationship Id="rId8" Type="http://schemas.openxmlformats.org/officeDocument/2006/relationships/image" Target="media/image1.jpeg"/><Relationship Id="rId51" Type="http://schemas.openxmlformats.org/officeDocument/2006/relationships/diagramLayout" Target="diagrams/layout5.xml"/><Relationship Id="rId72" Type="http://schemas.openxmlformats.org/officeDocument/2006/relationships/image" Target="media/image22.png"/><Relationship Id="rId93" Type="http://schemas.openxmlformats.org/officeDocument/2006/relationships/hyperlink" Target="http://feuq.qc.ca/site/pourleducation/coupes-dans-les-cegeps-et-les-%09universites/" TargetMode="External"/><Relationship Id="rId98" Type="http://schemas.openxmlformats.org/officeDocument/2006/relationships/hyperlink" Target="http://www.hcgfrance.com/" TargetMode="External"/><Relationship Id="rId121" Type="http://schemas.openxmlformats.org/officeDocument/2006/relationships/diagramLayout" Target="diagrams/layout10.xml"/><Relationship Id="rId142" Type="http://schemas.openxmlformats.org/officeDocument/2006/relationships/image" Target="media/image39.png"/><Relationship Id="rId163" Type="http://schemas.openxmlformats.org/officeDocument/2006/relationships/image" Target="media/image59.png"/><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diagramColors" Target="diagrams/colors4.xml"/><Relationship Id="rId67" Type="http://schemas.openxmlformats.org/officeDocument/2006/relationships/image" Target="media/image18.png"/><Relationship Id="rId116" Type="http://schemas.openxmlformats.org/officeDocument/2006/relationships/diagramLayout" Target="diagrams/layout9.xml"/><Relationship Id="rId137" Type="http://schemas.openxmlformats.org/officeDocument/2006/relationships/image" Target="media/image34.png"/><Relationship Id="rId158" Type="http://schemas.openxmlformats.org/officeDocument/2006/relationships/image" Target="media/image55.png"/><Relationship Id="rId20" Type="http://schemas.openxmlformats.org/officeDocument/2006/relationships/image" Target="media/image6.png"/><Relationship Id="rId41" Type="http://schemas.openxmlformats.org/officeDocument/2006/relationships/image" Target="media/image15.png"/><Relationship Id="rId62" Type="http://schemas.openxmlformats.org/officeDocument/2006/relationships/diagramData" Target="diagrams/data7.xml"/><Relationship Id="rId83" Type="http://schemas.openxmlformats.org/officeDocument/2006/relationships/hyperlink" Target="http://blogue.uqtr.ca/2014/01/27/luqtr-enregistre-%09hausse-population-etudiante-session-hiver-2014/" TargetMode="External"/><Relationship Id="rId88" Type="http://schemas.openxmlformats.org/officeDocument/2006/relationships/hyperlink" Target="http://collections.banq.qc.ca/ark:/52327/bs52187" TargetMode="External"/><Relationship Id="rId111" Type="http://schemas.openxmlformats.org/officeDocument/2006/relationships/hyperlink" Target="http://blogue.uqtr.ca/2015/01/12/direction-luqtr-offre-entiere-collaboration-lupac-au-verificateur-general-du-quebec-2/" TargetMode="External"/><Relationship Id="rId132" Type="http://schemas.openxmlformats.org/officeDocument/2006/relationships/image" Target="media/image29.png"/><Relationship Id="rId153" Type="http://schemas.openxmlformats.org/officeDocument/2006/relationships/image" Target="media/image50.pn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13" Type="http://schemas.openxmlformats.org/officeDocument/2006/relationships/hyperlink" Target="http://www.stat.gouv.qc.ca/statistiques/population-demographie/bulletins/coupdoeil-no30.pdf" TargetMode="External"/><Relationship Id="rId18" Type="http://schemas.openxmlformats.org/officeDocument/2006/relationships/hyperlink" Target="http://www.sciencedirect.com.biblioproxy.uqtr.ca/science/article/pii/S0272775713001039" TargetMode="External"/><Relationship Id="rId26" Type="http://schemas.openxmlformats.org/officeDocument/2006/relationships/hyperlink" Target="http://eric.ed.gov/?id=ED542143" TargetMode="External"/><Relationship Id="rId39" Type="http://schemas.openxmlformats.org/officeDocument/2006/relationships/hyperlink" Target="https://oraprdnt.uqtr.uquebec.ca/pls/public/gscw031?owa_no_site=1436" TargetMode="External"/><Relationship Id="rId21" Type="http://schemas.openxmlformats.org/officeDocument/2006/relationships/hyperlink" Target="http://www2.publicationsduquebec.gouv.qc.ca/dynamicSearch/telecharge.php?type=2&amp;file=/E_14_1/E14_1.html%20(Page" TargetMode="External"/><Relationship Id="rId34" Type="http://schemas.openxmlformats.org/officeDocument/2006/relationships/hyperlink" Target="http://ici.radio-canada.ca/regions/mauricie/2014/10/07/001-campus-uqtr-drummondville-construction-pelletee-de-terre.shtml" TargetMode="External"/><Relationship Id="rId42" Type="http://schemas.openxmlformats.org/officeDocument/2006/relationships/hyperlink" Target="http://www.uqtr.ca/gouvernance/secretariat_general.shtml" TargetMode="External"/><Relationship Id="rId47" Type="http://schemas.openxmlformats.org/officeDocument/2006/relationships/hyperlink" Target="http://www.uqtr.ca/etudiant/saereglement.shtml" TargetMode="External"/><Relationship Id="rId50" Type="http://schemas.openxmlformats.org/officeDocument/2006/relationships/hyperlink" Target="http://www.uqtr.ca/etudiant/cliniquephysiotherapie.shtml" TargetMode="External"/><Relationship Id="rId55" Type="http://schemas.openxmlformats.org/officeDocument/2006/relationships/hyperlink" Target="http://www.uqtr.ca/media/Comm2014/Novembre/141112_Comm.Ouv.bur.EIF.en.Chine.pdf" TargetMode="External"/><Relationship Id="rId7" Type="http://schemas.openxmlformats.org/officeDocument/2006/relationships/hyperlink" Target="http://www.tradingeconomics.com/canada/unemployment-rate" TargetMode="External"/><Relationship Id="rId12" Type="http://schemas.openxmlformats.org/officeDocument/2006/relationships/hyperlink" Target="http://www.stat.gouv.qc.ca/statistiques/profils/panorama-regions-2014.pdf" TargetMode="External"/><Relationship Id="rId17" Type="http://schemas.openxmlformats.org/officeDocument/2006/relationships/hyperlink" Target="http://eric.ed.gov/?id=ED542143" TargetMode="External"/><Relationship Id="rId25" Type="http://schemas.openxmlformats.org/officeDocument/2006/relationships/hyperlink" Target="http://quebec.huffingtonpost.ca/2015/02/12/quebec-triple-les-droits-de-scolarite-des-etudiants-francais_n_6670568.html" TargetMode="External"/><Relationship Id="rId33" Type="http://schemas.openxmlformats.org/officeDocument/2006/relationships/hyperlink" Target="http://www.uqtr.ca/media/Comm2009/Novembre/Inaug_PavillonSante.pdf" TargetMode="External"/><Relationship Id="rId38" Type="http://schemas.openxmlformats.org/officeDocument/2006/relationships/hyperlink" Target="http://www.hcgfrance.com/" TargetMode="External"/><Relationship Id="rId46" Type="http://schemas.openxmlformats.org/officeDocument/2006/relationships/hyperlink" Target="https://oraprdnt.uqtr.uquebec.ca/pls/public/gscw030?owa_no_site=1280" TargetMode="External"/><Relationship Id="rId59" Type="http://schemas.openxmlformats.org/officeDocument/2006/relationships/hyperlink" Target="https://oraprdnt.uqtr.uquebec.ca/pls/public/gscw030?owa_no_site=1191" TargetMode="External"/><Relationship Id="rId2" Type="http://schemas.openxmlformats.org/officeDocument/2006/relationships/hyperlink" Target="http://www.uqtr.ca/sfcfhc/" TargetMode="External"/><Relationship Id="rId16" Type="http://schemas.openxmlformats.org/officeDocument/2006/relationships/hyperlink" Target="http://www.deltab.ca/solutions/etablissements-enseignement.html" TargetMode="External"/><Relationship Id="rId20" Type="http://schemas.openxmlformats.org/officeDocument/2006/relationships/hyperlink" Target="http://ici.radio-canada.ca/regions/mauricie/2015/01/12/001-upac-uqtr-nadia-ghazzali-enquete.shtml" TargetMode="External"/><Relationship Id="rId29" Type="http://schemas.openxmlformats.org/officeDocument/2006/relationships/hyperlink" Target="http://irh.uqtr.ca/accueil/a-propos-de-lirh.html" TargetMode="External"/><Relationship Id="rId41" Type="http://schemas.openxmlformats.org/officeDocument/2006/relationships/hyperlink" Target="http://www.uqtr.ca/informationgenerale/cacxce.shtml" TargetMode="External"/><Relationship Id="rId54" Type="http://schemas.openxmlformats.org/officeDocument/2006/relationships/hyperlink" Target="http://www.statcan.gc.ca/" TargetMode="External"/><Relationship Id="rId1" Type="http://schemas.openxmlformats.org/officeDocument/2006/relationships/hyperlink" Target="http://www.uqtr.ca/informationgenerale/faitsetchiffres.shtml" TargetMode="External"/><Relationship Id="rId6" Type="http://schemas.openxmlformats.org/officeDocument/2006/relationships/hyperlink" Target="http://www.stat.gouv.qc.ca/statistiques/profils/panorama-regions-2014.pdf" TargetMode="External"/><Relationship Id="rId11" Type="http://schemas.openxmlformats.org/officeDocument/2006/relationships/hyperlink" Target="http://www.stat.gouv.qc.ca/statistiques/profils/panorama-regions-2014.pdf" TargetMode="External"/><Relationship Id="rId24" Type="http://schemas.openxmlformats.org/officeDocument/2006/relationships/hyperlink" Target="http://www.ledevoir.com/societe/education/418586/les-universites-redoutent-l-impact-des-compressions" TargetMode="External"/><Relationship Id="rId32" Type="http://schemas.openxmlformats.org/officeDocument/2006/relationships/hyperlink" Target="http://zonecampus.ca/blogue/?p=4257" TargetMode="External"/><Relationship Id="rId37" Type="http://schemas.openxmlformats.org/officeDocument/2006/relationships/hyperlink" Target="http://blogue.uqtr.ca/2015/01/23/hausse-population-etudiante-luqtr-au-trimestre-dhiver/" TargetMode="External"/><Relationship Id="rId40" Type="http://schemas.openxmlformats.org/officeDocument/2006/relationships/hyperlink" Target="http://www.uqtr.ca/informationgenerale/historique.shtml" TargetMode="External"/><Relationship Id="rId45" Type="http://schemas.openxmlformats.org/officeDocument/2006/relationships/hyperlink" Target="https://oraprdnt.uqtr.uquebec.ca/pls/public/gscw031?owa_no_site=40&amp;owa_no_fiche=63&amp;owa_apercu=N&amp;owa_imprimable=N&amp;owa_bottin" TargetMode="External"/><Relationship Id="rId53" Type="http://schemas.openxmlformats.org/officeDocument/2006/relationships/hyperlink" Target="http://www.mesrs.gouv.qc.ca/universites/personnel-duniversite/statistiques-etudes-et-rapports/previsions-de-leffectif-etudiant-a-luniversite-previsions-de-2014-a-2028/" TargetMode="External"/><Relationship Id="rId58" Type="http://schemas.openxmlformats.org/officeDocument/2006/relationships/hyperlink" Target="http://www.uqtr.ca/uniteadministrative/partenariat.shtml" TargetMode="External"/><Relationship Id="rId5" Type="http://schemas.openxmlformats.org/officeDocument/2006/relationships/hyperlink" Target="http://collections.banq.qc.ca/ark:/52327/bs52187" TargetMode="External"/><Relationship Id="rId15" Type="http://schemas.openxmlformats.org/officeDocument/2006/relationships/hyperlink" Target="http://www.aucc.ca/wp-content/uploads/2011/05/trends-2011-vol1-enrolment-e.pdf" TargetMode="External"/><Relationship Id="rId23" Type="http://schemas.openxmlformats.org/officeDocument/2006/relationships/hyperlink" Target="http://www.mesrs.gouv.qc.ca/etudiants-universitaire/admission-a-luniversite/liste-des-etablissements-universitaires/" TargetMode="External"/><Relationship Id="rId28" Type="http://schemas.openxmlformats.org/officeDocument/2006/relationships/hyperlink" Target="http://www.sciencedirect.com.biblioproxy.uqtr.ca/science/article/pii/S0272775713001039" TargetMode="External"/><Relationship Id="rId36" Type="http://schemas.openxmlformats.org/officeDocument/2006/relationships/hyperlink" Target="http://www.lapresse.ca/le-nouvelliste/actualites/201101/26/01-4363745-nouvelle-hausse-du-nombre-detudiants-a-luqtr.php" TargetMode="External"/><Relationship Id="rId49" Type="http://schemas.openxmlformats.org/officeDocument/2006/relationships/hyperlink" Target="https://oraprdnt.uqtr.uquebec.ca/pls/public/gscw031?owa_no_site=513&amp;owa_no_fiche=30&amp;owa_apercu=N&amp;owa_imprimable=N&amp;owa_bottin" TargetMode="External"/><Relationship Id="rId57" Type="http://schemas.openxmlformats.org/officeDocument/2006/relationships/hyperlink" Target="http://www.uqtr.ca/informationgenerale/faitsetchiffres.shtml?hc_location=ufi" TargetMode="External"/><Relationship Id="rId10" Type="http://schemas.openxmlformats.org/officeDocument/2006/relationships/hyperlink" Target="http://www.stat.gouv.qc.ca/statistiques/profils/panorama-regions-2014.pdf" TargetMode="External"/><Relationship Id="rId19" Type="http://schemas.openxmlformats.org/officeDocument/2006/relationships/hyperlink" Target="http://eric.ed.gov/?id=EJ720378" TargetMode="External"/><Relationship Id="rId31" Type="http://schemas.openxmlformats.org/officeDocument/2006/relationships/hyperlink" Target="http://www.uqtr.ca/informationgenerale/historique.shtml" TargetMode="External"/><Relationship Id="rId44" Type="http://schemas.openxmlformats.org/officeDocument/2006/relationships/hyperlink" Target="https://oraprdnt.uqtr.uquebec.ca/pls/public/gscw031?owa_no_site=4009&amp;owa_no_fiche=16&amp;owa_apercu=N&amp;owa_imprimable=N&amp;owa_bottin" TargetMode="External"/><Relationship Id="rId52" Type="http://schemas.openxmlformats.org/officeDocument/2006/relationships/hyperlink" Target="https://oraprdnt.uqtr.uquebec.ca/pls/public/gscw030?owa_no_site=3746&amp;owa_no_fiche=37" TargetMode="External"/><Relationship Id="rId60" Type="http://schemas.openxmlformats.org/officeDocument/2006/relationships/hyperlink" Target="https://oraprdnt.uqtr.uquebec.ca/reports/rwservlet?cmdkey=key1&amp;destype=cache&amp;report=descpgm.rdf&amp;desformat=PDF&amp;owa_cd_pgm=1450&amp;owa_cle_texte=123&amp;owa_desc_cours=n" TargetMode="External"/><Relationship Id="rId4" Type="http://schemas.openxmlformats.org/officeDocument/2006/relationships/hyperlink" Target="http://www.uqtr.ca/informationgenerale/historique.shtml" TargetMode="External"/><Relationship Id="rId9" Type="http://schemas.openxmlformats.org/officeDocument/2006/relationships/hyperlink" Target="http://www.stat.gouv.qc.ca/statistiques/profils/panorama-regions-2014.pdf" TargetMode="External"/><Relationship Id="rId14" Type="http://schemas.openxmlformats.org/officeDocument/2006/relationships/hyperlink" Target="http://blogue.uqtr.ca/2014/01/27/luqtr-enregistre-hausse-population-etudiante-session-hiver-2014/" TargetMode="External"/><Relationship Id="rId22" Type="http://schemas.openxmlformats.org/officeDocument/2006/relationships/hyperlink" Target="http://blogue.uqtr.ca/2013/01/28/la-population-etudiante-de-luqtr-en-hausse-a-tous-les-cycles/" TargetMode="External"/><Relationship Id="rId27" Type="http://schemas.openxmlformats.org/officeDocument/2006/relationships/hyperlink" Target="http://www.sciencedirect.com.biblioproxy.uqtr.ca/science/article/pii/S0272775713001039" TargetMode="External"/><Relationship Id="rId30" Type="http://schemas.openxmlformats.org/officeDocument/2006/relationships/hyperlink" Target="http://www.uqtr.ca/informationgenerale/historique.shtml" TargetMode="External"/><Relationship Id="rId35" Type="http://schemas.openxmlformats.org/officeDocument/2006/relationships/hyperlink" Target="http://www.uqtr.ca/informationgenerale/rapport_activites_1314.pdf" TargetMode="External"/><Relationship Id="rId43" Type="http://schemas.openxmlformats.org/officeDocument/2006/relationships/hyperlink" Target="https://oraprdnt.uqtr.uquebec.ca/pls/public/gscw031?owa_no_site=4009&amp;owa_no_fiche=1&amp;owa_apercu=N&amp;owa_imprimable=N&amp;owa_bottin" TargetMode="External"/><Relationship Id="rId48" Type="http://schemas.openxmlformats.org/officeDocument/2006/relationships/hyperlink" Target="http://www.uqtr.ca/grandpublic/" TargetMode="External"/><Relationship Id="rId56" Type="http://schemas.openxmlformats.org/officeDocument/2006/relationships/hyperlink" Target="http://www.midi.gouv.qc.ca/publications/fr/cri/immigration-planification/Memoire-planification-immigration-20122015.pdf" TargetMode="External"/><Relationship Id="rId8" Type="http://schemas.openxmlformats.org/officeDocument/2006/relationships/hyperlink" Target="http://www23.statcan.gc.ca/imdb/p2SV_f.pl?Function=getSurvey&amp;SDDS=2803&amp;lang=fr&amp;db=imdb&amp;adm=8&amp;dis=2" TargetMode="External"/><Relationship Id="rId51" Type="http://schemas.openxmlformats.org/officeDocument/2006/relationships/hyperlink" Target="http://www.uqtr.ca/etudiant/cliniquephysiotherapie.shtml" TargetMode="External"/><Relationship Id="rId3" Type="http://schemas.openxmlformats.org/officeDocument/2006/relationships/hyperlink" Target="http://ici.radio-canada.ca/regions/mauricie/2014/10/07/001-campus-uqtr-drummondville-construction-pelletee-de-terre.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Jonathan\Google%20Drive\Oc&#233;an%20Bleu%20-%20UQTR.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Jonathan\Google%20Drive\Oc&#233;an%20Bleu%20-%20UQTR.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lex%20Tessier\Documents\Documents\&#201;cole\Session%206\Gestion%20strat&#233;gique%20des%20entreprises\Graphiques%20sondage.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Feuille_Microsoft_Office_Excel1.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Alex%20Tessier\Documents\Documents\&#201;cole\Session%206\Gestion%20strat&#233;gique%20des%20entreprises\Matrice%20BCG.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C&#233;lia\AppData\Local\Microsoft\Windows\Temporary%20Internet%20Files\Content.IE5\S5UDWQKJ\Graphique%20frais%20de%20scolarit&#195;&#169;%20vs%20appr&#195;&#169;ciation%20universit&#195;&#169;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CA"/>
  <c:chart>
    <c:plotArea>
      <c:layout/>
      <c:lineChart>
        <c:grouping val="standard"/>
        <c:ser>
          <c:idx val="0"/>
          <c:order val="0"/>
          <c:tx>
            <c:strRef>
              <c:f>Feuil7!$A$1</c:f>
              <c:strCache>
                <c:ptCount val="1"/>
                <c:pt idx="0">
                  <c:v>Critères de valeur</c:v>
                </c:pt>
              </c:strCache>
            </c:strRef>
          </c:tx>
          <c:spPr>
            <a:ln>
              <a:solidFill>
                <a:srgbClr val="FFC000"/>
              </a:solidFill>
            </a:ln>
          </c:spPr>
          <c:marker>
            <c:symbol val="none"/>
          </c:marker>
          <c:cat>
            <c:strRef>
              <c:f>Feuil7!$A$2:$A$6</c:f>
              <c:strCache>
                <c:ptCount val="5"/>
                <c:pt idx="0">
                  <c:v>Installations sportives</c:v>
                </c:pt>
                <c:pt idx="1">
                  <c:v>Réputation de la vie étudiante</c:v>
                </c:pt>
                <c:pt idx="2">
                  <c:v>Existence d’un programme d’enseignement spécifique pas présent dans d’autres universités à proximité</c:v>
                </c:pt>
                <c:pt idx="3">
                  <c:v>Réputation du programme choisi et des enseignants</c:v>
                </c:pt>
                <c:pt idx="4">
                  <c:v>Proximité de l’établissement</c:v>
                </c:pt>
              </c:strCache>
            </c:strRef>
          </c:cat>
          <c:val>
            <c:numRef>
              <c:f>Feuil7!$C$2:$C$6</c:f>
              <c:numCache>
                <c:formatCode>0</c:formatCode>
                <c:ptCount val="5"/>
                <c:pt idx="0">
                  <c:v>3.1746031746031727</c:v>
                </c:pt>
                <c:pt idx="1">
                  <c:v>6.3492063492063489</c:v>
                </c:pt>
                <c:pt idx="2">
                  <c:v>23.01587301587303</c:v>
                </c:pt>
                <c:pt idx="3">
                  <c:v>28.571428571428569</c:v>
                </c:pt>
                <c:pt idx="4">
                  <c:v>38.888888888888893</c:v>
                </c:pt>
              </c:numCache>
            </c:numRef>
          </c:val>
        </c:ser>
        <c:ser>
          <c:idx val="1"/>
          <c:order val="1"/>
          <c:tx>
            <c:strRef>
              <c:f>Feuil7!$E$1</c:f>
              <c:strCache>
                <c:ptCount val="1"/>
                <c:pt idx="0">
                  <c:v>UQTR</c:v>
                </c:pt>
              </c:strCache>
            </c:strRef>
          </c:tx>
          <c:spPr>
            <a:ln>
              <a:solidFill>
                <a:srgbClr val="00B050"/>
              </a:solidFill>
            </a:ln>
          </c:spPr>
          <c:marker>
            <c:symbol val="none"/>
          </c:marker>
          <c:val>
            <c:numRef>
              <c:f>Feuil7!$E$2:$E$6</c:f>
              <c:numCache>
                <c:formatCode>General</c:formatCode>
                <c:ptCount val="5"/>
                <c:pt idx="0">
                  <c:v>0</c:v>
                </c:pt>
                <c:pt idx="1">
                  <c:v>0</c:v>
                </c:pt>
                <c:pt idx="2">
                  <c:v>17</c:v>
                </c:pt>
                <c:pt idx="3">
                  <c:v>17</c:v>
                </c:pt>
                <c:pt idx="4">
                  <c:v>66</c:v>
                </c:pt>
              </c:numCache>
            </c:numRef>
          </c:val>
        </c:ser>
        <c:marker val="1"/>
        <c:axId val="165887360"/>
        <c:axId val="165889152"/>
      </c:lineChart>
      <c:catAx>
        <c:axId val="165887360"/>
        <c:scaling>
          <c:orientation val="minMax"/>
        </c:scaling>
        <c:axPos val="b"/>
        <c:numFmt formatCode="General" sourceLinked="1"/>
        <c:tickLblPos val="nextTo"/>
        <c:txPr>
          <a:bodyPr/>
          <a:lstStyle/>
          <a:p>
            <a:pPr>
              <a:defRPr sz="600"/>
            </a:pPr>
            <a:endParaRPr lang="fr-FR"/>
          </a:p>
        </c:txPr>
        <c:crossAx val="165889152"/>
        <c:crosses val="autoZero"/>
        <c:auto val="1"/>
        <c:lblAlgn val="ctr"/>
        <c:lblOffset val="100"/>
      </c:catAx>
      <c:valAx>
        <c:axId val="165889152"/>
        <c:scaling>
          <c:orientation val="minMax"/>
          <c:min val="0"/>
        </c:scaling>
        <c:axPos val="l"/>
        <c:majorGridlines/>
        <c:numFmt formatCode="0" sourceLinked="1"/>
        <c:tickLblPos val="nextTo"/>
        <c:txPr>
          <a:bodyPr/>
          <a:lstStyle/>
          <a:p>
            <a:pPr>
              <a:defRPr sz="500"/>
            </a:pPr>
            <a:endParaRPr lang="fr-FR"/>
          </a:p>
        </c:txPr>
        <c:crossAx val="165887360"/>
        <c:crosses val="autoZero"/>
        <c:crossBetween val="between"/>
        <c:majorUnit val="5"/>
      </c:valAx>
    </c:plotArea>
    <c:legend>
      <c:legendPos val="r"/>
      <c:txPr>
        <a:bodyPr/>
        <a:lstStyle/>
        <a:p>
          <a:pPr>
            <a:defRPr sz="500"/>
          </a:pPr>
          <a:endParaRPr lang="fr-FR"/>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CA"/>
  <c:chart>
    <c:title>
      <c:tx>
        <c:rich>
          <a:bodyPr/>
          <a:lstStyle/>
          <a:p>
            <a:pPr>
              <a:defRPr/>
            </a:pPr>
            <a:r>
              <a:rPr lang="fr-CA" sz="1600"/>
              <a:t>L'approche</a:t>
            </a:r>
            <a:r>
              <a:rPr lang="fr-CA" sz="1600" baseline="0"/>
              <a:t> Océan Bleu</a:t>
            </a:r>
            <a:endParaRPr lang="fr-CA" sz="1600"/>
          </a:p>
        </c:rich>
      </c:tx>
      <c:layout>
        <c:manualLayout>
          <c:xMode val="edge"/>
          <c:yMode val="edge"/>
          <c:x val="0.13857268687258881"/>
          <c:y val="1.2656645767364685E-6"/>
        </c:manualLayout>
      </c:layout>
    </c:title>
    <c:plotArea>
      <c:layout>
        <c:manualLayout>
          <c:layoutTarget val="inner"/>
          <c:xMode val="edge"/>
          <c:yMode val="edge"/>
          <c:x val="5.4801917470191572E-2"/>
          <c:y val="8.871834058717426E-2"/>
          <c:w val="0.92193735087406736"/>
          <c:h val="0.75210978374538662"/>
        </c:manualLayout>
      </c:layout>
      <c:lineChart>
        <c:grouping val="standard"/>
        <c:ser>
          <c:idx val="0"/>
          <c:order val="0"/>
          <c:tx>
            <c:strRef>
              <c:f>Feuil7!$A$1</c:f>
              <c:strCache>
                <c:ptCount val="1"/>
                <c:pt idx="0">
                  <c:v>Critères de valeur</c:v>
                </c:pt>
              </c:strCache>
            </c:strRef>
          </c:tx>
          <c:spPr>
            <a:ln>
              <a:solidFill>
                <a:srgbClr val="FFC000"/>
              </a:solidFill>
            </a:ln>
          </c:spPr>
          <c:marker>
            <c:symbol val="none"/>
          </c:marker>
          <c:cat>
            <c:strRef>
              <c:f>Feuil7!$A$2:$A$6</c:f>
              <c:strCache>
                <c:ptCount val="5"/>
                <c:pt idx="0">
                  <c:v>Installations sportives</c:v>
                </c:pt>
                <c:pt idx="1">
                  <c:v>Réputation de la vie étudiante</c:v>
                </c:pt>
                <c:pt idx="2">
                  <c:v>Existence d’un programme d’enseignement spécifique pas présent dans d’autres universités à proximité</c:v>
                </c:pt>
                <c:pt idx="3">
                  <c:v>Réputation du programme choisi et des enseignants</c:v>
                </c:pt>
                <c:pt idx="4">
                  <c:v>Proximité de l’établissement</c:v>
                </c:pt>
              </c:strCache>
            </c:strRef>
          </c:cat>
          <c:val>
            <c:numRef>
              <c:f>Feuil7!$C$2:$C$6</c:f>
              <c:numCache>
                <c:formatCode>0</c:formatCode>
                <c:ptCount val="5"/>
                <c:pt idx="0">
                  <c:v>3.1746031746031727</c:v>
                </c:pt>
                <c:pt idx="1">
                  <c:v>6.3492063492063489</c:v>
                </c:pt>
                <c:pt idx="2">
                  <c:v>23.01587301587303</c:v>
                </c:pt>
                <c:pt idx="3">
                  <c:v>28.571428571428569</c:v>
                </c:pt>
                <c:pt idx="4">
                  <c:v>38.888888888888893</c:v>
                </c:pt>
              </c:numCache>
            </c:numRef>
          </c:val>
        </c:ser>
        <c:ser>
          <c:idx val="1"/>
          <c:order val="1"/>
          <c:tx>
            <c:strRef>
              <c:f>Feuil7!$E$1</c:f>
              <c:strCache>
                <c:ptCount val="1"/>
                <c:pt idx="0">
                  <c:v>UQTR</c:v>
                </c:pt>
              </c:strCache>
            </c:strRef>
          </c:tx>
          <c:spPr>
            <a:ln>
              <a:solidFill>
                <a:srgbClr val="00B050"/>
              </a:solidFill>
            </a:ln>
          </c:spPr>
          <c:marker>
            <c:symbol val="none"/>
          </c:marker>
          <c:val>
            <c:numRef>
              <c:f>Feuil7!$E$2:$E$6</c:f>
              <c:numCache>
                <c:formatCode>General</c:formatCode>
                <c:ptCount val="5"/>
                <c:pt idx="0">
                  <c:v>0</c:v>
                </c:pt>
                <c:pt idx="1">
                  <c:v>0</c:v>
                </c:pt>
                <c:pt idx="2">
                  <c:v>3.8299999999999987</c:v>
                </c:pt>
                <c:pt idx="3">
                  <c:v>4.83</c:v>
                </c:pt>
                <c:pt idx="4">
                  <c:v>26</c:v>
                </c:pt>
              </c:numCache>
            </c:numRef>
          </c:val>
        </c:ser>
        <c:ser>
          <c:idx val="2"/>
          <c:order val="2"/>
          <c:tx>
            <c:strRef>
              <c:f>Feuil7!$G$1</c:f>
              <c:strCache>
                <c:ptCount val="1"/>
                <c:pt idx="0">
                  <c:v>HEC/UdeM</c:v>
                </c:pt>
              </c:strCache>
            </c:strRef>
          </c:tx>
          <c:spPr>
            <a:ln>
              <a:solidFill>
                <a:srgbClr val="0070C0"/>
              </a:solidFill>
            </a:ln>
          </c:spPr>
          <c:marker>
            <c:symbol val="none"/>
          </c:marker>
          <c:val>
            <c:numRef>
              <c:f>Feuil7!$G$2:$G$6</c:f>
              <c:numCache>
                <c:formatCode>General</c:formatCode>
                <c:ptCount val="5"/>
                <c:pt idx="0">
                  <c:v>0</c:v>
                </c:pt>
                <c:pt idx="1">
                  <c:v>0</c:v>
                </c:pt>
                <c:pt idx="2">
                  <c:v>17.25</c:v>
                </c:pt>
                <c:pt idx="3">
                  <c:v>7.25</c:v>
                </c:pt>
                <c:pt idx="4">
                  <c:v>0</c:v>
                </c:pt>
              </c:numCache>
            </c:numRef>
          </c:val>
        </c:ser>
        <c:ser>
          <c:idx val="3"/>
          <c:order val="3"/>
          <c:tx>
            <c:strRef>
              <c:f>Feuil7!$I$1</c:f>
              <c:strCache>
                <c:ptCount val="1"/>
                <c:pt idx="0">
                  <c:v>USher</c:v>
                </c:pt>
              </c:strCache>
            </c:strRef>
          </c:tx>
          <c:spPr>
            <a:ln>
              <a:solidFill>
                <a:schemeClr val="bg2">
                  <a:lumMod val="50000"/>
                </a:schemeClr>
              </a:solidFill>
            </a:ln>
          </c:spPr>
          <c:marker>
            <c:symbol val="none"/>
          </c:marker>
          <c:val>
            <c:numRef>
              <c:f>Feuil7!$I$2:$I$6</c:f>
              <c:numCache>
                <c:formatCode>General</c:formatCode>
                <c:ptCount val="5"/>
                <c:pt idx="0">
                  <c:v>1.5</c:v>
                </c:pt>
                <c:pt idx="1">
                  <c:v>0</c:v>
                </c:pt>
                <c:pt idx="2">
                  <c:v>11.5</c:v>
                </c:pt>
                <c:pt idx="3">
                  <c:v>0</c:v>
                </c:pt>
                <c:pt idx="4">
                  <c:v>0</c:v>
                </c:pt>
              </c:numCache>
            </c:numRef>
          </c:val>
        </c:ser>
        <c:ser>
          <c:idx val="4"/>
          <c:order val="4"/>
          <c:tx>
            <c:strRef>
              <c:f>Feuil7!$K$1</c:f>
              <c:strCache>
                <c:ptCount val="1"/>
                <c:pt idx="0">
                  <c:v>ULaval</c:v>
                </c:pt>
              </c:strCache>
            </c:strRef>
          </c:tx>
          <c:spPr>
            <a:ln>
              <a:solidFill>
                <a:srgbClr val="C00000"/>
              </a:solidFill>
            </a:ln>
          </c:spPr>
          <c:marker>
            <c:symbol val="none"/>
          </c:marker>
          <c:val>
            <c:numRef>
              <c:f>Feuil7!$K$2:$K$6</c:f>
              <c:numCache>
                <c:formatCode>General</c:formatCode>
                <c:ptCount val="5"/>
                <c:pt idx="0">
                  <c:v>0</c:v>
                </c:pt>
                <c:pt idx="1">
                  <c:v>1.2</c:v>
                </c:pt>
                <c:pt idx="2">
                  <c:v>11.5</c:v>
                </c:pt>
                <c:pt idx="3">
                  <c:v>5.8</c:v>
                </c:pt>
                <c:pt idx="4">
                  <c:v>3.9</c:v>
                </c:pt>
              </c:numCache>
            </c:numRef>
          </c:val>
        </c:ser>
        <c:marker val="1"/>
        <c:axId val="168575360"/>
        <c:axId val="168577280"/>
      </c:lineChart>
      <c:catAx>
        <c:axId val="168575360"/>
        <c:scaling>
          <c:orientation val="minMax"/>
        </c:scaling>
        <c:axPos val="b"/>
        <c:numFmt formatCode="General" sourceLinked="1"/>
        <c:tickLblPos val="nextTo"/>
        <c:txPr>
          <a:bodyPr/>
          <a:lstStyle/>
          <a:p>
            <a:pPr>
              <a:defRPr sz="600"/>
            </a:pPr>
            <a:endParaRPr lang="fr-FR"/>
          </a:p>
        </c:txPr>
        <c:crossAx val="168577280"/>
        <c:crosses val="autoZero"/>
        <c:auto val="1"/>
        <c:lblAlgn val="ctr"/>
        <c:lblOffset val="100"/>
      </c:catAx>
      <c:valAx>
        <c:axId val="168577280"/>
        <c:scaling>
          <c:orientation val="minMax"/>
          <c:max val="40"/>
          <c:min val="0"/>
        </c:scaling>
        <c:axPos val="l"/>
        <c:majorGridlines/>
        <c:numFmt formatCode="0" sourceLinked="1"/>
        <c:tickLblPos val="nextTo"/>
        <c:crossAx val="168575360"/>
        <c:crosses val="autoZero"/>
        <c:crossBetween val="between"/>
        <c:majorUnit val="2"/>
      </c:valAx>
    </c:plotArea>
    <c:plotVisOnly val="1"/>
    <c:dispBlanksAs val="gap"/>
  </c:chart>
  <c:spPr>
    <a:ln>
      <a:solidFill>
        <a:schemeClr val="tx1"/>
      </a:solidFill>
    </a:ln>
  </c:sp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CA"/>
  <c:chart>
    <c:title>
      <c:tx>
        <c:rich>
          <a:bodyPr/>
          <a:lstStyle/>
          <a:p>
            <a:pPr>
              <a:defRPr/>
            </a:pPr>
            <a:r>
              <a:rPr lang="en-US"/>
              <a:t>Proportion</a:t>
            </a:r>
            <a:r>
              <a:rPr lang="en-US" baseline="0"/>
              <a:t> des répondants autres que UQTR qui ont accès à des cours en ligne: </a:t>
            </a:r>
            <a:endParaRPr lang="en-US"/>
          </a:p>
        </c:rich>
      </c:tx>
    </c:title>
    <c:view3D>
      <c:rotX val="30"/>
      <c:perspective val="30"/>
    </c:view3D>
    <c:plotArea>
      <c:layout/>
      <c:pie3DChart>
        <c:varyColors val="1"/>
        <c:ser>
          <c:idx val="0"/>
          <c:order val="0"/>
          <c:dLbls>
            <c:spPr>
              <a:noFill/>
              <a:ln>
                <a:noFill/>
              </a:ln>
              <a:effectLst/>
            </c:spPr>
            <c:showPercent val="1"/>
            <c:showLeaderLines val="1"/>
            <c:extLst>
              <c:ext xmlns:c15="http://schemas.microsoft.com/office/drawing/2012/chart" uri="{CE6537A1-D6FC-4f65-9D91-7224C49458BB}"/>
            </c:extLst>
          </c:dLbls>
          <c:cat>
            <c:strRef>
              <c:f>Feuil3!$C$3:$C$4</c:f>
              <c:strCache>
                <c:ptCount val="2"/>
                <c:pt idx="0">
                  <c:v>N'ont pas accès aux cours en ligne</c:v>
                </c:pt>
                <c:pt idx="1">
                  <c:v>Ont accès aux cours en ligne</c:v>
                </c:pt>
              </c:strCache>
            </c:strRef>
          </c:cat>
          <c:val>
            <c:numRef>
              <c:f>Feuil3!$D$3:$D$4</c:f>
              <c:numCache>
                <c:formatCode>0%</c:formatCode>
                <c:ptCount val="2"/>
                <c:pt idx="0">
                  <c:v>0.37864077669903123</c:v>
                </c:pt>
                <c:pt idx="1">
                  <c:v>0.6213592233009757</c:v>
                </c:pt>
              </c:numCache>
            </c:numRef>
          </c:val>
        </c:ser>
        <c:dLbls>
          <c:showPercent val="1"/>
        </c:dLbls>
      </c:pie3DChart>
    </c:plotArea>
    <c:legend>
      <c:legendPos val="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CA"/>
  <c:chart>
    <c:autoTitleDeleted val="1"/>
    <c:plotArea>
      <c:layout>
        <c:manualLayout>
          <c:layoutTarget val="inner"/>
          <c:xMode val="edge"/>
          <c:yMode val="edge"/>
          <c:x val="0.10710645421290854"/>
          <c:y val="4.4233807266982617E-2"/>
          <c:w val="0.7927859411274375"/>
          <c:h val="0.71576171461979743"/>
        </c:manualLayout>
      </c:layout>
      <c:pieChart>
        <c:varyColors val="1"/>
        <c:ser>
          <c:idx val="0"/>
          <c:order val="0"/>
          <c:tx>
            <c:strRef>
              <c:f>Feuil1!$B$1</c:f>
              <c:strCache>
                <c:ptCount val="1"/>
                <c:pt idx="0">
                  <c:v>Ventes</c:v>
                </c:pt>
              </c:strCache>
            </c:strRef>
          </c:tx>
          <c:dPt>
            <c:idx val="0"/>
            <c:spPr>
              <a:solidFill>
                <a:schemeClr val="bg1">
                  <a:lumMod val="85000"/>
                </a:schemeClr>
              </a:solidFill>
              <a:ln>
                <a:noFill/>
              </a:ln>
              <a:effectLst>
                <a:outerShdw blurRad="57150" dist="19050" dir="5400000" algn="ctr" rotWithShape="0">
                  <a:srgbClr val="000000">
                    <a:alpha val="63000"/>
                  </a:srgbClr>
                </a:outerShdw>
              </a:effectLst>
            </c:spPr>
          </c:dPt>
          <c:dPt>
            <c:idx val="1"/>
            <c:spPr>
              <a:solidFill>
                <a:srgbClr val="00703C"/>
              </a:solidFill>
              <a:ln>
                <a:noFill/>
              </a:ln>
              <a:effectLst>
                <a:outerShdw blurRad="57150" dist="19050" dir="5400000" algn="ctr" rotWithShape="0">
                  <a:srgbClr val="000000">
                    <a:alpha val="63000"/>
                  </a:srgbClr>
                </a:outerShdw>
              </a:effectLst>
            </c:spPr>
          </c:dPt>
          <c:dPt>
            <c:idx val="2"/>
            <c:spPr>
              <a:solidFill>
                <a:srgbClr val="C4960C"/>
              </a:solidFill>
              <a:ln>
                <a:noFill/>
              </a:ln>
              <a:effectLst>
                <a:outerShdw blurRad="57150" dist="19050" dir="5400000" algn="ctr" rotWithShape="0">
                  <a:srgbClr val="000000">
                    <a:alpha val="63000"/>
                  </a:srgbClr>
                </a:outerShdw>
              </a:effectLst>
            </c:spPr>
          </c:dPt>
          <c:dPt>
            <c:idx val="3"/>
            <c:spPr>
              <a:solidFill>
                <a:schemeClr val="accent1">
                  <a:lumMod val="75000"/>
                </a:schemeClr>
              </a:solidFill>
              <a:ln>
                <a:noFill/>
              </a:ln>
              <a:effectLst>
                <a:outerShdw blurRad="57150" dist="19050" dir="5400000" algn="ctr" rotWithShape="0">
                  <a:srgbClr val="000000">
                    <a:alpha val="63000"/>
                  </a:srgbClr>
                </a:outerShdw>
              </a:effectLst>
            </c:spPr>
          </c:dPt>
          <c:cat>
            <c:strRef>
              <c:f>Feuil1!$A$2:$A$5</c:f>
              <c:strCache>
                <c:ptCount val="4"/>
                <c:pt idx="0">
                  <c:v>Zone économiquement non viable</c:v>
                </c:pt>
                <c:pt idx="1">
                  <c:v>Épuration</c:v>
                </c:pt>
                <c:pt idx="2">
                  <c:v>Stratégie hybride</c:v>
                </c:pt>
                <c:pt idx="3">
                  <c:v>Sophistication</c:v>
                </c:pt>
              </c:strCache>
            </c:strRef>
          </c:cat>
          <c:val>
            <c:numRef>
              <c:f>Feuil1!$B$2:$B$5</c:f>
              <c:numCache>
                <c:formatCode>General</c:formatCode>
                <c:ptCount val="4"/>
                <c:pt idx="0">
                  <c:v>10</c:v>
                </c:pt>
                <c:pt idx="1">
                  <c:v>2.5</c:v>
                </c:pt>
                <c:pt idx="2">
                  <c:v>5</c:v>
                </c:pt>
                <c:pt idx="3">
                  <c:v>2.5</c:v>
                </c:pt>
              </c:numCache>
            </c:numRef>
          </c:val>
        </c:ser>
        <c:firstSliceAng val="45"/>
      </c:pieChart>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fr-FR"/>
          </a:p>
        </c:txPr>
      </c:legendEntry>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legend>
    <c:plotVisOnly val="1"/>
    <c:dispBlanksAs val="zero"/>
  </c:chart>
  <c:spPr>
    <a:noFill/>
    <a:ln>
      <a:noFill/>
    </a:ln>
    <a:effectLst/>
  </c:spPr>
  <c:txPr>
    <a:bodyPr/>
    <a:lstStyle/>
    <a:p>
      <a:pPr>
        <a:defRPr/>
      </a:pPr>
      <a:endParaRPr lang="fr-FR"/>
    </a:p>
  </c:tx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CA"/>
  <c:chart>
    <c:title>
      <c:tx>
        <c:rich>
          <a:bodyPr/>
          <a:lstStyle/>
          <a:p>
            <a:pPr>
              <a:defRPr/>
            </a:pPr>
            <a:r>
              <a:rPr lang="fr-CA" sz="1200"/>
              <a:t>Proportion</a:t>
            </a:r>
            <a:r>
              <a:rPr lang="fr-CA" sz="1200" baseline="0"/>
              <a:t> du nombre d'étudiants de l'UQTR par rapport au total du nombre d'étudiants universitaires au Qc</a:t>
            </a:r>
            <a:endParaRPr lang="fr-CA" sz="1200"/>
          </a:p>
        </c:rich>
      </c:tx>
      <c:layout>
        <c:manualLayout>
          <c:xMode val="edge"/>
          <c:yMode val="edge"/>
          <c:x val="9.1604111986001754E-2"/>
          <c:y val="6.4814814814815214E-2"/>
        </c:manualLayout>
      </c:layout>
    </c:title>
    <c:plotArea>
      <c:layout/>
      <c:pieChart>
        <c:varyColors val="1"/>
        <c:ser>
          <c:idx val="0"/>
          <c:order val="0"/>
          <c:dLbls>
            <c:spPr>
              <a:noFill/>
              <a:ln>
                <a:noFill/>
              </a:ln>
              <a:effectLst/>
            </c:spPr>
            <c:dLblPos val="bestFit"/>
            <c:showVal val="1"/>
            <c:showLeaderLines val="1"/>
            <c:extLst>
              <c:ext xmlns:c15="http://schemas.microsoft.com/office/drawing/2012/chart" uri="{CE6537A1-D6FC-4f65-9D91-7224C49458BB}"/>
            </c:extLst>
          </c:dLbls>
          <c:cat>
            <c:strRef>
              <c:f>Feuil1!$A$86:$A$87</c:f>
              <c:strCache>
                <c:ptCount val="2"/>
                <c:pt idx="0">
                  <c:v>Autres Universités du QC</c:v>
                </c:pt>
                <c:pt idx="1">
                  <c:v>UQTR</c:v>
                </c:pt>
              </c:strCache>
            </c:strRef>
          </c:cat>
          <c:val>
            <c:numRef>
              <c:f>Feuil1!$B$86:$B$87</c:f>
              <c:numCache>
                <c:formatCode>0%</c:formatCode>
                <c:ptCount val="2"/>
                <c:pt idx="0">
                  <c:v>0.9574296896663016</c:v>
                </c:pt>
                <c:pt idx="1">
                  <c:v>4.2570310333698506E-2</c:v>
                </c:pt>
              </c:numCache>
            </c:numRef>
          </c:val>
        </c:ser>
        <c:dLbls>
          <c:showVal val="1"/>
        </c:dLbls>
        <c:firstSliceAng val="0"/>
      </c:pieChart>
    </c:plotArea>
    <c:legend>
      <c:legendPos val="r"/>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fr-CA"/>
  <c:chart>
    <c:title>
      <c:tx>
        <c:rich>
          <a:bodyPr/>
          <a:lstStyle/>
          <a:p>
            <a:pPr>
              <a:defRPr/>
            </a:pPr>
            <a:r>
              <a:rPr lang="fr-CA" sz="1050"/>
              <a:t>Appréciation</a:t>
            </a:r>
            <a:r>
              <a:rPr lang="fr-CA" sz="1050" baseline="0"/>
              <a:t> générale des étudiants face à leur université en fonction des frais de scolatité</a:t>
            </a:r>
            <a:endParaRPr lang="fr-CA" sz="1050"/>
          </a:p>
        </c:rich>
      </c:tx>
      <c:layout>
        <c:manualLayout>
          <c:xMode val="edge"/>
          <c:yMode val="edge"/>
          <c:x val="0.12380555555555572"/>
          <c:y val="4.1666666666666664E-2"/>
        </c:manualLayout>
      </c:layout>
    </c:title>
    <c:plotArea>
      <c:layout/>
      <c:lineChart>
        <c:grouping val="standard"/>
        <c:ser>
          <c:idx val="0"/>
          <c:order val="0"/>
          <c:marker>
            <c:symbol val="none"/>
          </c:marker>
          <c:dLbls>
            <c:spPr>
              <a:noFill/>
              <a:ln>
                <a:noFill/>
              </a:ln>
              <a:effectLst/>
            </c:spPr>
            <c:dLblPos val="t"/>
            <c:showVal val="1"/>
            <c:extLst>
              <c:ext xmlns:c15="http://schemas.microsoft.com/office/drawing/2012/chart" uri="{CE6537A1-D6FC-4f65-9D91-7224C49458BB}">
                <c15:showLeaderLines val="0"/>
              </c:ext>
            </c:extLst>
          </c:dLbls>
          <c:trendline>
            <c:spPr>
              <a:ln w="22225">
                <a:solidFill>
                  <a:srgbClr val="F43434"/>
                </a:solidFill>
              </a:ln>
              <a:effectLst>
                <a:innerShdw blurRad="63500" dist="50800" dir="13500000">
                  <a:srgbClr val="FF0000">
                    <a:alpha val="38000"/>
                  </a:srgbClr>
                </a:innerShdw>
              </a:effectLst>
            </c:spPr>
            <c:trendlineType val="linear"/>
            <c:dispEq val="1"/>
            <c:trendlineLbl>
              <c:layout>
                <c:manualLayout>
                  <c:x val="3.2425634295713046E-2"/>
                  <c:y val="0.19708151064450172"/>
                </c:manualLayout>
              </c:layout>
              <c:numFmt formatCode="General" sourceLinked="0"/>
              <c:spPr>
                <a:solidFill>
                  <a:srgbClr val="F43434"/>
                </a:solidFill>
              </c:spPr>
            </c:trendlineLbl>
          </c:trendline>
          <c:cat>
            <c:strRef>
              <c:f>Feuil1!$A$12:$A$17</c:f>
              <c:strCache>
                <c:ptCount val="6"/>
                <c:pt idx="0">
                  <c:v>Aucun</c:v>
                </c:pt>
                <c:pt idx="1">
                  <c:v>Entre 0 et 5000$</c:v>
                </c:pt>
                <c:pt idx="2">
                  <c:v>Entre 5 001 et 10 000$</c:v>
                </c:pt>
                <c:pt idx="3">
                  <c:v>Entre 10 001 et 15 000$</c:v>
                </c:pt>
                <c:pt idx="4">
                  <c:v>Entre 15 001 et 20 000$</c:v>
                </c:pt>
                <c:pt idx="5">
                  <c:v>20 000$ ou plus</c:v>
                </c:pt>
              </c:strCache>
            </c:strRef>
          </c:cat>
          <c:val>
            <c:numRef>
              <c:f>Feuil1!$B$12:$B$17</c:f>
              <c:numCache>
                <c:formatCode>0.00%</c:formatCode>
                <c:ptCount val="6"/>
                <c:pt idx="0">
                  <c:v>0.9</c:v>
                </c:pt>
                <c:pt idx="1">
                  <c:v>0.73786407766990658</c:v>
                </c:pt>
                <c:pt idx="2">
                  <c:v>0.77500000000000335</c:v>
                </c:pt>
                <c:pt idx="3">
                  <c:v>0.70000000000000062</c:v>
                </c:pt>
                <c:pt idx="4">
                  <c:v>0.80833333333333324</c:v>
                </c:pt>
                <c:pt idx="5">
                  <c:v>0.73333333333333361</c:v>
                </c:pt>
              </c:numCache>
            </c:numRef>
          </c:val>
        </c:ser>
        <c:dLbls>
          <c:showVal val="1"/>
        </c:dLbls>
        <c:marker val="1"/>
        <c:axId val="170394368"/>
        <c:axId val="170396288"/>
      </c:lineChart>
      <c:catAx>
        <c:axId val="170394368"/>
        <c:scaling>
          <c:orientation val="minMax"/>
        </c:scaling>
        <c:axPos val="b"/>
        <c:title>
          <c:tx>
            <c:rich>
              <a:bodyPr/>
              <a:lstStyle/>
              <a:p>
                <a:pPr>
                  <a:defRPr/>
                </a:pPr>
                <a:r>
                  <a:rPr lang="fr-CA"/>
                  <a:t>Frais</a:t>
                </a:r>
                <a:r>
                  <a:rPr lang="fr-CA" baseline="0"/>
                  <a:t> de scolarité payés</a:t>
                </a:r>
                <a:endParaRPr lang="fr-CA"/>
              </a:p>
            </c:rich>
          </c:tx>
        </c:title>
        <c:numFmt formatCode="General" sourceLinked="0"/>
        <c:tickLblPos val="nextTo"/>
        <c:crossAx val="170396288"/>
        <c:crosses val="autoZero"/>
        <c:auto val="1"/>
        <c:lblAlgn val="ctr"/>
        <c:lblOffset val="100"/>
      </c:catAx>
      <c:valAx>
        <c:axId val="170396288"/>
        <c:scaling>
          <c:orientation val="minMax"/>
        </c:scaling>
        <c:axPos val="l"/>
        <c:majorGridlines/>
        <c:title>
          <c:tx>
            <c:rich>
              <a:bodyPr rot="-5400000" vert="horz"/>
              <a:lstStyle/>
              <a:p>
                <a:pPr>
                  <a:defRPr/>
                </a:pPr>
                <a:r>
                  <a:rPr lang="fr-CA"/>
                  <a:t>Notes</a:t>
                </a:r>
                <a:r>
                  <a:rPr lang="fr-CA" baseline="0"/>
                  <a:t> moyennes attribuées aux universités</a:t>
                </a:r>
                <a:endParaRPr lang="fr-CA"/>
              </a:p>
            </c:rich>
          </c:tx>
        </c:title>
        <c:numFmt formatCode="0.00%" sourceLinked="1"/>
        <c:tickLblPos val="nextTo"/>
        <c:crossAx val="170394368"/>
        <c:crosses val="autoZero"/>
        <c:crossBetween val="between"/>
      </c:valAx>
    </c:plotArea>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44E413-CE73-45E0-8984-1C2D2AE4D6D5}" type="doc">
      <dgm:prSet loTypeId="urn:microsoft.com/office/officeart/2005/8/layout/hProcess6" loCatId="process" qsTypeId="urn:microsoft.com/office/officeart/2005/8/quickstyle/simple1" qsCatId="simple" csTypeId="urn:microsoft.com/office/officeart/2005/8/colors/accent1_2" csCatId="accent1" phldr="1"/>
      <dgm:spPr/>
      <dgm:t>
        <a:bodyPr/>
        <a:lstStyle/>
        <a:p>
          <a:endParaRPr lang="fr-CA"/>
        </a:p>
      </dgm:t>
    </dgm:pt>
    <dgm:pt modelId="{62DE9B57-3E48-4C13-83DE-A2B2F8C69DD3}">
      <dgm:prSet phldrT="[Texte]"/>
      <dgm:spPr>
        <a:solidFill>
          <a:srgbClr val="00703C"/>
        </a:solidFill>
      </dgm:spPr>
      <dgm:t>
        <a:bodyPr/>
        <a:lstStyle/>
        <a:p>
          <a:r>
            <a:rPr lang="fr-CA"/>
            <a:t>1969</a:t>
          </a:r>
        </a:p>
      </dgm:t>
    </dgm:pt>
    <dgm:pt modelId="{6F549DC2-395B-4738-859A-C2E5B12E564C}" type="parTrans" cxnId="{99E15230-6BA9-424C-8FE5-E5364A7E0E99}">
      <dgm:prSet/>
      <dgm:spPr/>
      <dgm:t>
        <a:bodyPr/>
        <a:lstStyle/>
        <a:p>
          <a:endParaRPr lang="fr-CA"/>
        </a:p>
      </dgm:t>
    </dgm:pt>
    <dgm:pt modelId="{6BCCE9A8-7213-4F56-9655-51E9638D7A91}" type="sibTrans" cxnId="{99E15230-6BA9-424C-8FE5-E5364A7E0E99}">
      <dgm:prSet/>
      <dgm:spPr/>
      <dgm:t>
        <a:bodyPr/>
        <a:lstStyle/>
        <a:p>
          <a:endParaRPr lang="fr-CA"/>
        </a:p>
      </dgm:t>
    </dgm:pt>
    <dgm:pt modelId="{71E4E92C-DF5E-4162-B636-18EB1B19F527}">
      <dgm:prSet phldrT="[Texte]"/>
      <dgm:spPr>
        <a:solidFill>
          <a:srgbClr val="00703C"/>
        </a:solidFill>
      </dgm:spPr>
      <dgm:t>
        <a:bodyPr/>
        <a:lstStyle/>
        <a:p>
          <a:r>
            <a:rPr lang="fr-CA"/>
            <a:t>2004</a:t>
          </a:r>
        </a:p>
      </dgm:t>
    </dgm:pt>
    <dgm:pt modelId="{9DCD8E88-3B61-4ECF-A9AA-998B98857207}" type="parTrans" cxnId="{31E32642-FA7B-443A-83FE-6E7F72B7FF9E}">
      <dgm:prSet/>
      <dgm:spPr/>
      <dgm:t>
        <a:bodyPr/>
        <a:lstStyle/>
        <a:p>
          <a:endParaRPr lang="fr-CA"/>
        </a:p>
      </dgm:t>
    </dgm:pt>
    <dgm:pt modelId="{BBC24B89-3901-44DD-B51C-4E369898E93A}" type="sibTrans" cxnId="{31E32642-FA7B-443A-83FE-6E7F72B7FF9E}">
      <dgm:prSet/>
      <dgm:spPr/>
      <dgm:t>
        <a:bodyPr/>
        <a:lstStyle/>
        <a:p>
          <a:endParaRPr lang="fr-CA"/>
        </a:p>
      </dgm:t>
    </dgm:pt>
    <dgm:pt modelId="{1675F13E-FFEF-471A-8B60-B32B8582AC96}">
      <dgm:prSet phldrT="[Texte]" custT="1"/>
      <dgm:spPr/>
      <dgm:t>
        <a:bodyPr/>
        <a:lstStyle/>
        <a:p>
          <a:r>
            <a:rPr lang="fr-CA" sz="800"/>
            <a:t>Agrandi-ssement du CAPS</a:t>
          </a:r>
        </a:p>
      </dgm:t>
    </dgm:pt>
    <dgm:pt modelId="{F8EA0BA0-3B36-4472-9945-228106DBF545}" type="parTrans" cxnId="{9BF4DCD3-464D-493A-9AB3-DB827E14A2D3}">
      <dgm:prSet/>
      <dgm:spPr/>
      <dgm:t>
        <a:bodyPr/>
        <a:lstStyle/>
        <a:p>
          <a:endParaRPr lang="fr-CA"/>
        </a:p>
      </dgm:t>
    </dgm:pt>
    <dgm:pt modelId="{AB300C2E-8039-47AE-9C68-3A746E97604C}" type="sibTrans" cxnId="{9BF4DCD3-464D-493A-9AB3-DB827E14A2D3}">
      <dgm:prSet/>
      <dgm:spPr/>
      <dgm:t>
        <a:bodyPr/>
        <a:lstStyle/>
        <a:p>
          <a:endParaRPr lang="fr-CA"/>
        </a:p>
      </dgm:t>
    </dgm:pt>
    <dgm:pt modelId="{D229D663-68A8-44CB-A71E-C0B47DC71106}">
      <dgm:prSet phldrT="[Texte]"/>
      <dgm:spPr>
        <a:solidFill>
          <a:srgbClr val="00703C"/>
        </a:solidFill>
      </dgm:spPr>
      <dgm:t>
        <a:bodyPr/>
        <a:lstStyle/>
        <a:p>
          <a:r>
            <a:rPr lang="fr-CA"/>
            <a:t>2009</a:t>
          </a:r>
        </a:p>
      </dgm:t>
    </dgm:pt>
    <dgm:pt modelId="{F3884246-3EF6-4F7E-BBA8-D24FB3174E9A}" type="parTrans" cxnId="{DDAD7F2F-AAB6-4E83-AEF9-6CC03DC68DE3}">
      <dgm:prSet/>
      <dgm:spPr/>
      <dgm:t>
        <a:bodyPr/>
        <a:lstStyle/>
        <a:p>
          <a:endParaRPr lang="fr-CA"/>
        </a:p>
      </dgm:t>
    </dgm:pt>
    <dgm:pt modelId="{1D4CC6E9-D187-454B-AE65-1333F70CC40C}" type="sibTrans" cxnId="{DDAD7F2F-AAB6-4E83-AEF9-6CC03DC68DE3}">
      <dgm:prSet/>
      <dgm:spPr/>
      <dgm:t>
        <a:bodyPr/>
        <a:lstStyle/>
        <a:p>
          <a:endParaRPr lang="fr-CA"/>
        </a:p>
      </dgm:t>
    </dgm:pt>
    <dgm:pt modelId="{B6CF0775-D3B3-4FD5-903A-214B28C26479}">
      <dgm:prSet phldrT="[Texte]" custT="1"/>
      <dgm:spPr/>
      <dgm:t>
        <a:bodyPr/>
        <a:lstStyle/>
        <a:p>
          <a:r>
            <a:rPr lang="fr-CA" sz="900"/>
            <a:t>Inaugura-tion du pav. Santé</a:t>
          </a:r>
        </a:p>
      </dgm:t>
    </dgm:pt>
    <dgm:pt modelId="{E4517698-14A2-47A4-BB32-A997988859DF}" type="parTrans" cxnId="{306FE877-F8D2-4771-8164-3AA598663918}">
      <dgm:prSet/>
      <dgm:spPr/>
      <dgm:t>
        <a:bodyPr/>
        <a:lstStyle/>
        <a:p>
          <a:endParaRPr lang="fr-CA"/>
        </a:p>
      </dgm:t>
    </dgm:pt>
    <dgm:pt modelId="{35FB8BDD-7E15-45C0-96E3-8F128FA14A6E}" type="sibTrans" cxnId="{306FE877-F8D2-4771-8164-3AA598663918}">
      <dgm:prSet/>
      <dgm:spPr/>
      <dgm:t>
        <a:bodyPr/>
        <a:lstStyle/>
        <a:p>
          <a:endParaRPr lang="fr-CA"/>
        </a:p>
      </dgm:t>
    </dgm:pt>
    <dgm:pt modelId="{9A2DB7D6-D3D3-49F2-AFAF-B7636EAD9836}">
      <dgm:prSet phldrT="[Texte]"/>
      <dgm:spPr>
        <a:solidFill>
          <a:srgbClr val="00703C"/>
        </a:solidFill>
      </dgm:spPr>
      <dgm:t>
        <a:bodyPr/>
        <a:lstStyle/>
        <a:p>
          <a:r>
            <a:rPr lang="fr-CA"/>
            <a:t>2014</a:t>
          </a:r>
        </a:p>
      </dgm:t>
    </dgm:pt>
    <dgm:pt modelId="{5121C21A-E30A-4FA1-8794-754136CFE130}" type="parTrans" cxnId="{ADAC3075-EA0A-4784-827C-826572323F8E}">
      <dgm:prSet/>
      <dgm:spPr/>
      <dgm:t>
        <a:bodyPr/>
        <a:lstStyle/>
        <a:p>
          <a:endParaRPr lang="fr-CA"/>
        </a:p>
      </dgm:t>
    </dgm:pt>
    <dgm:pt modelId="{679CDDA1-B8CC-4F54-B591-BA810B22EBB5}" type="sibTrans" cxnId="{ADAC3075-EA0A-4784-827C-826572323F8E}">
      <dgm:prSet/>
      <dgm:spPr/>
      <dgm:t>
        <a:bodyPr/>
        <a:lstStyle/>
        <a:p>
          <a:endParaRPr lang="fr-CA"/>
        </a:p>
      </dgm:t>
    </dgm:pt>
    <dgm:pt modelId="{F93F7056-C4AA-41BC-9C27-7E900B4BBD1F}">
      <dgm:prSet phldrT="[Texte]" custT="1"/>
      <dgm:spPr/>
      <dgm:t>
        <a:bodyPr/>
        <a:lstStyle/>
        <a:p>
          <a:r>
            <a:rPr lang="fr-CA" sz="900"/>
            <a:t>Construc-tion campus Drum-mondville</a:t>
          </a:r>
        </a:p>
      </dgm:t>
    </dgm:pt>
    <dgm:pt modelId="{157C63E6-2239-4079-BA51-D9831390C3CC}" type="parTrans" cxnId="{F0E719DB-3364-4E4F-82B4-7CF282C0BEF0}">
      <dgm:prSet/>
      <dgm:spPr/>
      <dgm:t>
        <a:bodyPr/>
        <a:lstStyle/>
        <a:p>
          <a:endParaRPr lang="fr-CA"/>
        </a:p>
      </dgm:t>
    </dgm:pt>
    <dgm:pt modelId="{0D8FF3E0-E1AB-4161-B7BD-AE50612D159D}" type="sibTrans" cxnId="{F0E719DB-3364-4E4F-82B4-7CF282C0BEF0}">
      <dgm:prSet/>
      <dgm:spPr/>
      <dgm:t>
        <a:bodyPr/>
        <a:lstStyle/>
        <a:p>
          <a:endParaRPr lang="fr-CA"/>
        </a:p>
      </dgm:t>
    </dgm:pt>
    <dgm:pt modelId="{58FFBA78-7F40-4CD6-88A2-4C038D562B9F}">
      <dgm:prSet phldrT="[Texte]"/>
      <dgm:spPr>
        <a:solidFill>
          <a:srgbClr val="00703C"/>
        </a:solidFill>
      </dgm:spPr>
      <dgm:t>
        <a:bodyPr/>
        <a:lstStyle/>
        <a:p>
          <a:r>
            <a:rPr lang="fr-CA"/>
            <a:t>1973</a:t>
          </a:r>
        </a:p>
      </dgm:t>
    </dgm:pt>
    <dgm:pt modelId="{8A2C35BE-327F-4C62-9EBB-8E84BEFDC703}" type="parTrans" cxnId="{913173C9-8248-474A-BCA3-CE5F2839673D}">
      <dgm:prSet/>
      <dgm:spPr/>
      <dgm:t>
        <a:bodyPr/>
        <a:lstStyle/>
        <a:p>
          <a:endParaRPr lang="fr-CA"/>
        </a:p>
      </dgm:t>
    </dgm:pt>
    <dgm:pt modelId="{D8956EAF-B19F-4DD5-BE41-18A2251FFAF5}" type="sibTrans" cxnId="{913173C9-8248-474A-BCA3-CE5F2839673D}">
      <dgm:prSet/>
      <dgm:spPr/>
      <dgm:t>
        <a:bodyPr/>
        <a:lstStyle/>
        <a:p>
          <a:endParaRPr lang="fr-CA"/>
        </a:p>
      </dgm:t>
    </dgm:pt>
    <dgm:pt modelId="{53EA94DF-06FF-4DCB-9D46-2D8CA8C6C487}">
      <dgm:prSet custT="1"/>
      <dgm:spPr/>
      <dgm:t>
        <a:bodyPr/>
        <a:lstStyle/>
        <a:p>
          <a:r>
            <a:rPr lang="fr-CA" sz="800"/>
            <a:t>Fondation de l'UQTR</a:t>
          </a:r>
        </a:p>
      </dgm:t>
    </dgm:pt>
    <dgm:pt modelId="{E23A0820-D210-4150-AAE4-9FF69CC4F0E2}" type="parTrans" cxnId="{F0D0BAF9-8487-4EFC-BD89-633EE142AF99}">
      <dgm:prSet/>
      <dgm:spPr/>
      <dgm:t>
        <a:bodyPr/>
        <a:lstStyle/>
        <a:p>
          <a:endParaRPr lang="fr-CA"/>
        </a:p>
      </dgm:t>
    </dgm:pt>
    <dgm:pt modelId="{152940EC-5CF5-40B6-B742-00B0C8FAFF5D}" type="sibTrans" cxnId="{F0D0BAF9-8487-4EFC-BD89-633EE142AF99}">
      <dgm:prSet/>
      <dgm:spPr/>
      <dgm:t>
        <a:bodyPr/>
        <a:lstStyle/>
        <a:p>
          <a:endParaRPr lang="fr-CA"/>
        </a:p>
      </dgm:t>
    </dgm:pt>
    <dgm:pt modelId="{9478D9B9-7AB0-4667-8046-D1DBE5702F0C}">
      <dgm:prSet custT="1"/>
      <dgm:spPr/>
      <dgm:t>
        <a:bodyPr/>
        <a:lstStyle/>
        <a:p>
          <a:r>
            <a:rPr lang="fr-CA" sz="800"/>
            <a:t>Construc-tion du pav. Ringuet</a:t>
          </a:r>
        </a:p>
      </dgm:t>
    </dgm:pt>
    <dgm:pt modelId="{AFD638BD-30A8-4693-9F8A-60E46CB61F76}" type="parTrans" cxnId="{1B85E675-2E8C-4CB3-945F-1C023603361F}">
      <dgm:prSet/>
      <dgm:spPr/>
      <dgm:t>
        <a:bodyPr/>
        <a:lstStyle/>
        <a:p>
          <a:endParaRPr lang="fr-CA"/>
        </a:p>
      </dgm:t>
    </dgm:pt>
    <dgm:pt modelId="{D0D8AD1B-5644-4D0A-ACD9-244B86E8429F}" type="sibTrans" cxnId="{1B85E675-2E8C-4CB3-945F-1C023603361F}">
      <dgm:prSet/>
      <dgm:spPr/>
      <dgm:t>
        <a:bodyPr/>
        <a:lstStyle/>
        <a:p>
          <a:endParaRPr lang="fr-CA"/>
        </a:p>
      </dgm:t>
    </dgm:pt>
    <dgm:pt modelId="{EA14D63D-07B5-4C38-BC9F-AE81E300C4AB}" type="pres">
      <dgm:prSet presAssocID="{DB44E413-CE73-45E0-8984-1C2D2AE4D6D5}" presName="theList" presStyleCnt="0">
        <dgm:presLayoutVars>
          <dgm:dir/>
          <dgm:animLvl val="lvl"/>
          <dgm:resizeHandles val="exact"/>
        </dgm:presLayoutVars>
      </dgm:prSet>
      <dgm:spPr/>
      <dgm:t>
        <a:bodyPr/>
        <a:lstStyle/>
        <a:p>
          <a:endParaRPr lang="fr-CA"/>
        </a:p>
      </dgm:t>
    </dgm:pt>
    <dgm:pt modelId="{63267D2E-B56F-479A-AE82-A9E0641CE96F}" type="pres">
      <dgm:prSet presAssocID="{62DE9B57-3E48-4C13-83DE-A2B2F8C69DD3}" presName="compNode" presStyleCnt="0"/>
      <dgm:spPr/>
    </dgm:pt>
    <dgm:pt modelId="{7F41AD9F-C048-4395-9081-828AFEE66FE2}" type="pres">
      <dgm:prSet presAssocID="{62DE9B57-3E48-4C13-83DE-A2B2F8C69DD3}" presName="noGeometry" presStyleCnt="0"/>
      <dgm:spPr/>
    </dgm:pt>
    <dgm:pt modelId="{37442267-F479-42A3-B723-3CF852057B83}" type="pres">
      <dgm:prSet presAssocID="{62DE9B57-3E48-4C13-83DE-A2B2F8C69DD3}" presName="childTextVisible" presStyleLbl="bgAccFollowNode1" presStyleIdx="0" presStyleCnt="5" custScaleX="119994" custScaleY="177018">
        <dgm:presLayoutVars>
          <dgm:bulletEnabled val="1"/>
        </dgm:presLayoutVars>
      </dgm:prSet>
      <dgm:spPr/>
      <dgm:t>
        <a:bodyPr/>
        <a:lstStyle/>
        <a:p>
          <a:endParaRPr lang="fr-CA"/>
        </a:p>
      </dgm:t>
    </dgm:pt>
    <dgm:pt modelId="{F2450E51-8A37-4AED-9709-E72741301429}" type="pres">
      <dgm:prSet presAssocID="{62DE9B57-3E48-4C13-83DE-A2B2F8C69DD3}" presName="childTextHidden" presStyleLbl="bgAccFollowNode1" presStyleIdx="0" presStyleCnt="5"/>
      <dgm:spPr/>
      <dgm:t>
        <a:bodyPr/>
        <a:lstStyle/>
        <a:p>
          <a:endParaRPr lang="fr-CA"/>
        </a:p>
      </dgm:t>
    </dgm:pt>
    <dgm:pt modelId="{FE128F7B-C6B0-4FC0-AE6B-5F4D2EF4CF56}" type="pres">
      <dgm:prSet presAssocID="{62DE9B57-3E48-4C13-83DE-A2B2F8C69DD3}" presName="parentText" presStyleLbl="node1" presStyleIdx="0" presStyleCnt="5" custScaleX="93125" custScaleY="92617">
        <dgm:presLayoutVars>
          <dgm:chMax val="1"/>
          <dgm:bulletEnabled val="1"/>
        </dgm:presLayoutVars>
      </dgm:prSet>
      <dgm:spPr/>
      <dgm:t>
        <a:bodyPr/>
        <a:lstStyle/>
        <a:p>
          <a:endParaRPr lang="fr-CA"/>
        </a:p>
      </dgm:t>
    </dgm:pt>
    <dgm:pt modelId="{9A62F5CA-9735-4611-96FE-20FD332E009E}" type="pres">
      <dgm:prSet presAssocID="{62DE9B57-3E48-4C13-83DE-A2B2F8C69DD3}" presName="aSpace" presStyleCnt="0"/>
      <dgm:spPr/>
    </dgm:pt>
    <dgm:pt modelId="{60BCE5A9-3443-4DE5-8C03-47BE0D9F8FC1}" type="pres">
      <dgm:prSet presAssocID="{58FFBA78-7F40-4CD6-88A2-4C038D562B9F}" presName="compNode" presStyleCnt="0"/>
      <dgm:spPr/>
    </dgm:pt>
    <dgm:pt modelId="{3BC8EFDE-9042-4391-BEED-BC64F2C5D01B}" type="pres">
      <dgm:prSet presAssocID="{58FFBA78-7F40-4CD6-88A2-4C038D562B9F}" presName="noGeometry" presStyleCnt="0"/>
      <dgm:spPr/>
    </dgm:pt>
    <dgm:pt modelId="{BF27C2EB-32EC-4C28-A3B6-F1A8D400EC25}" type="pres">
      <dgm:prSet presAssocID="{58FFBA78-7F40-4CD6-88A2-4C038D562B9F}" presName="childTextVisible" presStyleLbl="bgAccFollowNode1" presStyleIdx="1" presStyleCnt="5" custScaleX="118969" custScaleY="192524">
        <dgm:presLayoutVars>
          <dgm:bulletEnabled val="1"/>
        </dgm:presLayoutVars>
      </dgm:prSet>
      <dgm:spPr/>
      <dgm:t>
        <a:bodyPr/>
        <a:lstStyle/>
        <a:p>
          <a:endParaRPr lang="fr-CA"/>
        </a:p>
      </dgm:t>
    </dgm:pt>
    <dgm:pt modelId="{DCA11A4E-A271-4CB8-A943-3B382AB7BCC7}" type="pres">
      <dgm:prSet presAssocID="{58FFBA78-7F40-4CD6-88A2-4C038D562B9F}" presName="childTextHidden" presStyleLbl="bgAccFollowNode1" presStyleIdx="1" presStyleCnt="5"/>
      <dgm:spPr/>
      <dgm:t>
        <a:bodyPr/>
        <a:lstStyle/>
        <a:p>
          <a:endParaRPr lang="fr-CA"/>
        </a:p>
      </dgm:t>
    </dgm:pt>
    <dgm:pt modelId="{0D1199E4-E648-4467-A3D4-DD0CD6B21469}" type="pres">
      <dgm:prSet presAssocID="{58FFBA78-7F40-4CD6-88A2-4C038D562B9F}" presName="parentText" presStyleLbl="node1" presStyleIdx="1" presStyleCnt="5" custScaleX="89089" custScaleY="97134">
        <dgm:presLayoutVars>
          <dgm:chMax val="1"/>
          <dgm:bulletEnabled val="1"/>
        </dgm:presLayoutVars>
      </dgm:prSet>
      <dgm:spPr/>
      <dgm:t>
        <a:bodyPr/>
        <a:lstStyle/>
        <a:p>
          <a:endParaRPr lang="fr-CA"/>
        </a:p>
      </dgm:t>
    </dgm:pt>
    <dgm:pt modelId="{93F55067-FBB8-4FC2-89D3-6AD7A7063BDE}" type="pres">
      <dgm:prSet presAssocID="{58FFBA78-7F40-4CD6-88A2-4C038D562B9F}" presName="aSpace" presStyleCnt="0"/>
      <dgm:spPr/>
    </dgm:pt>
    <dgm:pt modelId="{FCE58E90-7EAB-409A-9114-BCECA6ECB0AA}" type="pres">
      <dgm:prSet presAssocID="{71E4E92C-DF5E-4162-B636-18EB1B19F527}" presName="compNode" presStyleCnt="0"/>
      <dgm:spPr/>
    </dgm:pt>
    <dgm:pt modelId="{CCCD542D-D13E-4057-B583-B973D2E54C58}" type="pres">
      <dgm:prSet presAssocID="{71E4E92C-DF5E-4162-B636-18EB1B19F527}" presName="noGeometry" presStyleCnt="0"/>
      <dgm:spPr/>
    </dgm:pt>
    <dgm:pt modelId="{FFE74716-ABFE-4650-82AB-98FB8CAFDA89}" type="pres">
      <dgm:prSet presAssocID="{71E4E92C-DF5E-4162-B636-18EB1B19F527}" presName="childTextVisible" presStyleLbl="bgAccFollowNode1" presStyleIdx="2" presStyleCnt="5" custScaleX="119800" custScaleY="177018">
        <dgm:presLayoutVars>
          <dgm:bulletEnabled val="1"/>
        </dgm:presLayoutVars>
      </dgm:prSet>
      <dgm:spPr/>
      <dgm:t>
        <a:bodyPr/>
        <a:lstStyle/>
        <a:p>
          <a:endParaRPr lang="fr-CA"/>
        </a:p>
      </dgm:t>
    </dgm:pt>
    <dgm:pt modelId="{89485736-4730-4FDB-8F49-F12FCD988F9F}" type="pres">
      <dgm:prSet presAssocID="{71E4E92C-DF5E-4162-B636-18EB1B19F527}" presName="childTextHidden" presStyleLbl="bgAccFollowNode1" presStyleIdx="2" presStyleCnt="5"/>
      <dgm:spPr/>
      <dgm:t>
        <a:bodyPr/>
        <a:lstStyle/>
        <a:p>
          <a:endParaRPr lang="fr-CA"/>
        </a:p>
      </dgm:t>
    </dgm:pt>
    <dgm:pt modelId="{03F3311A-8EB4-4F9A-8152-7A298B3B856B}" type="pres">
      <dgm:prSet presAssocID="{71E4E92C-DF5E-4162-B636-18EB1B19F527}" presName="parentText" presStyleLbl="node1" presStyleIdx="2" presStyleCnt="5" custScaleX="85500" custScaleY="88099">
        <dgm:presLayoutVars>
          <dgm:chMax val="1"/>
          <dgm:bulletEnabled val="1"/>
        </dgm:presLayoutVars>
      </dgm:prSet>
      <dgm:spPr/>
      <dgm:t>
        <a:bodyPr/>
        <a:lstStyle/>
        <a:p>
          <a:endParaRPr lang="fr-CA"/>
        </a:p>
      </dgm:t>
    </dgm:pt>
    <dgm:pt modelId="{920FC86E-1FCC-46B7-AB0D-73346802044E}" type="pres">
      <dgm:prSet presAssocID="{71E4E92C-DF5E-4162-B636-18EB1B19F527}" presName="aSpace" presStyleCnt="0"/>
      <dgm:spPr/>
    </dgm:pt>
    <dgm:pt modelId="{05FB76C4-3676-4984-A06F-67A7F2E660E7}" type="pres">
      <dgm:prSet presAssocID="{D229D663-68A8-44CB-A71E-C0B47DC71106}" presName="compNode" presStyleCnt="0"/>
      <dgm:spPr/>
    </dgm:pt>
    <dgm:pt modelId="{DE6D8DE7-6B98-411D-9BC5-5621BC28DA21}" type="pres">
      <dgm:prSet presAssocID="{D229D663-68A8-44CB-A71E-C0B47DC71106}" presName="noGeometry" presStyleCnt="0"/>
      <dgm:spPr/>
    </dgm:pt>
    <dgm:pt modelId="{31A51010-E912-4BD0-B8BF-BC6E90D3998A}" type="pres">
      <dgm:prSet presAssocID="{D229D663-68A8-44CB-A71E-C0B47DC71106}" presName="childTextVisible" presStyleLbl="bgAccFollowNode1" presStyleIdx="3" presStyleCnt="5" custScaleX="122300" custScaleY="171850">
        <dgm:presLayoutVars>
          <dgm:bulletEnabled val="1"/>
        </dgm:presLayoutVars>
      </dgm:prSet>
      <dgm:spPr/>
      <dgm:t>
        <a:bodyPr/>
        <a:lstStyle/>
        <a:p>
          <a:endParaRPr lang="fr-CA"/>
        </a:p>
      </dgm:t>
    </dgm:pt>
    <dgm:pt modelId="{3DA77F6F-AEA7-4021-BF8A-91D59F109811}" type="pres">
      <dgm:prSet presAssocID="{D229D663-68A8-44CB-A71E-C0B47DC71106}" presName="childTextHidden" presStyleLbl="bgAccFollowNode1" presStyleIdx="3" presStyleCnt="5"/>
      <dgm:spPr/>
      <dgm:t>
        <a:bodyPr/>
        <a:lstStyle/>
        <a:p>
          <a:endParaRPr lang="fr-CA"/>
        </a:p>
      </dgm:t>
    </dgm:pt>
    <dgm:pt modelId="{5716097A-6B0A-46E1-8C57-94A73FAB9EF7}" type="pres">
      <dgm:prSet presAssocID="{D229D663-68A8-44CB-A71E-C0B47DC71106}" presName="parentText" presStyleLbl="node1" presStyleIdx="3" presStyleCnt="5" custScaleX="74718" custScaleY="83794">
        <dgm:presLayoutVars>
          <dgm:chMax val="1"/>
          <dgm:bulletEnabled val="1"/>
        </dgm:presLayoutVars>
      </dgm:prSet>
      <dgm:spPr/>
      <dgm:t>
        <a:bodyPr/>
        <a:lstStyle/>
        <a:p>
          <a:endParaRPr lang="fr-CA"/>
        </a:p>
      </dgm:t>
    </dgm:pt>
    <dgm:pt modelId="{83933A09-0ED7-47BD-9A82-D752768D0210}" type="pres">
      <dgm:prSet presAssocID="{D229D663-68A8-44CB-A71E-C0B47DC71106}" presName="aSpace" presStyleCnt="0"/>
      <dgm:spPr/>
    </dgm:pt>
    <dgm:pt modelId="{63AB2C29-C8F0-444E-A5BB-8325DB872FFB}" type="pres">
      <dgm:prSet presAssocID="{9A2DB7D6-D3D3-49F2-AFAF-B7636EAD9836}" presName="compNode" presStyleCnt="0"/>
      <dgm:spPr/>
    </dgm:pt>
    <dgm:pt modelId="{5A6EC060-45DE-4E55-98EF-FD0F293AFF2D}" type="pres">
      <dgm:prSet presAssocID="{9A2DB7D6-D3D3-49F2-AFAF-B7636EAD9836}" presName="noGeometry" presStyleCnt="0"/>
      <dgm:spPr/>
    </dgm:pt>
    <dgm:pt modelId="{5E0864C9-4F22-4A8E-8E1A-977F7761AC76}" type="pres">
      <dgm:prSet presAssocID="{9A2DB7D6-D3D3-49F2-AFAF-B7636EAD9836}" presName="childTextVisible" presStyleLbl="bgAccFollowNode1" presStyleIdx="4" presStyleCnt="5" custScaleX="133051" custScaleY="174434">
        <dgm:presLayoutVars>
          <dgm:bulletEnabled val="1"/>
        </dgm:presLayoutVars>
      </dgm:prSet>
      <dgm:spPr/>
      <dgm:t>
        <a:bodyPr/>
        <a:lstStyle/>
        <a:p>
          <a:endParaRPr lang="fr-CA"/>
        </a:p>
      </dgm:t>
    </dgm:pt>
    <dgm:pt modelId="{29E80B64-E9C4-4A48-8A8C-42DC08481015}" type="pres">
      <dgm:prSet presAssocID="{9A2DB7D6-D3D3-49F2-AFAF-B7636EAD9836}" presName="childTextHidden" presStyleLbl="bgAccFollowNode1" presStyleIdx="4" presStyleCnt="5"/>
      <dgm:spPr/>
      <dgm:t>
        <a:bodyPr/>
        <a:lstStyle/>
        <a:p>
          <a:endParaRPr lang="fr-CA"/>
        </a:p>
      </dgm:t>
    </dgm:pt>
    <dgm:pt modelId="{66115E20-C827-427F-A7E1-F453C835423E}" type="pres">
      <dgm:prSet presAssocID="{9A2DB7D6-D3D3-49F2-AFAF-B7636EAD9836}" presName="parentText" presStyleLbl="node1" presStyleIdx="4" presStyleCnt="5" custScaleX="91303" custScaleY="79063">
        <dgm:presLayoutVars>
          <dgm:chMax val="1"/>
          <dgm:bulletEnabled val="1"/>
        </dgm:presLayoutVars>
      </dgm:prSet>
      <dgm:spPr/>
      <dgm:t>
        <a:bodyPr/>
        <a:lstStyle/>
        <a:p>
          <a:endParaRPr lang="fr-CA"/>
        </a:p>
      </dgm:t>
    </dgm:pt>
  </dgm:ptLst>
  <dgm:cxnLst>
    <dgm:cxn modelId="{05255D28-F488-409D-83C1-A303823CBB3D}" type="presOf" srcId="{9478D9B9-7AB0-4667-8046-D1DBE5702F0C}" destId="{BF27C2EB-32EC-4C28-A3B6-F1A8D400EC25}" srcOrd="0" destOrd="0" presId="urn:microsoft.com/office/officeart/2005/8/layout/hProcess6"/>
    <dgm:cxn modelId="{31E32642-FA7B-443A-83FE-6E7F72B7FF9E}" srcId="{DB44E413-CE73-45E0-8984-1C2D2AE4D6D5}" destId="{71E4E92C-DF5E-4162-B636-18EB1B19F527}" srcOrd="2" destOrd="0" parTransId="{9DCD8E88-3B61-4ECF-A9AA-998B98857207}" sibTransId="{BBC24B89-3901-44DD-B51C-4E369898E93A}"/>
    <dgm:cxn modelId="{735D30B4-2823-4B9F-A5F3-E3694ECFE9F7}" type="presOf" srcId="{B6CF0775-D3B3-4FD5-903A-214B28C26479}" destId="{31A51010-E912-4BD0-B8BF-BC6E90D3998A}" srcOrd="0" destOrd="0" presId="urn:microsoft.com/office/officeart/2005/8/layout/hProcess6"/>
    <dgm:cxn modelId="{6DB9D539-4C07-4ACE-A339-22DBB0A93A7C}" type="presOf" srcId="{62DE9B57-3E48-4C13-83DE-A2B2F8C69DD3}" destId="{FE128F7B-C6B0-4FC0-AE6B-5F4D2EF4CF56}" srcOrd="0" destOrd="0" presId="urn:microsoft.com/office/officeart/2005/8/layout/hProcess6"/>
    <dgm:cxn modelId="{32037DDF-D044-4F37-B8DE-A07B6CFDA2E6}" type="presOf" srcId="{9478D9B9-7AB0-4667-8046-D1DBE5702F0C}" destId="{DCA11A4E-A271-4CB8-A943-3B382AB7BCC7}" srcOrd="1" destOrd="0" presId="urn:microsoft.com/office/officeart/2005/8/layout/hProcess6"/>
    <dgm:cxn modelId="{02BDBCB2-EF84-4CAD-9E98-A51D454DE56B}" type="presOf" srcId="{D229D663-68A8-44CB-A71E-C0B47DC71106}" destId="{5716097A-6B0A-46E1-8C57-94A73FAB9EF7}" srcOrd="0" destOrd="0" presId="urn:microsoft.com/office/officeart/2005/8/layout/hProcess6"/>
    <dgm:cxn modelId="{9BF4DCD3-464D-493A-9AB3-DB827E14A2D3}" srcId="{71E4E92C-DF5E-4162-B636-18EB1B19F527}" destId="{1675F13E-FFEF-471A-8B60-B32B8582AC96}" srcOrd="0" destOrd="0" parTransId="{F8EA0BA0-3B36-4472-9945-228106DBF545}" sibTransId="{AB300C2E-8039-47AE-9C68-3A746E97604C}"/>
    <dgm:cxn modelId="{9F646393-E1C3-4CB8-8C7B-98270D6C0207}" type="presOf" srcId="{53EA94DF-06FF-4DCB-9D46-2D8CA8C6C487}" destId="{37442267-F479-42A3-B723-3CF852057B83}" srcOrd="0" destOrd="0" presId="urn:microsoft.com/office/officeart/2005/8/layout/hProcess6"/>
    <dgm:cxn modelId="{D75C9864-5221-4A04-BB6A-2F0F6E8D5E71}" type="presOf" srcId="{F93F7056-C4AA-41BC-9C27-7E900B4BBD1F}" destId="{5E0864C9-4F22-4A8E-8E1A-977F7761AC76}" srcOrd="0" destOrd="0" presId="urn:microsoft.com/office/officeart/2005/8/layout/hProcess6"/>
    <dgm:cxn modelId="{7104C521-57F7-40FE-B2E5-8B0F5D51A296}" type="presOf" srcId="{9A2DB7D6-D3D3-49F2-AFAF-B7636EAD9836}" destId="{66115E20-C827-427F-A7E1-F453C835423E}" srcOrd="0" destOrd="0" presId="urn:microsoft.com/office/officeart/2005/8/layout/hProcess6"/>
    <dgm:cxn modelId="{A7C7FEF9-D52C-4FF8-B5C2-A66B9D89E3C3}" type="presOf" srcId="{1675F13E-FFEF-471A-8B60-B32B8582AC96}" destId="{89485736-4730-4FDB-8F49-F12FCD988F9F}" srcOrd="1" destOrd="0" presId="urn:microsoft.com/office/officeart/2005/8/layout/hProcess6"/>
    <dgm:cxn modelId="{913173C9-8248-474A-BCA3-CE5F2839673D}" srcId="{DB44E413-CE73-45E0-8984-1C2D2AE4D6D5}" destId="{58FFBA78-7F40-4CD6-88A2-4C038D562B9F}" srcOrd="1" destOrd="0" parTransId="{8A2C35BE-327F-4C62-9EBB-8E84BEFDC703}" sibTransId="{D8956EAF-B19F-4DD5-BE41-18A2251FFAF5}"/>
    <dgm:cxn modelId="{B34B8921-4B88-4C79-990C-84F65C8D7C49}" type="presOf" srcId="{53EA94DF-06FF-4DCB-9D46-2D8CA8C6C487}" destId="{F2450E51-8A37-4AED-9709-E72741301429}" srcOrd="1" destOrd="0" presId="urn:microsoft.com/office/officeart/2005/8/layout/hProcess6"/>
    <dgm:cxn modelId="{1B85E675-2E8C-4CB3-945F-1C023603361F}" srcId="{58FFBA78-7F40-4CD6-88A2-4C038D562B9F}" destId="{9478D9B9-7AB0-4667-8046-D1DBE5702F0C}" srcOrd="0" destOrd="0" parTransId="{AFD638BD-30A8-4693-9F8A-60E46CB61F76}" sibTransId="{D0D8AD1B-5644-4D0A-ACD9-244B86E8429F}"/>
    <dgm:cxn modelId="{F0E719DB-3364-4E4F-82B4-7CF282C0BEF0}" srcId="{9A2DB7D6-D3D3-49F2-AFAF-B7636EAD9836}" destId="{F93F7056-C4AA-41BC-9C27-7E900B4BBD1F}" srcOrd="0" destOrd="0" parTransId="{157C63E6-2239-4079-BA51-D9831390C3CC}" sibTransId="{0D8FF3E0-E1AB-4161-B7BD-AE50612D159D}"/>
    <dgm:cxn modelId="{6A0AF8AD-6862-4BFB-96E7-65D66FF79A63}" type="presOf" srcId="{F93F7056-C4AA-41BC-9C27-7E900B4BBD1F}" destId="{29E80B64-E9C4-4A48-8A8C-42DC08481015}" srcOrd="1" destOrd="0" presId="urn:microsoft.com/office/officeart/2005/8/layout/hProcess6"/>
    <dgm:cxn modelId="{306FE877-F8D2-4771-8164-3AA598663918}" srcId="{D229D663-68A8-44CB-A71E-C0B47DC71106}" destId="{B6CF0775-D3B3-4FD5-903A-214B28C26479}" srcOrd="0" destOrd="0" parTransId="{E4517698-14A2-47A4-BB32-A997988859DF}" sibTransId="{35FB8BDD-7E15-45C0-96E3-8F128FA14A6E}"/>
    <dgm:cxn modelId="{BB7A4E88-350B-43E9-8245-AE64E637AF65}" type="presOf" srcId="{B6CF0775-D3B3-4FD5-903A-214B28C26479}" destId="{3DA77F6F-AEA7-4021-BF8A-91D59F109811}" srcOrd="1" destOrd="0" presId="urn:microsoft.com/office/officeart/2005/8/layout/hProcess6"/>
    <dgm:cxn modelId="{99E15230-6BA9-424C-8FE5-E5364A7E0E99}" srcId="{DB44E413-CE73-45E0-8984-1C2D2AE4D6D5}" destId="{62DE9B57-3E48-4C13-83DE-A2B2F8C69DD3}" srcOrd="0" destOrd="0" parTransId="{6F549DC2-395B-4738-859A-C2E5B12E564C}" sibTransId="{6BCCE9A8-7213-4F56-9655-51E9638D7A91}"/>
    <dgm:cxn modelId="{F0D0BAF9-8487-4EFC-BD89-633EE142AF99}" srcId="{62DE9B57-3E48-4C13-83DE-A2B2F8C69DD3}" destId="{53EA94DF-06FF-4DCB-9D46-2D8CA8C6C487}" srcOrd="0" destOrd="0" parTransId="{E23A0820-D210-4150-AAE4-9FF69CC4F0E2}" sibTransId="{152940EC-5CF5-40B6-B742-00B0C8FAFF5D}"/>
    <dgm:cxn modelId="{DDAD7F2F-AAB6-4E83-AEF9-6CC03DC68DE3}" srcId="{DB44E413-CE73-45E0-8984-1C2D2AE4D6D5}" destId="{D229D663-68A8-44CB-A71E-C0B47DC71106}" srcOrd="3" destOrd="0" parTransId="{F3884246-3EF6-4F7E-BBA8-D24FB3174E9A}" sibTransId="{1D4CC6E9-D187-454B-AE65-1333F70CC40C}"/>
    <dgm:cxn modelId="{8B65D2CE-E7EA-4747-B256-E08D6CABC03D}" type="presOf" srcId="{DB44E413-CE73-45E0-8984-1C2D2AE4D6D5}" destId="{EA14D63D-07B5-4C38-BC9F-AE81E300C4AB}" srcOrd="0" destOrd="0" presId="urn:microsoft.com/office/officeart/2005/8/layout/hProcess6"/>
    <dgm:cxn modelId="{9830C681-8D50-4F38-A83A-4955F74AE830}" type="presOf" srcId="{1675F13E-FFEF-471A-8B60-B32B8582AC96}" destId="{FFE74716-ABFE-4650-82AB-98FB8CAFDA89}" srcOrd="0" destOrd="0" presId="urn:microsoft.com/office/officeart/2005/8/layout/hProcess6"/>
    <dgm:cxn modelId="{83CE6602-861F-4269-858C-E1185FD57A22}" type="presOf" srcId="{71E4E92C-DF5E-4162-B636-18EB1B19F527}" destId="{03F3311A-8EB4-4F9A-8152-7A298B3B856B}" srcOrd="0" destOrd="0" presId="urn:microsoft.com/office/officeart/2005/8/layout/hProcess6"/>
    <dgm:cxn modelId="{592B373B-B3EE-46FA-9253-645DBD734E71}" type="presOf" srcId="{58FFBA78-7F40-4CD6-88A2-4C038D562B9F}" destId="{0D1199E4-E648-4467-A3D4-DD0CD6B21469}" srcOrd="0" destOrd="0" presId="urn:microsoft.com/office/officeart/2005/8/layout/hProcess6"/>
    <dgm:cxn modelId="{ADAC3075-EA0A-4784-827C-826572323F8E}" srcId="{DB44E413-CE73-45E0-8984-1C2D2AE4D6D5}" destId="{9A2DB7D6-D3D3-49F2-AFAF-B7636EAD9836}" srcOrd="4" destOrd="0" parTransId="{5121C21A-E30A-4FA1-8794-754136CFE130}" sibTransId="{679CDDA1-B8CC-4F54-B591-BA810B22EBB5}"/>
    <dgm:cxn modelId="{94B4006B-5E4A-461A-8E31-9CC1FF6F07A9}" type="presParOf" srcId="{EA14D63D-07B5-4C38-BC9F-AE81E300C4AB}" destId="{63267D2E-B56F-479A-AE82-A9E0641CE96F}" srcOrd="0" destOrd="0" presId="urn:microsoft.com/office/officeart/2005/8/layout/hProcess6"/>
    <dgm:cxn modelId="{19E16247-C4F8-471D-A340-4BEB95A7ABC4}" type="presParOf" srcId="{63267D2E-B56F-479A-AE82-A9E0641CE96F}" destId="{7F41AD9F-C048-4395-9081-828AFEE66FE2}" srcOrd="0" destOrd="0" presId="urn:microsoft.com/office/officeart/2005/8/layout/hProcess6"/>
    <dgm:cxn modelId="{B4B98BD8-1AA6-4365-9589-6EB5CDD2A965}" type="presParOf" srcId="{63267D2E-B56F-479A-AE82-A9E0641CE96F}" destId="{37442267-F479-42A3-B723-3CF852057B83}" srcOrd="1" destOrd="0" presId="urn:microsoft.com/office/officeart/2005/8/layout/hProcess6"/>
    <dgm:cxn modelId="{61B60BA2-57D6-4412-AC24-A516B53A2178}" type="presParOf" srcId="{63267D2E-B56F-479A-AE82-A9E0641CE96F}" destId="{F2450E51-8A37-4AED-9709-E72741301429}" srcOrd="2" destOrd="0" presId="urn:microsoft.com/office/officeart/2005/8/layout/hProcess6"/>
    <dgm:cxn modelId="{BFD92C56-969F-4DA2-A471-DF2F62DB1445}" type="presParOf" srcId="{63267D2E-B56F-479A-AE82-A9E0641CE96F}" destId="{FE128F7B-C6B0-4FC0-AE6B-5F4D2EF4CF56}" srcOrd="3" destOrd="0" presId="urn:microsoft.com/office/officeart/2005/8/layout/hProcess6"/>
    <dgm:cxn modelId="{E961E807-E957-4190-8BA1-598A4E97B86C}" type="presParOf" srcId="{EA14D63D-07B5-4C38-BC9F-AE81E300C4AB}" destId="{9A62F5CA-9735-4611-96FE-20FD332E009E}" srcOrd="1" destOrd="0" presId="urn:microsoft.com/office/officeart/2005/8/layout/hProcess6"/>
    <dgm:cxn modelId="{0D6E80E3-D366-4F4B-B7AF-44517AFE1F68}" type="presParOf" srcId="{EA14D63D-07B5-4C38-BC9F-AE81E300C4AB}" destId="{60BCE5A9-3443-4DE5-8C03-47BE0D9F8FC1}" srcOrd="2" destOrd="0" presId="urn:microsoft.com/office/officeart/2005/8/layout/hProcess6"/>
    <dgm:cxn modelId="{938FA003-30D8-49A7-A3D5-241E9A889608}" type="presParOf" srcId="{60BCE5A9-3443-4DE5-8C03-47BE0D9F8FC1}" destId="{3BC8EFDE-9042-4391-BEED-BC64F2C5D01B}" srcOrd="0" destOrd="0" presId="urn:microsoft.com/office/officeart/2005/8/layout/hProcess6"/>
    <dgm:cxn modelId="{BF3FB013-24C2-4023-BF71-CB37FCE7E938}" type="presParOf" srcId="{60BCE5A9-3443-4DE5-8C03-47BE0D9F8FC1}" destId="{BF27C2EB-32EC-4C28-A3B6-F1A8D400EC25}" srcOrd="1" destOrd="0" presId="urn:microsoft.com/office/officeart/2005/8/layout/hProcess6"/>
    <dgm:cxn modelId="{68BDC4AF-1F65-4BA9-9804-D825BF1B149E}" type="presParOf" srcId="{60BCE5A9-3443-4DE5-8C03-47BE0D9F8FC1}" destId="{DCA11A4E-A271-4CB8-A943-3B382AB7BCC7}" srcOrd="2" destOrd="0" presId="urn:microsoft.com/office/officeart/2005/8/layout/hProcess6"/>
    <dgm:cxn modelId="{F97C0FCB-F69D-4F16-A183-CF4818D4EE28}" type="presParOf" srcId="{60BCE5A9-3443-4DE5-8C03-47BE0D9F8FC1}" destId="{0D1199E4-E648-4467-A3D4-DD0CD6B21469}" srcOrd="3" destOrd="0" presId="urn:microsoft.com/office/officeart/2005/8/layout/hProcess6"/>
    <dgm:cxn modelId="{034C3D3F-86D0-4581-A60B-D6C87D2F3710}" type="presParOf" srcId="{EA14D63D-07B5-4C38-BC9F-AE81E300C4AB}" destId="{93F55067-FBB8-4FC2-89D3-6AD7A7063BDE}" srcOrd="3" destOrd="0" presId="urn:microsoft.com/office/officeart/2005/8/layout/hProcess6"/>
    <dgm:cxn modelId="{F0D00C24-CF52-41A9-9B77-42DEFECF4B62}" type="presParOf" srcId="{EA14D63D-07B5-4C38-BC9F-AE81E300C4AB}" destId="{FCE58E90-7EAB-409A-9114-BCECA6ECB0AA}" srcOrd="4" destOrd="0" presId="urn:microsoft.com/office/officeart/2005/8/layout/hProcess6"/>
    <dgm:cxn modelId="{A270623A-F7BC-44CE-8DB9-D093191685A5}" type="presParOf" srcId="{FCE58E90-7EAB-409A-9114-BCECA6ECB0AA}" destId="{CCCD542D-D13E-4057-B583-B973D2E54C58}" srcOrd="0" destOrd="0" presId="urn:microsoft.com/office/officeart/2005/8/layout/hProcess6"/>
    <dgm:cxn modelId="{8154CC15-42A2-4EF0-9655-3D5F90A135EE}" type="presParOf" srcId="{FCE58E90-7EAB-409A-9114-BCECA6ECB0AA}" destId="{FFE74716-ABFE-4650-82AB-98FB8CAFDA89}" srcOrd="1" destOrd="0" presId="urn:microsoft.com/office/officeart/2005/8/layout/hProcess6"/>
    <dgm:cxn modelId="{1DC869EE-079D-468E-8050-E66682479D31}" type="presParOf" srcId="{FCE58E90-7EAB-409A-9114-BCECA6ECB0AA}" destId="{89485736-4730-4FDB-8F49-F12FCD988F9F}" srcOrd="2" destOrd="0" presId="urn:microsoft.com/office/officeart/2005/8/layout/hProcess6"/>
    <dgm:cxn modelId="{E3D70BA6-10DA-492D-AEFD-1469AC85AC2F}" type="presParOf" srcId="{FCE58E90-7EAB-409A-9114-BCECA6ECB0AA}" destId="{03F3311A-8EB4-4F9A-8152-7A298B3B856B}" srcOrd="3" destOrd="0" presId="urn:microsoft.com/office/officeart/2005/8/layout/hProcess6"/>
    <dgm:cxn modelId="{B8DE387C-AAD0-4B49-8873-E8FFDB4C82F6}" type="presParOf" srcId="{EA14D63D-07B5-4C38-BC9F-AE81E300C4AB}" destId="{920FC86E-1FCC-46B7-AB0D-73346802044E}" srcOrd="5" destOrd="0" presId="urn:microsoft.com/office/officeart/2005/8/layout/hProcess6"/>
    <dgm:cxn modelId="{C9FE27A0-1CC4-467C-ABF9-BCE75D37F08C}" type="presParOf" srcId="{EA14D63D-07B5-4C38-BC9F-AE81E300C4AB}" destId="{05FB76C4-3676-4984-A06F-67A7F2E660E7}" srcOrd="6" destOrd="0" presId="urn:microsoft.com/office/officeart/2005/8/layout/hProcess6"/>
    <dgm:cxn modelId="{87F54EBB-DD44-4DE1-8545-00A8BBCFD190}" type="presParOf" srcId="{05FB76C4-3676-4984-A06F-67A7F2E660E7}" destId="{DE6D8DE7-6B98-411D-9BC5-5621BC28DA21}" srcOrd="0" destOrd="0" presId="urn:microsoft.com/office/officeart/2005/8/layout/hProcess6"/>
    <dgm:cxn modelId="{20E28429-4F7C-4BA0-9D7D-4A172B030137}" type="presParOf" srcId="{05FB76C4-3676-4984-A06F-67A7F2E660E7}" destId="{31A51010-E912-4BD0-B8BF-BC6E90D3998A}" srcOrd="1" destOrd="0" presId="urn:microsoft.com/office/officeart/2005/8/layout/hProcess6"/>
    <dgm:cxn modelId="{1B2F280A-E354-455B-AAC8-F35A50913A92}" type="presParOf" srcId="{05FB76C4-3676-4984-A06F-67A7F2E660E7}" destId="{3DA77F6F-AEA7-4021-BF8A-91D59F109811}" srcOrd="2" destOrd="0" presId="urn:microsoft.com/office/officeart/2005/8/layout/hProcess6"/>
    <dgm:cxn modelId="{7A8EE787-3696-4A1E-A99E-7F0C21102E43}" type="presParOf" srcId="{05FB76C4-3676-4984-A06F-67A7F2E660E7}" destId="{5716097A-6B0A-46E1-8C57-94A73FAB9EF7}" srcOrd="3" destOrd="0" presId="urn:microsoft.com/office/officeart/2005/8/layout/hProcess6"/>
    <dgm:cxn modelId="{06883ED5-A2E7-46EF-BBF1-3E941D4B5AA4}" type="presParOf" srcId="{EA14D63D-07B5-4C38-BC9F-AE81E300C4AB}" destId="{83933A09-0ED7-47BD-9A82-D752768D0210}" srcOrd="7" destOrd="0" presId="urn:microsoft.com/office/officeart/2005/8/layout/hProcess6"/>
    <dgm:cxn modelId="{9E688C14-B323-41C9-B756-BB9DA0F63781}" type="presParOf" srcId="{EA14D63D-07B5-4C38-BC9F-AE81E300C4AB}" destId="{63AB2C29-C8F0-444E-A5BB-8325DB872FFB}" srcOrd="8" destOrd="0" presId="urn:microsoft.com/office/officeart/2005/8/layout/hProcess6"/>
    <dgm:cxn modelId="{CE222B9C-4758-4DE8-8D05-37143D6F0C72}" type="presParOf" srcId="{63AB2C29-C8F0-444E-A5BB-8325DB872FFB}" destId="{5A6EC060-45DE-4E55-98EF-FD0F293AFF2D}" srcOrd="0" destOrd="0" presId="urn:microsoft.com/office/officeart/2005/8/layout/hProcess6"/>
    <dgm:cxn modelId="{4ADAEA95-F7F5-4BD1-B7DA-51EF8DCD4777}" type="presParOf" srcId="{63AB2C29-C8F0-444E-A5BB-8325DB872FFB}" destId="{5E0864C9-4F22-4A8E-8E1A-977F7761AC76}" srcOrd="1" destOrd="0" presId="urn:microsoft.com/office/officeart/2005/8/layout/hProcess6"/>
    <dgm:cxn modelId="{223CA912-8AC4-4FBB-91CA-BB09F5C2E3BE}" type="presParOf" srcId="{63AB2C29-C8F0-444E-A5BB-8325DB872FFB}" destId="{29E80B64-E9C4-4A48-8A8C-42DC08481015}" srcOrd="2" destOrd="0" presId="urn:microsoft.com/office/officeart/2005/8/layout/hProcess6"/>
    <dgm:cxn modelId="{C14D7B41-F8DA-4512-AC3F-D7114B7DED3C}" type="presParOf" srcId="{63AB2C29-C8F0-444E-A5BB-8325DB872FFB}" destId="{66115E20-C827-427F-A7E1-F453C835423E}" srcOrd="3" destOrd="0" presId="urn:microsoft.com/office/officeart/2005/8/layout/hProcess6"/>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5723B810-9144-4A21-9E80-F4DAF0708DAE}" type="doc">
      <dgm:prSet loTypeId="urn:microsoft.com/office/officeart/2005/8/layout/radial1" loCatId="relationship" qsTypeId="urn:microsoft.com/office/officeart/2005/8/quickstyle/simple1" qsCatId="simple" csTypeId="urn:microsoft.com/office/officeart/2005/8/colors/accent1_2" csCatId="accent1" phldr="1"/>
      <dgm:spPr/>
      <dgm:t>
        <a:bodyPr/>
        <a:lstStyle/>
        <a:p>
          <a:endParaRPr lang="fr-CA"/>
        </a:p>
      </dgm:t>
    </dgm:pt>
    <dgm:pt modelId="{3EAF71EF-8D35-405C-8DBE-98F9221B4115}">
      <dgm:prSet phldrT="[Texte]"/>
      <dgm:spPr>
        <a:solidFill>
          <a:schemeClr val="accent2">
            <a:lumMod val="75000"/>
          </a:schemeClr>
        </a:solidFill>
      </dgm:spPr>
      <dgm:t>
        <a:bodyPr/>
        <a:lstStyle/>
        <a:p>
          <a:pPr algn="ctr"/>
          <a:r>
            <a:rPr lang="fr-CA"/>
            <a:t>Mandat de L'UQ</a:t>
          </a:r>
        </a:p>
      </dgm:t>
    </dgm:pt>
    <dgm:pt modelId="{1FFA7154-7A21-4A66-84F8-0DD0F9A05254}" type="parTrans" cxnId="{1227283B-BFAA-4952-943C-E4A65E970217}">
      <dgm:prSet/>
      <dgm:spPr/>
      <dgm:t>
        <a:bodyPr/>
        <a:lstStyle/>
        <a:p>
          <a:pPr algn="ctr"/>
          <a:endParaRPr lang="fr-CA"/>
        </a:p>
      </dgm:t>
    </dgm:pt>
    <dgm:pt modelId="{107B802D-4FAB-4BBA-A72A-3915EA9EBCD6}" type="sibTrans" cxnId="{1227283B-BFAA-4952-943C-E4A65E970217}">
      <dgm:prSet/>
      <dgm:spPr/>
      <dgm:t>
        <a:bodyPr/>
        <a:lstStyle/>
        <a:p>
          <a:pPr algn="ctr"/>
          <a:endParaRPr lang="fr-CA"/>
        </a:p>
      </dgm:t>
    </dgm:pt>
    <dgm:pt modelId="{91A3B640-4C44-47CA-B570-D48D21B84F61}">
      <dgm:prSet phldrT="[Texte]"/>
      <dgm:spPr>
        <a:solidFill>
          <a:schemeClr val="accent2">
            <a:lumMod val="75000"/>
          </a:schemeClr>
        </a:solidFill>
      </dgm:spPr>
      <dgm:t>
        <a:bodyPr/>
        <a:lstStyle/>
        <a:p>
          <a:pPr algn="ctr"/>
          <a:r>
            <a:rPr lang="fr-CA"/>
            <a:t>Favoriser l’accessibilité à la formation universitaire </a:t>
          </a:r>
        </a:p>
      </dgm:t>
    </dgm:pt>
    <dgm:pt modelId="{93C1A75C-ACC5-463C-9378-69DA75525E90}" type="parTrans" cxnId="{8A83959D-AC20-4B15-B403-6A386AAFEE8F}">
      <dgm:prSet/>
      <dgm:spPr/>
      <dgm:t>
        <a:bodyPr/>
        <a:lstStyle/>
        <a:p>
          <a:pPr algn="ctr"/>
          <a:endParaRPr lang="fr-CA"/>
        </a:p>
      </dgm:t>
    </dgm:pt>
    <dgm:pt modelId="{2D937CCD-9B4A-40CD-8983-B7077672D003}" type="sibTrans" cxnId="{8A83959D-AC20-4B15-B403-6A386AAFEE8F}">
      <dgm:prSet/>
      <dgm:spPr/>
      <dgm:t>
        <a:bodyPr/>
        <a:lstStyle/>
        <a:p>
          <a:pPr algn="ctr"/>
          <a:endParaRPr lang="fr-CA"/>
        </a:p>
      </dgm:t>
    </dgm:pt>
    <dgm:pt modelId="{DDFBF2FD-753F-4784-AD4A-3C6190001FD4}">
      <dgm:prSet phldrT="[Texte]"/>
      <dgm:spPr>
        <a:solidFill>
          <a:schemeClr val="accent2">
            <a:lumMod val="75000"/>
          </a:schemeClr>
        </a:solidFill>
      </dgm:spPr>
      <dgm:t>
        <a:bodyPr/>
        <a:lstStyle/>
        <a:p>
          <a:pPr algn="ctr"/>
          <a:r>
            <a:rPr lang="fr-CA"/>
            <a:t>Contribuer par la recherche au développement scientifique du Québec</a:t>
          </a:r>
        </a:p>
      </dgm:t>
    </dgm:pt>
    <dgm:pt modelId="{F340BE2F-6475-4078-B46F-9FD3C654EB1A}" type="parTrans" cxnId="{6969DF37-31EE-4828-81D7-DE92D402FD8A}">
      <dgm:prSet/>
      <dgm:spPr/>
      <dgm:t>
        <a:bodyPr/>
        <a:lstStyle/>
        <a:p>
          <a:pPr algn="ctr"/>
          <a:endParaRPr lang="fr-CA"/>
        </a:p>
      </dgm:t>
    </dgm:pt>
    <dgm:pt modelId="{DF4EC135-C387-432C-A5A1-8D55697E3255}" type="sibTrans" cxnId="{6969DF37-31EE-4828-81D7-DE92D402FD8A}">
      <dgm:prSet/>
      <dgm:spPr/>
      <dgm:t>
        <a:bodyPr/>
        <a:lstStyle/>
        <a:p>
          <a:pPr algn="ctr"/>
          <a:endParaRPr lang="fr-CA"/>
        </a:p>
      </dgm:t>
    </dgm:pt>
    <dgm:pt modelId="{CFD030C0-843B-4D7F-BCC0-4CC617320102}">
      <dgm:prSet phldrT="[Texte]"/>
      <dgm:spPr>
        <a:solidFill>
          <a:schemeClr val="accent2">
            <a:lumMod val="75000"/>
          </a:schemeClr>
        </a:solidFill>
      </dgm:spPr>
      <dgm:t>
        <a:bodyPr/>
        <a:lstStyle/>
        <a:p>
          <a:pPr algn="ctr"/>
          <a:r>
            <a:rPr lang="fr-CA"/>
            <a:t>Participer au développement des régions du Québec</a:t>
          </a:r>
        </a:p>
      </dgm:t>
    </dgm:pt>
    <dgm:pt modelId="{FFF94BAE-B406-4111-824A-4BF5C03E8B19}" type="parTrans" cxnId="{E2E40AB6-156E-4E2F-BCBE-7242E5B09DF8}">
      <dgm:prSet/>
      <dgm:spPr/>
      <dgm:t>
        <a:bodyPr/>
        <a:lstStyle/>
        <a:p>
          <a:pPr algn="ctr"/>
          <a:endParaRPr lang="fr-CA"/>
        </a:p>
      </dgm:t>
    </dgm:pt>
    <dgm:pt modelId="{45E45D69-56C2-455F-A256-51D1C8A8758A}" type="sibTrans" cxnId="{E2E40AB6-156E-4E2F-BCBE-7242E5B09DF8}">
      <dgm:prSet/>
      <dgm:spPr/>
      <dgm:t>
        <a:bodyPr/>
        <a:lstStyle/>
        <a:p>
          <a:pPr algn="ctr"/>
          <a:endParaRPr lang="fr-CA"/>
        </a:p>
      </dgm:t>
    </dgm:pt>
    <dgm:pt modelId="{7989E834-18BB-4D9E-B2E2-7EE5DDBF70E2}" type="pres">
      <dgm:prSet presAssocID="{5723B810-9144-4A21-9E80-F4DAF0708DAE}" presName="cycle" presStyleCnt="0">
        <dgm:presLayoutVars>
          <dgm:chMax val="1"/>
          <dgm:dir/>
          <dgm:animLvl val="ctr"/>
          <dgm:resizeHandles val="exact"/>
        </dgm:presLayoutVars>
      </dgm:prSet>
      <dgm:spPr/>
      <dgm:t>
        <a:bodyPr/>
        <a:lstStyle/>
        <a:p>
          <a:endParaRPr lang="fr-CA"/>
        </a:p>
      </dgm:t>
    </dgm:pt>
    <dgm:pt modelId="{A660512D-6D77-49D2-8D3F-F99FA4DFBBDC}" type="pres">
      <dgm:prSet presAssocID="{3EAF71EF-8D35-405C-8DBE-98F9221B4115}" presName="centerShape" presStyleLbl="node0" presStyleIdx="0" presStyleCnt="1"/>
      <dgm:spPr/>
      <dgm:t>
        <a:bodyPr/>
        <a:lstStyle/>
        <a:p>
          <a:endParaRPr lang="fr-CA"/>
        </a:p>
      </dgm:t>
    </dgm:pt>
    <dgm:pt modelId="{0DC0640E-F25F-40D5-810F-2A9FF77B28BB}" type="pres">
      <dgm:prSet presAssocID="{93C1A75C-ACC5-463C-9378-69DA75525E90}" presName="Name9" presStyleLbl="parChTrans1D2" presStyleIdx="0" presStyleCnt="3"/>
      <dgm:spPr/>
      <dgm:t>
        <a:bodyPr/>
        <a:lstStyle/>
        <a:p>
          <a:endParaRPr lang="fr-CA"/>
        </a:p>
      </dgm:t>
    </dgm:pt>
    <dgm:pt modelId="{CDA3D7B3-01BB-4970-9B38-3D8D00B2309F}" type="pres">
      <dgm:prSet presAssocID="{93C1A75C-ACC5-463C-9378-69DA75525E90}" presName="connTx" presStyleLbl="parChTrans1D2" presStyleIdx="0" presStyleCnt="3"/>
      <dgm:spPr/>
      <dgm:t>
        <a:bodyPr/>
        <a:lstStyle/>
        <a:p>
          <a:endParaRPr lang="fr-CA"/>
        </a:p>
      </dgm:t>
    </dgm:pt>
    <dgm:pt modelId="{DB6DEBE2-27F8-4901-BCD1-EF37D6E87EE8}" type="pres">
      <dgm:prSet presAssocID="{91A3B640-4C44-47CA-B570-D48D21B84F61}" presName="node" presStyleLbl="node1" presStyleIdx="0" presStyleCnt="3">
        <dgm:presLayoutVars>
          <dgm:bulletEnabled val="1"/>
        </dgm:presLayoutVars>
      </dgm:prSet>
      <dgm:spPr/>
      <dgm:t>
        <a:bodyPr/>
        <a:lstStyle/>
        <a:p>
          <a:endParaRPr lang="fr-CA"/>
        </a:p>
      </dgm:t>
    </dgm:pt>
    <dgm:pt modelId="{869FF3E1-4C8E-4B07-8F54-1C453BA27946}" type="pres">
      <dgm:prSet presAssocID="{F340BE2F-6475-4078-B46F-9FD3C654EB1A}" presName="Name9" presStyleLbl="parChTrans1D2" presStyleIdx="1" presStyleCnt="3"/>
      <dgm:spPr/>
      <dgm:t>
        <a:bodyPr/>
        <a:lstStyle/>
        <a:p>
          <a:endParaRPr lang="fr-CA"/>
        </a:p>
      </dgm:t>
    </dgm:pt>
    <dgm:pt modelId="{52F38A59-AA0A-4286-8BB2-F0BFE29A06DA}" type="pres">
      <dgm:prSet presAssocID="{F340BE2F-6475-4078-B46F-9FD3C654EB1A}" presName="connTx" presStyleLbl="parChTrans1D2" presStyleIdx="1" presStyleCnt="3"/>
      <dgm:spPr/>
      <dgm:t>
        <a:bodyPr/>
        <a:lstStyle/>
        <a:p>
          <a:endParaRPr lang="fr-CA"/>
        </a:p>
      </dgm:t>
    </dgm:pt>
    <dgm:pt modelId="{B66147CA-76C6-4A94-A15A-2A003C6586BD}" type="pres">
      <dgm:prSet presAssocID="{DDFBF2FD-753F-4784-AD4A-3C6190001FD4}" presName="node" presStyleLbl="node1" presStyleIdx="1" presStyleCnt="3">
        <dgm:presLayoutVars>
          <dgm:bulletEnabled val="1"/>
        </dgm:presLayoutVars>
      </dgm:prSet>
      <dgm:spPr/>
      <dgm:t>
        <a:bodyPr/>
        <a:lstStyle/>
        <a:p>
          <a:endParaRPr lang="fr-CA"/>
        </a:p>
      </dgm:t>
    </dgm:pt>
    <dgm:pt modelId="{833857A9-488F-40EF-8B57-D509B87172F4}" type="pres">
      <dgm:prSet presAssocID="{FFF94BAE-B406-4111-824A-4BF5C03E8B19}" presName="Name9" presStyleLbl="parChTrans1D2" presStyleIdx="2" presStyleCnt="3"/>
      <dgm:spPr/>
      <dgm:t>
        <a:bodyPr/>
        <a:lstStyle/>
        <a:p>
          <a:endParaRPr lang="fr-CA"/>
        </a:p>
      </dgm:t>
    </dgm:pt>
    <dgm:pt modelId="{43E8B6FD-6D43-4950-8A7D-21DF2F526EC6}" type="pres">
      <dgm:prSet presAssocID="{FFF94BAE-B406-4111-824A-4BF5C03E8B19}" presName="connTx" presStyleLbl="parChTrans1D2" presStyleIdx="2" presStyleCnt="3"/>
      <dgm:spPr/>
      <dgm:t>
        <a:bodyPr/>
        <a:lstStyle/>
        <a:p>
          <a:endParaRPr lang="fr-CA"/>
        </a:p>
      </dgm:t>
    </dgm:pt>
    <dgm:pt modelId="{B4C5C60C-9CF0-436D-ADC7-B2A0A318CC66}" type="pres">
      <dgm:prSet presAssocID="{CFD030C0-843B-4D7F-BCC0-4CC617320102}" presName="node" presStyleLbl="node1" presStyleIdx="2" presStyleCnt="3">
        <dgm:presLayoutVars>
          <dgm:bulletEnabled val="1"/>
        </dgm:presLayoutVars>
      </dgm:prSet>
      <dgm:spPr/>
      <dgm:t>
        <a:bodyPr/>
        <a:lstStyle/>
        <a:p>
          <a:endParaRPr lang="fr-CA"/>
        </a:p>
      </dgm:t>
    </dgm:pt>
  </dgm:ptLst>
  <dgm:cxnLst>
    <dgm:cxn modelId="{1227283B-BFAA-4952-943C-E4A65E970217}" srcId="{5723B810-9144-4A21-9E80-F4DAF0708DAE}" destId="{3EAF71EF-8D35-405C-8DBE-98F9221B4115}" srcOrd="0" destOrd="0" parTransId="{1FFA7154-7A21-4A66-84F8-0DD0F9A05254}" sibTransId="{107B802D-4FAB-4BBA-A72A-3915EA9EBCD6}"/>
    <dgm:cxn modelId="{21EC2700-F568-49D2-A579-5BEF6580327A}" type="presOf" srcId="{FFF94BAE-B406-4111-824A-4BF5C03E8B19}" destId="{833857A9-488F-40EF-8B57-D509B87172F4}" srcOrd="0" destOrd="0" presId="urn:microsoft.com/office/officeart/2005/8/layout/radial1"/>
    <dgm:cxn modelId="{B75E3F24-E561-48D8-B0F1-DB9FDB5BD41E}" type="presOf" srcId="{93C1A75C-ACC5-463C-9378-69DA75525E90}" destId="{CDA3D7B3-01BB-4970-9B38-3D8D00B2309F}" srcOrd="1" destOrd="0" presId="urn:microsoft.com/office/officeart/2005/8/layout/radial1"/>
    <dgm:cxn modelId="{03F9E9D0-6BAB-49ED-932A-1F3BE2A2A0D8}" type="presOf" srcId="{5723B810-9144-4A21-9E80-F4DAF0708DAE}" destId="{7989E834-18BB-4D9E-B2E2-7EE5DDBF70E2}" srcOrd="0" destOrd="0" presId="urn:microsoft.com/office/officeart/2005/8/layout/radial1"/>
    <dgm:cxn modelId="{8A83959D-AC20-4B15-B403-6A386AAFEE8F}" srcId="{3EAF71EF-8D35-405C-8DBE-98F9221B4115}" destId="{91A3B640-4C44-47CA-B570-D48D21B84F61}" srcOrd="0" destOrd="0" parTransId="{93C1A75C-ACC5-463C-9378-69DA75525E90}" sibTransId="{2D937CCD-9B4A-40CD-8983-B7077672D003}"/>
    <dgm:cxn modelId="{45B52FC8-C491-430F-B2F9-6E0F441F0660}" type="presOf" srcId="{F340BE2F-6475-4078-B46F-9FD3C654EB1A}" destId="{869FF3E1-4C8E-4B07-8F54-1C453BA27946}" srcOrd="0" destOrd="0" presId="urn:microsoft.com/office/officeart/2005/8/layout/radial1"/>
    <dgm:cxn modelId="{166F7479-BF47-47DC-BD3A-80374E16FDB9}" type="presOf" srcId="{CFD030C0-843B-4D7F-BCC0-4CC617320102}" destId="{B4C5C60C-9CF0-436D-ADC7-B2A0A318CC66}" srcOrd="0" destOrd="0" presId="urn:microsoft.com/office/officeart/2005/8/layout/radial1"/>
    <dgm:cxn modelId="{C7FD0496-83A4-4F8F-BEDB-BB0BDBB98DAF}" type="presOf" srcId="{DDFBF2FD-753F-4784-AD4A-3C6190001FD4}" destId="{B66147CA-76C6-4A94-A15A-2A003C6586BD}" srcOrd="0" destOrd="0" presId="urn:microsoft.com/office/officeart/2005/8/layout/radial1"/>
    <dgm:cxn modelId="{E2E40AB6-156E-4E2F-BCBE-7242E5B09DF8}" srcId="{3EAF71EF-8D35-405C-8DBE-98F9221B4115}" destId="{CFD030C0-843B-4D7F-BCC0-4CC617320102}" srcOrd="2" destOrd="0" parTransId="{FFF94BAE-B406-4111-824A-4BF5C03E8B19}" sibTransId="{45E45D69-56C2-455F-A256-51D1C8A8758A}"/>
    <dgm:cxn modelId="{6F42692D-2E36-46B8-833B-600B981EF326}" type="presOf" srcId="{93C1A75C-ACC5-463C-9378-69DA75525E90}" destId="{0DC0640E-F25F-40D5-810F-2A9FF77B28BB}" srcOrd="0" destOrd="0" presId="urn:microsoft.com/office/officeart/2005/8/layout/radial1"/>
    <dgm:cxn modelId="{6969DF37-31EE-4828-81D7-DE92D402FD8A}" srcId="{3EAF71EF-8D35-405C-8DBE-98F9221B4115}" destId="{DDFBF2FD-753F-4784-AD4A-3C6190001FD4}" srcOrd="1" destOrd="0" parTransId="{F340BE2F-6475-4078-B46F-9FD3C654EB1A}" sibTransId="{DF4EC135-C387-432C-A5A1-8D55697E3255}"/>
    <dgm:cxn modelId="{76F92883-46D8-4734-95E3-4D7150540227}" type="presOf" srcId="{3EAF71EF-8D35-405C-8DBE-98F9221B4115}" destId="{A660512D-6D77-49D2-8D3F-F99FA4DFBBDC}" srcOrd="0" destOrd="0" presId="urn:microsoft.com/office/officeart/2005/8/layout/radial1"/>
    <dgm:cxn modelId="{A4C8C0B9-EE12-4669-B576-13E419BD70DA}" type="presOf" srcId="{F340BE2F-6475-4078-B46F-9FD3C654EB1A}" destId="{52F38A59-AA0A-4286-8BB2-F0BFE29A06DA}" srcOrd="1" destOrd="0" presId="urn:microsoft.com/office/officeart/2005/8/layout/radial1"/>
    <dgm:cxn modelId="{2FF9ACE3-200F-4776-AB71-505725F77FB7}" type="presOf" srcId="{91A3B640-4C44-47CA-B570-D48D21B84F61}" destId="{DB6DEBE2-27F8-4901-BCD1-EF37D6E87EE8}" srcOrd="0" destOrd="0" presId="urn:microsoft.com/office/officeart/2005/8/layout/radial1"/>
    <dgm:cxn modelId="{A7CD1024-10C2-4869-895C-97AF7DF3756D}" type="presOf" srcId="{FFF94BAE-B406-4111-824A-4BF5C03E8B19}" destId="{43E8B6FD-6D43-4950-8A7D-21DF2F526EC6}" srcOrd="1" destOrd="0" presId="urn:microsoft.com/office/officeart/2005/8/layout/radial1"/>
    <dgm:cxn modelId="{114965F4-C189-4BD7-8662-D1DB5CE918CC}" type="presParOf" srcId="{7989E834-18BB-4D9E-B2E2-7EE5DDBF70E2}" destId="{A660512D-6D77-49D2-8D3F-F99FA4DFBBDC}" srcOrd="0" destOrd="0" presId="urn:microsoft.com/office/officeart/2005/8/layout/radial1"/>
    <dgm:cxn modelId="{0064E5F4-BB6E-46FE-972A-4E2543A5E5D2}" type="presParOf" srcId="{7989E834-18BB-4D9E-B2E2-7EE5DDBF70E2}" destId="{0DC0640E-F25F-40D5-810F-2A9FF77B28BB}" srcOrd="1" destOrd="0" presId="urn:microsoft.com/office/officeart/2005/8/layout/radial1"/>
    <dgm:cxn modelId="{AB6DCE34-20E1-4AD9-BC37-56BEDF64E58E}" type="presParOf" srcId="{0DC0640E-F25F-40D5-810F-2A9FF77B28BB}" destId="{CDA3D7B3-01BB-4970-9B38-3D8D00B2309F}" srcOrd="0" destOrd="0" presId="urn:microsoft.com/office/officeart/2005/8/layout/radial1"/>
    <dgm:cxn modelId="{7FA849E3-1139-41EE-9774-EB979D51CA4C}" type="presParOf" srcId="{7989E834-18BB-4D9E-B2E2-7EE5DDBF70E2}" destId="{DB6DEBE2-27F8-4901-BCD1-EF37D6E87EE8}" srcOrd="2" destOrd="0" presId="urn:microsoft.com/office/officeart/2005/8/layout/radial1"/>
    <dgm:cxn modelId="{D9890E94-CFEF-4E26-9FB1-A2486F48390E}" type="presParOf" srcId="{7989E834-18BB-4D9E-B2E2-7EE5DDBF70E2}" destId="{869FF3E1-4C8E-4B07-8F54-1C453BA27946}" srcOrd="3" destOrd="0" presId="urn:microsoft.com/office/officeart/2005/8/layout/radial1"/>
    <dgm:cxn modelId="{AEEF41E8-DFDE-44C2-A574-D3C05DB85157}" type="presParOf" srcId="{869FF3E1-4C8E-4B07-8F54-1C453BA27946}" destId="{52F38A59-AA0A-4286-8BB2-F0BFE29A06DA}" srcOrd="0" destOrd="0" presId="urn:microsoft.com/office/officeart/2005/8/layout/radial1"/>
    <dgm:cxn modelId="{ABE43E00-F50E-49C8-87FD-34D9D98B1F48}" type="presParOf" srcId="{7989E834-18BB-4D9E-B2E2-7EE5DDBF70E2}" destId="{B66147CA-76C6-4A94-A15A-2A003C6586BD}" srcOrd="4" destOrd="0" presId="urn:microsoft.com/office/officeart/2005/8/layout/radial1"/>
    <dgm:cxn modelId="{194E8669-C666-467C-988B-DF81CA6D79AC}" type="presParOf" srcId="{7989E834-18BB-4D9E-B2E2-7EE5DDBF70E2}" destId="{833857A9-488F-40EF-8B57-D509B87172F4}" srcOrd="5" destOrd="0" presId="urn:microsoft.com/office/officeart/2005/8/layout/radial1"/>
    <dgm:cxn modelId="{594D047E-854C-48B3-9816-55B1F44A23F8}" type="presParOf" srcId="{833857A9-488F-40EF-8B57-D509B87172F4}" destId="{43E8B6FD-6D43-4950-8A7D-21DF2F526EC6}" srcOrd="0" destOrd="0" presId="urn:microsoft.com/office/officeart/2005/8/layout/radial1"/>
    <dgm:cxn modelId="{A357017D-0330-4248-AF5A-E54B8F5CE5FF}" type="presParOf" srcId="{7989E834-18BB-4D9E-B2E2-7EE5DDBF70E2}" destId="{B4C5C60C-9CF0-436D-ADC7-B2A0A318CC66}" srcOrd="6" destOrd="0" presId="urn:microsoft.com/office/officeart/2005/8/layout/radial1"/>
  </dgm:cxnLst>
  <dgm:bg>
    <a:noFill/>
  </dgm:bg>
  <dgm:whole/>
  <dgm:extLst>
    <a:ext uri="http://schemas.microsoft.com/office/drawing/2008/diagram">
      <dsp:dataModelExt xmlns:dsp="http://schemas.microsoft.com/office/drawing/2008/diagram" xmlns="" relId="rId1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9040F12-CCE1-4684-8337-AC836DFE6C1B}" type="doc">
      <dgm:prSet loTypeId="urn:microsoft.com/office/officeart/2005/8/layout/radial5" loCatId="cycle" qsTypeId="urn:microsoft.com/office/officeart/2005/8/quickstyle/simple1" qsCatId="simple" csTypeId="urn:microsoft.com/office/officeart/2005/8/colors/accent3_1" csCatId="accent3" phldr="1"/>
      <dgm:spPr/>
      <dgm:t>
        <a:bodyPr/>
        <a:lstStyle/>
        <a:p>
          <a:endParaRPr lang="fr-CA"/>
        </a:p>
      </dgm:t>
    </dgm:pt>
    <dgm:pt modelId="{7D749C46-A76C-49E5-9797-F0E623D8D0A7}">
      <dgm:prSet phldrT="[Texte]"/>
      <dgm:spPr>
        <a:solidFill>
          <a:srgbClr val="00703C"/>
        </a:solidFill>
        <a:ln w="28575">
          <a:solidFill>
            <a:srgbClr val="C4960C"/>
          </a:solidFill>
        </a:ln>
      </dgm:spPr>
      <dgm:t>
        <a:bodyPr/>
        <a:lstStyle/>
        <a:p>
          <a:r>
            <a:rPr lang="fr-CA" dirty="0">
              <a:solidFill>
                <a:schemeClr val="bg1"/>
              </a:solidFill>
            </a:rPr>
            <a:t>UQTR</a:t>
          </a:r>
        </a:p>
      </dgm:t>
    </dgm:pt>
    <dgm:pt modelId="{58AA7162-C1B1-4ACA-A703-D2DB9A7D73D3}" type="parTrans" cxnId="{73BBF2A6-491B-4F47-A916-6DA29AA1813D}">
      <dgm:prSet/>
      <dgm:spPr/>
      <dgm:t>
        <a:bodyPr/>
        <a:lstStyle/>
        <a:p>
          <a:endParaRPr lang="fr-CA"/>
        </a:p>
      </dgm:t>
    </dgm:pt>
    <dgm:pt modelId="{30A12B57-70C4-4081-AAB6-AFF828CA7ABE}" type="sibTrans" cxnId="{73BBF2A6-491B-4F47-A916-6DA29AA1813D}">
      <dgm:prSet/>
      <dgm:spPr/>
      <dgm:t>
        <a:bodyPr/>
        <a:lstStyle/>
        <a:p>
          <a:endParaRPr lang="fr-CA"/>
        </a:p>
      </dgm:t>
    </dgm:pt>
    <dgm:pt modelId="{BF44DF86-87B6-4DD0-B6B9-B86BB183A750}">
      <dgm:prSet phldrT="[Texte]" custT="1">
        <dgm:style>
          <a:lnRef idx="2">
            <a:schemeClr val="accent1"/>
          </a:lnRef>
          <a:fillRef idx="1">
            <a:schemeClr val="lt1"/>
          </a:fillRef>
          <a:effectRef idx="0">
            <a:schemeClr val="accent1"/>
          </a:effectRef>
          <a:fontRef idx="minor">
            <a:schemeClr val="dk1"/>
          </a:fontRef>
        </dgm:style>
      </dgm:prSet>
      <dgm:spPr>
        <a:ln w="28575">
          <a:solidFill>
            <a:srgbClr val="00703C"/>
          </a:solidFill>
        </a:ln>
      </dgm:spPr>
      <dgm:t>
        <a:bodyPr/>
        <a:lstStyle/>
        <a:p>
          <a:r>
            <a:rPr lang="fr-CA" sz="1400" dirty="0"/>
            <a:t>Professeurs</a:t>
          </a:r>
          <a:r>
            <a:rPr lang="fr-CA" sz="1600" dirty="0"/>
            <a:t> </a:t>
          </a:r>
        </a:p>
      </dgm:t>
    </dgm:pt>
    <dgm:pt modelId="{6B2C051D-18BC-4C00-887E-359ED8829198}" type="parTrans" cxnId="{E11D9BF5-775C-4426-8CC9-9560994B6D05}">
      <dgm:prSet/>
      <dgm:spPr>
        <a:solidFill>
          <a:srgbClr val="C4960C"/>
        </a:solidFill>
      </dgm:spPr>
      <dgm:t>
        <a:bodyPr/>
        <a:lstStyle/>
        <a:p>
          <a:endParaRPr lang="fr-CA"/>
        </a:p>
      </dgm:t>
    </dgm:pt>
    <dgm:pt modelId="{F3E47ABB-D8D8-409A-B561-C399059F8DDC}" type="sibTrans" cxnId="{E11D9BF5-775C-4426-8CC9-9560994B6D05}">
      <dgm:prSet/>
      <dgm:spPr/>
      <dgm:t>
        <a:bodyPr/>
        <a:lstStyle/>
        <a:p>
          <a:endParaRPr lang="fr-CA"/>
        </a:p>
      </dgm:t>
    </dgm:pt>
    <dgm:pt modelId="{CE8197FE-1679-49D8-93E0-74121B8AE882}">
      <dgm:prSet phldrT="[Texte]" custT="1"/>
      <dgm:spPr>
        <a:ln w="28575">
          <a:solidFill>
            <a:srgbClr val="00703C"/>
          </a:solidFill>
        </a:ln>
      </dgm:spPr>
      <dgm:t>
        <a:bodyPr/>
        <a:lstStyle/>
        <a:p>
          <a:r>
            <a:rPr lang="fr-CA" sz="1400" dirty="0" err="1" smtClean="0"/>
            <a:t>Gouverne-ment</a:t>
          </a:r>
          <a:r>
            <a:rPr lang="fr-CA" sz="1400" dirty="0" smtClean="0"/>
            <a:t> </a:t>
          </a:r>
          <a:r>
            <a:rPr lang="fr-CA" sz="1400" dirty="0"/>
            <a:t>provincial</a:t>
          </a:r>
        </a:p>
      </dgm:t>
    </dgm:pt>
    <dgm:pt modelId="{DD403538-12BC-4488-A98C-BF0D01FD846F}" type="parTrans" cxnId="{84299DCB-6110-4441-A7E1-9EF1AF24EB80}">
      <dgm:prSet/>
      <dgm:spPr>
        <a:solidFill>
          <a:srgbClr val="C4960C"/>
        </a:solidFill>
      </dgm:spPr>
      <dgm:t>
        <a:bodyPr/>
        <a:lstStyle/>
        <a:p>
          <a:endParaRPr lang="fr-CA"/>
        </a:p>
      </dgm:t>
    </dgm:pt>
    <dgm:pt modelId="{C7A44A43-6854-443D-9B8E-CE96C7D042EA}" type="sibTrans" cxnId="{84299DCB-6110-4441-A7E1-9EF1AF24EB80}">
      <dgm:prSet/>
      <dgm:spPr/>
      <dgm:t>
        <a:bodyPr/>
        <a:lstStyle/>
        <a:p>
          <a:endParaRPr lang="fr-CA"/>
        </a:p>
      </dgm:t>
    </dgm:pt>
    <dgm:pt modelId="{B91836C1-0A28-4ABD-849A-8225D6D2DA4D}">
      <dgm:prSet phldrT="[Texte]" custT="1"/>
      <dgm:spPr>
        <a:ln w="28575">
          <a:solidFill>
            <a:srgbClr val="00703C"/>
          </a:solidFill>
        </a:ln>
      </dgm:spPr>
      <dgm:t>
        <a:bodyPr/>
        <a:lstStyle/>
        <a:p>
          <a:r>
            <a:rPr lang="fr-CA" sz="1400" dirty="0"/>
            <a:t>Étudiants</a:t>
          </a:r>
        </a:p>
      </dgm:t>
    </dgm:pt>
    <dgm:pt modelId="{5F8FBD9D-98C2-4014-A1DD-0A6C266E5266}" type="parTrans" cxnId="{10D30771-0155-496F-AFA9-0AD69E65C25B}">
      <dgm:prSet/>
      <dgm:spPr>
        <a:solidFill>
          <a:srgbClr val="C4960C"/>
        </a:solidFill>
      </dgm:spPr>
      <dgm:t>
        <a:bodyPr/>
        <a:lstStyle/>
        <a:p>
          <a:endParaRPr lang="fr-CA"/>
        </a:p>
      </dgm:t>
    </dgm:pt>
    <dgm:pt modelId="{4D8729E7-4DD2-48E1-9861-C07D08ECD465}" type="sibTrans" cxnId="{10D30771-0155-496F-AFA9-0AD69E65C25B}">
      <dgm:prSet/>
      <dgm:spPr/>
      <dgm:t>
        <a:bodyPr/>
        <a:lstStyle/>
        <a:p>
          <a:endParaRPr lang="fr-CA"/>
        </a:p>
      </dgm:t>
    </dgm:pt>
    <dgm:pt modelId="{67781A0A-BCBD-4D85-992F-842574DFD3C6}">
      <dgm:prSet phldrT="[Texte]"/>
      <dgm:spPr>
        <a:ln w="28575">
          <a:solidFill>
            <a:srgbClr val="00703C"/>
          </a:solidFill>
        </a:ln>
      </dgm:spPr>
      <dgm:t>
        <a:bodyPr/>
        <a:lstStyle/>
        <a:p>
          <a:r>
            <a:rPr lang="fr-CA" dirty="0"/>
            <a:t>Universités du Québec</a:t>
          </a:r>
        </a:p>
      </dgm:t>
    </dgm:pt>
    <dgm:pt modelId="{7B669FE1-3E21-4213-8916-4DA04D1C2B75}" type="parTrans" cxnId="{780B8538-30CE-427D-B978-5BC9243BD2F3}">
      <dgm:prSet/>
      <dgm:spPr>
        <a:solidFill>
          <a:srgbClr val="C4960C"/>
        </a:solidFill>
      </dgm:spPr>
      <dgm:t>
        <a:bodyPr/>
        <a:lstStyle/>
        <a:p>
          <a:endParaRPr lang="fr-CA"/>
        </a:p>
      </dgm:t>
    </dgm:pt>
    <dgm:pt modelId="{CB7AAE9E-0C49-4BCD-A14E-32B0CA09C2F6}" type="sibTrans" cxnId="{780B8538-30CE-427D-B978-5BC9243BD2F3}">
      <dgm:prSet/>
      <dgm:spPr/>
      <dgm:t>
        <a:bodyPr/>
        <a:lstStyle/>
        <a:p>
          <a:endParaRPr lang="fr-CA"/>
        </a:p>
      </dgm:t>
    </dgm:pt>
    <dgm:pt modelId="{D644760A-CAF2-45A8-8D54-A72479C35DAF}">
      <dgm:prSet phldrT="[Texte]" custT="1"/>
      <dgm:spPr>
        <a:ln w="28575">
          <a:solidFill>
            <a:srgbClr val="00703C"/>
          </a:solidFill>
        </a:ln>
      </dgm:spPr>
      <dgm:t>
        <a:bodyPr/>
        <a:lstStyle/>
        <a:p>
          <a:r>
            <a:rPr lang="fr-CA" sz="1400" dirty="0"/>
            <a:t>Communauté régionale</a:t>
          </a:r>
        </a:p>
      </dgm:t>
    </dgm:pt>
    <dgm:pt modelId="{043E6701-35C2-47A4-B229-280F40EF936B}" type="parTrans" cxnId="{748093F5-F775-4D6E-AD5A-6DB0AFD77571}">
      <dgm:prSet/>
      <dgm:spPr>
        <a:solidFill>
          <a:srgbClr val="C4960C"/>
        </a:solidFill>
      </dgm:spPr>
      <dgm:t>
        <a:bodyPr/>
        <a:lstStyle/>
        <a:p>
          <a:endParaRPr lang="fr-CA"/>
        </a:p>
      </dgm:t>
    </dgm:pt>
    <dgm:pt modelId="{618B6938-445F-48FC-B77F-76E009A89A52}" type="sibTrans" cxnId="{748093F5-F775-4D6E-AD5A-6DB0AFD77571}">
      <dgm:prSet/>
      <dgm:spPr/>
      <dgm:t>
        <a:bodyPr/>
        <a:lstStyle/>
        <a:p>
          <a:endParaRPr lang="fr-CA"/>
        </a:p>
      </dgm:t>
    </dgm:pt>
    <dgm:pt modelId="{A593C955-BCA3-4C53-9A22-EC76980B8C1B}">
      <dgm:prSet phldrT="[Texte]" custT="1">
        <dgm:style>
          <a:lnRef idx="2">
            <a:schemeClr val="accent1"/>
          </a:lnRef>
          <a:fillRef idx="1">
            <a:schemeClr val="lt1"/>
          </a:fillRef>
          <a:effectRef idx="0">
            <a:schemeClr val="accent1"/>
          </a:effectRef>
          <a:fontRef idx="minor">
            <a:schemeClr val="dk1"/>
          </a:fontRef>
        </dgm:style>
      </dgm:prSet>
      <dgm:spPr>
        <a:ln w="28575">
          <a:solidFill>
            <a:srgbClr val="00703C"/>
          </a:solidFill>
        </a:ln>
      </dgm:spPr>
      <dgm:t>
        <a:bodyPr/>
        <a:lstStyle/>
        <a:p>
          <a:r>
            <a:rPr lang="fr-CA" sz="1400" dirty="0"/>
            <a:t>Employés de soutien</a:t>
          </a:r>
        </a:p>
      </dgm:t>
    </dgm:pt>
    <dgm:pt modelId="{C664CCAE-E8C8-4580-810E-4BDB7607F5A6}" type="parTrans" cxnId="{A7C46AE1-5BA8-4BF9-8018-2336CA1F6599}">
      <dgm:prSet/>
      <dgm:spPr>
        <a:solidFill>
          <a:srgbClr val="C4960C"/>
        </a:solidFill>
      </dgm:spPr>
      <dgm:t>
        <a:bodyPr/>
        <a:lstStyle/>
        <a:p>
          <a:endParaRPr lang="fr-CA"/>
        </a:p>
      </dgm:t>
    </dgm:pt>
    <dgm:pt modelId="{488776E6-E12F-417E-8992-CB960FA105FD}" type="sibTrans" cxnId="{A7C46AE1-5BA8-4BF9-8018-2336CA1F6599}">
      <dgm:prSet/>
      <dgm:spPr/>
      <dgm:t>
        <a:bodyPr/>
        <a:lstStyle/>
        <a:p>
          <a:endParaRPr lang="fr-CA"/>
        </a:p>
      </dgm:t>
    </dgm:pt>
    <dgm:pt modelId="{F08886BE-83B7-410F-98C0-FC78BB35D7AF}">
      <dgm:prSet phldrT="[Texte]" custT="1">
        <dgm:style>
          <a:lnRef idx="2">
            <a:schemeClr val="accent1"/>
          </a:lnRef>
          <a:fillRef idx="1">
            <a:schemeClr val="lt1"/>
          </a:fillRef>
          <a:effectRef idx="0">
            <a:schemeClr val="accent1"/>
          </a:effectRef>
          <a:fontRef idx="minor">
            <a:schemeClr val="dk1"/>
          </a:fontRef>
        </dgm:style>
      </dgm:prSet>
      <dgm:spPr>
        <a:ln w="28575">
          <a:solidFill>
            <a:srgbClr val="00703C"/>
          </a:solidFill>
        </a:ln>
      </dgm:spPr>
      <dgm:t>
        <a:bodyPr/>
        <a:lstStyle/>
        <a:p>
          <a:r>
            <a:rPr lang="fr-CA" sz="1400" dirty="0" smtClean="0"/>
            <a:t>Chargés </a:t>
          </a:r>
          <a:r>
            <a:rPr lang="fr-CA" sz="1400" dirty="0"/>
            <a:t>de cours</a:t>
          </a:r>
        </a:p>
      </dgm:t>
    </dgm:pt>
    <dgm:pt modelId="{D1CBCCA2-6062-4676-AF87-FBE6D5578DE6}" type="parTrans" cxnId="{C536237F-2958-4706-B983-CB5EC61F0646}">
      <dgm:prSet/>
      <dgm:spPr>
        <a:solidFill>
          <a:srgbClr val="C4960C"/>
        </a:solidFill>
        <a:ln>
          <a:solidFill>
            <a:srgbClr val="C4960C"/>
          </a:solidFill>
        </a:ln>
      </dgm:spPr>
      <dgm:t>
        <a:bodyPr/>
        <a:lstStyle/>
        <a:p>
          <a:endParaRPr lang="fr-CA"/>
        </a:p>
      </dgm:t>
    </dgm:pt>
    <dgm:pt modelId="{8D4D7ABF-7819-47DB-A5C9-39DD65BC8DAA}" type="sibTrans" cxnId="{C536237F-2958-4706-B983-CB5EC61F0646}">
      <dgm:prSet/>
      <dgm:spPr/>
      <dgm:t>
        <a:bodyPr/>
        <a:lstStyle/>
        <a:p>
          <a:endParaRPr lang="fr-CA"/>
        </a:p>
      </dgm:t>
    </dgm:pt>
    <dgm:pt modelId="{1EC87893-ED52-4D5E-AC2D-D1163FDBE3D4}" type="pres">
      <dgm:prSet presAssocID="{09040F12-CCE1-4684-8337-AC836DFE6C1B}" presName="Name0" presStyleCnt="0">
        <dgm:presLayoutVars>
          <dgm:chMax val="1"/>
          <dgm:dir/>
          <dgm:animLvl val="ctr"/>
          <dgm:resizeHandles val="exact"/>
        </dgm:presLayoutVars>
      </dgm:prSet>
      <dgm:spPr/>
      <dgm:t>
        <a:bodyPr/>
        <a:lstStyle/>
        <a:p>
          <a:endParaRPr lang="fr-CA"/>
        </a:p>
      </dgm:t>
    </dgm:pt>
    <dgm:pt modelId="{9844A4F0-B357-42BD-B7D6-E2F01EB153F8}" type="pres">
      <dgm:prSet presAssocID="{7D749C46-A76C-49E5-9797-F0E623D8D0A7}" presName="centerShape" presStyleLbl="node0" presStyleIdx="0" presStyleCnt="1"/>
      <dgm:spPr/>
      <dgm:t>
        <a:bodyPr/>
        <a:lstStyle/>
        <a:p>
          <a:endParaRPr lang="fr-CA"/>
        </a:p>
      </dgm:t>
    </dgm:pt>
    <dgm:pt modelId="{2AA66F5C-9748-46A3-8836-5F580E54A71C}" type="pres">
      <dgm:prSet presAssocID="{6B2C051D-18BC-4C00-887E-359ED8829198}" presName="parTrans" presStyleLbl="sibTrans2D1" presStyleIdx="0" presStyleCnt="7" custFlipVert="1" custFlipHor="0" custScaleX="155757" custScaleY="132269"/>
      <dgm:spPr/>
      <dgm:t>
        <a:bodyPr/>
        <a:lstStyle/>
        <a:p>
          <a:endParaRPr lang="fr-CA"/>
        </a:p>
      </dgm:t>
    </dgm:pt>
    <dgm:pt modelId="{A7531530-3226-42E5-87C5-A89BD0F6C8AB}" type="pres">
      <dgm:prSet presAssocID="{6B2C051D-18BC-4C00-887E-359ED8829198}" presName="connectorText" presStyleLbl="sibTrans2D1" presStyleIdx="0" presStyleCnt="7"/>
      <dgm:spPr/>
      <dgm:t>
        <a:bodyPr/>
        <a:lstStyle/>
        <a:p>
          <a:endParaRPr lang="fr-CA"/>
        </a:p>
      </dgm:t>
    </dgm:pt>
    <dgm:pt modelId="{6ACBCBFE-C367-4A15-AD58-3F13392681C1}" type="pres">
      <dgm:prSet presAssocID="{BF44DF86-87B6-4DD0-B6B9-B86BB183A750}" presName="node" presStyleLbl="node1" presStyleIdx="0" presStyleCnt="7" custScaleX="138037">
        <dgm:presLayoutVars>
          <dgm:bulletEnabled val="1"/>
        </dgm:presLayoutVars>
      </dgm:prSet>
      <dgm:spPr/>
      <dgm:t>
        <a:bodyPr/>
        <a:lstStyle/>
        <a:p>
          <a:endParaRPr lang="fr-CA"/>
        </a:p>
      </dgm:t>
    </dgm:pt>
    <dgm:pt modelId="{7666F24A-F5D5-417C-B95B-C25E645B0569}" type="pres">
      <dgm:prSet presAssocID="{D1CBCCA2-6062-4676-AF87-FBE6D5578DE6}" presName="parTrans" presStyleLbl="sibTrans2D1" presStyleIdx="1" presStyleCnt="7" custAng="4696401" custFlipHor="1" custScaleX="143647" custScaleY="121947" custLinFactNeighborX="-10935" custLinFactNeighborY="-3108"/>
      <dgm:spPr/>
      <dgm:t>
        <a:bodyPr/>
        <a:lstStyle/>
        <a:p>
          <a:endParaRPr lang="fr-CA"/>
        </a:p>
      </dgm:t>
    </dgm:pt>
    <dgm:pt modelId="{61564921-D028-4174-B0AF-492B94AFE3D3}" type="pres">
      <dgm:prSet presAssocID="{D1CBCCA2-6062-4676-AF87-FBE6D5578DE6}" presName="connectorText" presStyleLbl="sibTrans2D1" presStyleIdx="1" presStyleCnt="7"/>
      <dgm:spPr/>
      <dgm:t>
        <a:bodyPr/>
        <a:lstStyle/>
        <a:p>
          <a:endParaRPr lang="fr-CA"/>
        </a:p>
      </dgm:t>
    </dgm:pt>
    <dgm:pt modelId="{B70C7120-080C-4355-BFA3-880BF6AB0C43}" type="pres">
      <dgm:prSet presAssocID="{F08886BE-83B7-410F-98C0-FC78BB35D7AF}" presName="node" presStyleLbl="node1" presStyleIdx="1" presStyleCnt="7" custScaleX="125458" custRadScaleRad="98529" custRadScaleInc="14648">
        <dgm:presLayoutVars>
          <dgm:bulletEnabled val="1"/>
        </dgm:presLayoutVars>
      </dgm:prSet>
      <dgm:spPr/>
      <dgm:t>
        <a:bodyPr/>
        <a:lstStyle/>
        <a:p>
          <a:endParaRPr lang="fr-CA"/>
        </a:p>
      </dgm:t>
    </dgm:pt>
    <dgm:pt modelId="{BC7E9068-8969-4B57-9357-05B3D493DCFE}" type="pres">
      <dgm:prSet presAssocID="{DD403538-12BC-4488-A98C-BF0D01FD846F}" presName="parTrans" presStyleLbl="sibTrans2D1" presStyleIdx="2" presStyleCnt="7" custFlipVert="1" custFlipHor="1" custScaleX="148812" custScaleY="105627"/>
      <dgm:spPr/>
      <dgm:t>
        <a:bodyPr/>
        <a:lstStyle/>
        <a:p>
          <a:endParaRPr lang="fr-CA"/>
        </a:p>
      </dgm:t>
    </dgm:pt>
    <dgm:pt modelId="{9BB83819-76BA-4890-AD6C-BC73F512873C}" type="pres">
      <dgm:prSet presAssocID="{DD403538-12BC-4488-A98C-BF0D01FD846F}" presName="connectorText" presStyleLbl="sibTrans2D1" presStyleIdx="2" presStyleCnt="7"/>
      <dgm:spPr/>
      <dgm:t>
        <a:bodyPr/>
        <a:lstStyle/>
        <a:p>
          <a:endParaRPr lang="fr-CA"/>
        </a:p>
      </dgm:t>
    </dgm:pt>
    <dgm:pt modelId="{17932F28-3293-46F0-8035-07D01B23A3B7}" type="pres">
      <dgm:prSet presAssocID="{CE8197FE-1679-49D8-93E0-74121B8AE882}" presName="node" presStyleLbl="node1" presStyleIdx="2" presStyleCnt="7" custScaleX="118742" custScaleY="97846">
        <dgm:presLayoutVars>
          <dgm:bulletEnabled val="1"/>
        </dgm:presLayoutVars>
      </dgm:prSet>
      <dgm:spPr/>
      <dgm:t>
        <a:bodyPr/>
        <a:lstStyle/>
        <a:p>
          <a:endParaRPr lang="fr-CA"/>
        </a:p>
      </dgm:t>
    </dgm:pt>
    <dgm:pt modelId="{954EA0D7-FB6E-49B2-9CAF-5678F307F79D}" type="pres">
      <dgm:prSet presAssocID="{5F8FBD9D-98C2-4014-A1DD-0A6C266E5266}" presName="parTrans" presStyleLbl="sibTrans2D1" presStyleIdx="3" presStyleCnt="7" custAng="13920549" custFlipHor="1" custScaleX="123232" custScaleY="130677"/>
      <dgm:spPr/>
      <dgm:t>
        <a:bodyPr/>
        <a:lstStyle/>
        <a:p>
          <a:endParaRPr lang="fr-CA"/>
        </a:p>
      </dgm:t>
    </dgm:pt>
    <dgm:pt modelId="{711CB949-3C9E-45EB-B71C-01A596C7C1D4}" type="pres">
      <dgm:prSet presAssocID="{5F8FBD9D-98C2-4014-A1DD-0A6C266E5266}" presName="connectorText" presStyleLbl="sibTrans2D1" presStyleIdx="3" presStyleCnt="7"/>
      <dgm:spPr/>
      <dgm:t>
        <a:bodyPr/>
        <a:lstStyle/>
        <a:p>
          <a:endParaRPr lang="fr-CA"/>
        </a:p>
      </dgm:t>
    </dgm:pt>
    <dgm:pt modelId="{DF3D7156-1ACD-4607-92AB-9CC7576E0DE4}" type="pres">
      <dgm:prSet presAssocID="{B91836C1-0A28-4ABD-849A-8225D6D2DA4D}" presName="node" presStyleLbl="node1" presStyleIdx="3" presStyleCnt="7" custScaleX="106176" custScaleY="81778" custRadScaleRad="102205" custRadScaleInc="-12657">
        <dgm:presLayoutVars>
          <dgm:bulletEnabled val="1"/>
        </dgm:presLayoutVars>
      </dgm:prSet>
      <dgm:spPr/>
      <dgm:t>
        <a:bodyPr/>
        <a:lstStyle/>
        <a:p>
          <a:endParaRPr lang="fr-CA"/>
        </a:p>
      </dgm:t>
    </dgm:pt>
    <dgm:pt modelId="{4BE29E38-694F-43ED-8650-F0119362EF75}" type="pres">
      <dgm:prSet presAssocID="{7B669FE1-3E21-4213-8916-4DA04D1C2B75}" presName="parTrans" presStyleLbl="sibTrans2D1" presStyleIdx="4" presStyleCnt="7" custAng="11348415" custFlipHor="0" custScaleX="150040" custScaleY="124001"/>
      <dgm:spPr/>
      <dgm:t>
        <a:bodyPr/>
        <a:lstStyle/>
        <a:p>
          <a:endParaRPr lang="fr-CA"/>
        </a:p>
      </dgm:t>
    </dgm:pt>
    <dgm:pt modelId="{14A199F1-F2FD-41C6-B53C-D5007B7BF6EC}" type="pres">
      <dgm:prSet presAssocID="{7B669FE1-3E21-4213-8916-4DA04D1C2B75}" presName="connectorText" presStyleLbl="sibTrans2D1" presStyleIdx="4" presStyleCnt="7"/>
      <dgm:spPr/>
      <dgm:t>
        <a:bodyPr/>
        <a:lstStyle/>
        <a:p>
          <a:endParaRPr lang="fr-CA"/>
        </a:p>
      </dgm:t>
    </dgm:pt>
    <dgm:pt modelId="{A0A6AEAC-A578-423D-8BA0-437DD62FA6E6}" type="pres">
      <dgm:prSet presAssocID="{67781A0A-BCBD-4D85-992F-842574DFD3C6}" presName="node" presStyleLbl="node1" presStyleIdx="4" presStyleCnt="7" custScaleX="123909">
        <dgm:presLayoutVars>
          <dgm:bulletEnabled val="1"/>
        </dgm:presLayoutVars>
      </dgm:prSet>
      <dgm:spPr/>
      <dgm:t>
        <a:bodyPr/>
        <a:lstStyle/>
        <a:p>
          <a:endParaRPr lang="fr-CA"/>
        </a:p>
      </dgm:t>
    </dgm:pt>
    <dgm:pt modelId="{D1E413BE-DC21-4BE6-8549-421E67E5BF9A}" type="pres">
      <dgm:prSet presAssocID="{043E6701-35C2-47A4-B229-280F40EF936B}" presName="parTrans" presStyleLbl="sibTrans2D1" presStyleIdx="5" presStyleCnt="7" custAng="2502060" custFlipHor="1" custScaleX="162118" custScaleY="124655"/>
      <dgm:spPr/>
      <dgm:t>
        <a:bodyPr/>
        <a:lstStyle/>
        <a:p>
          <a:endParaRPr lang="fr-CA"/>
        </a:p>
      </dgm:t>
    </dgm:pt>
    <dgm:pt modelId="{FF9623F0-302E-4BB4-89FE-E2322C6EDCDA}" type="pres">
      <dgm:prSet presAssocID="{043E6701-35C2-47A4-B229-280F40EF936B}" presName="connectorText" presStyleLbl="sibTrans2D1" presStyleIdx="5" presStyleCnt="7"/>
      <dgm:spPr/>
      <dgm:t>
        <a:bodyPr/>
        <a:lstStyle/>
        <a:p>
          <a:endParaRPr lang="fr-CA"/>
        </a:p>
      </dgm:t>
    </dgm:pt>
    <dgm:pt modelId="{B408BDD9-B3F0-4DA0-9FD2-C20EF1FDD042}" type="pres">
      <dgm:prSet presAssocID="{D644760A-CAF2-45A8-8D54-A72479C35DAF}" presName="node" presStyleLbl="node1" presStyleIdx="5" presStyleCnt="7" custScaleX="142587" custScaleY="105127">
        <dgm:presLayoutVars>
          <dgm:bulletEnabled val="1"/>
        </dgm:presLayoutVars>
      </dgm:prSet>
      <dgm:spPr/>
      <dgm:t>
        <a:bodyPr/>
        <a:lstStyle/>
        <a:p>
          <a:endParaRPr lang="fr-CA"/>
        </a:p>
      </dgm:t>
    </dgm:pt>
    <dgm:pt modelId="{0793048D-5921-48CD-9FA3-9EA95C67F5BA}" type="pres">
      <dgm:prSet presAssocID="{C664CCAE-E8C8-4580-810E-4BDB7607F5A6}" presName="parTrans" presStyleLbl="sibTrans2D1" presStyleIdx="6" presStyleCnt="7" custAng="17684555" custFlipHor="1" custScaleX="156490" custScaleY="117489"/>
      <dgm:spPr/>
      <dgm:t>
        <a:bodyPr/>
        <a:lstStyle/>
        <a:p>
          <a:endParaRPr lang="fr-CA"/>
        </a:p>
      </dgm:t>
    </dgm:pt>
    <dgm:pt modelId="{668B7FAA-9B30-4A84-8E31-1B38FA6C5994}" type="pres">
      <dgm:prSet presAssocID="{C664CCAE-E8C8-4580-810E-4BDB7607F5A6}" presName="connectorText" presStyleLbl="sibTrans2D1" presStyleIdx="6" presStyleCnt="7"/>
      <dgm:spPr/>
      <dgm:t>
        <a:bodyPr/>
        <a:lstStyle/>
        <a:p>
          <a:endParaRPr lang="fr-CA"/>
        </a:p>
      </dgm:t>
    </dgm:pt>
    <dgm:pt modelId="{D187C2E2-F719-4C6D-AA28-8DA42CC88E3C}" type="pres">
      <dgm:prSet presAssocID="{A593C955-BCA3-4C53-9A22-EC76980B8C1B}" presName="node" presStyleLbl="node1" presStyleIdx="6" presStyleCnt="7" custScaleX="126680" custRadScaleRad="102701" custRadScaleInc="-11964">
        <dgm:presLayoutVars>
          <dgm:bulletEnabled val="1"/>
        </dgm:presLayoutVars>
      </dgm:prSet>
      <dgm:spPr/>
      <dgm:t>
        <a:bodyPr/>
        <a:lstStyle/>
        <a:p>
          <a:endParaRPr lang="fr-CA"/>
        </a:p>
      </dgm:t>
    </dgm:pt>
  </dgm:ptLst>
  <dgm:cxnLst>
    <dgm:cxn modelId="{A35FD423-C484-417A-A3B8-817D96C23E7E}" type="presOf" srcId="{5F8FBD9D-98C2-4014-A1DD-0A6C266E5266}" destId="{954EA0D7-FB6E-49B2-9CAF-5678F307F79D}" srcOrd="0" destOrd="0" presId="urn:microsoft.com/office/officeart/2005/8/layout/radial5"/>
    <dgm:cxn modelId="{1C609125-2A42-42DA-892C-1A531D312BA2}" type="presOf" srcId="{043E6701-35C2-47A4-B229-280F40EF936B}" destId="{D1E413BE-DC21-4BE6-8549-421E67E5BF9A}" srcOrd="0" destOrd="0" presId="urn:microsoft.com/office/officeart/2005/8/layout/radial5"/>
    <dgm:cxn modelId="{10D30771-0155-496F-AFA9-0AD69E65C25B}" srcId="{7D749C46-A76C-49E5-9797-F0E623D8D0A7}" destId="{B91836C1-0A28-4ABD-849A-8225D6D2DA4D}" srcOrd="3" destOrd="0" parTransId="{5F8FBD9D-98C2-4014-A1DD-0A6C266E5266}" sibTransId="{4D8729E7-4DD2-48E1-9861-C07D08ECD465}"/>
    <dgm:cxn modelId="{0D26C3A9-58DD-4AE4-B0E0-ECAA7D4DCB20}" type="presOf" srcId="{A593C955-BCA3-4C53-9A22-EC76980B8C1B}" destId="{D187C2E2-F719-4C6D-AA28-8DA42CC88E3C}" srcOrd="0" destOrd="0" presId="urn:microsoft.com/office/officeart/2005/8/layout/radial5"/>
    <dgm:cxn modelId="{D3617BAE-9A4F-4B02-BCD7-344362262BF6}" type="presOf" srcId="{043E6701-35C2-47A4-B229-280F40EF936B}" destId="{FF9623F0-302E-4BB4-89FE-E2322C6EDCDA}" srcOrd="1" destOrd="0" presId="urn:microsoft.com/office/officeart/2005/8/layout/radial5"/>
    <dgm:cxn modelId="{1F35CAC1-3F0B-4B53-8CDA-1E2EAD9E8D39}" type="presOf" srcId="{F08886BE-83B7-410F-98C0-FC78BB35D7AF}" destId="{B70C7120-080C-4355-BFA3-880BF6AB0C43}" srcOrd="0" destOrd="0" presId="urn:microsoft.com/office/officeart/2005/8/layout/radial5"/>
    <dgm:cxn modelId="{BDC043AD-F386-4DF7-8180-4FAEDD8D9B00}" type="presOf" srcId="{09040F12-CCE1-4684-8337-AC836DFE6C1B}" destId="{1EC87893-ED52-4D5E-AC2D-D1163FDBE3D4}" srcOrd="0" destOrd="0" presId="urn:microsoft.com/office/officeart/2005/8/layout/radial5"/>
    <dgm:cxn modelId="{9BBC084A-164E-4740-9C56-4AD129C9D01D}" type="presOf" srcId="{DD403538-12BC-4488-A98C-BF0D01FD846F}" destId="{9BB83819-76BA-4890-AD6C-BC73F512873C}" srcOrd="1" destOrd="0" presId="urn:microsoft.com/office/officeart/2005/8/layout/radial5"/>
    <dgm:cxn modelId="{A09AADE5-99A8-4CF4-AFD0-120EDCB4009C}" type="presOf" srcId="{C664CCAE-E8C8-4580-810E-4BDB7607F5A6}" destId="{668B7FAA-9B30-4A84-8E31-1B38FA6C5994}" srcOrd="1" destOrd="0" presId="urn:microsoft.com/office/officeart/2005/8/layout/radial5"/>
    <dgm:cxn modelId="{748093F5-F775-4D6E-AD5A-6DB0AFD77571}" srcId="{7D749C46-A76C-49E5-9797-F0E623D8D0A7}" destId="{D644760A-CAF2-45A8-8D54-A72479C35DAF}" srcOrd="5" destOrd="0" parTransId="{043E6701-35C2-47A4-B229-280F40EF936B}" sibTransId="{618B6938-445F-48FC-B77F-76E009A89A52}"/>
    <dgm:cxn modelId="{DB0DE871-69C2-4249-B5EC-3E35492A6B49}" type="presOf" srcId="{7D749C46-A76C-49E5-9797-F0E623D8D0A7}" destId="{9844A4F0-B357-42BD-B7D6-E2F01EB153F8}" srcOrd="0" destOrd="0" presId="urn:microsoft.com/office/officeart/2005/8/layout/radial5"/>
    <dgm:cxn modelId="{772FE867-9A2F-4D27-8F98-BEDF17D48A08}" type="presOf" srcId="{CE8197FE-1679-49D8-93E0-74121B8AE882}" destId="{17932F28-3293-46F0-8035-07D01B23A3B7}" srcOrd="0" destOrd="0" presId="urn:microsoft.com/office/officeart/2005/8/layout/radial5"/>
    <dgm:cxn modelId="{BE29638D-AA35-45E7-B2B2-8689624DDEB2}" type="presOf" srcId="{BF44DF86-87B6-4DD0-B6B9-B86BB183A750}" destId="{6ACBCBFE-C367-4A15-AD58-3F13392681C1}" srcOrd="0" destOrd="0" presId="urn:microsoft.com/office/officeart/2005/8/layout/radial5"/>
    <dgm:cxn modelId="{A7C46AE1-5BA8-4BF9-8018-2336CA1F6599}" srcId="{7D749C46-A76C-49E5-9797-F0E623D8D0A7}" destId="{A593C955-BCA3-4C53-9A22-EC76980B8C1B}" srcOrd="6" destOrd="0" parTransId="{C664CCAE-E8C8-4580-810E-4BDB7607F5A6}" sibTransId="{488776E6-E12F-417E-8992-CB960FA105FD}"/>
    <dgm:cxn modelId="{2D08398C-1374-49D7-BCA3-F998F3980408}" type="presOf" srcId="{67781A0A-BCBD-4D85-992F-842574DFD3C6}" destId="{A0A6AEAC-A578-423D-8BA0-437DD62FA6E6}" srcOrd="0" destOrd="0" presId="urn:microsoft.com/office/officeart/2005/8/layout/radial5"/>
    <dgm:cxn modelId="{63C63FBC-8859-4200-B078-D53F97CA7736}" type="presOf" srcId="{5F8FBD9D-98C2-4014-A1DD-0A6C266E5266}" destId="{711CB949-3C9E-45EB-B71C-01A596C7C1D4}" srcOrd="1" destOrd="0" presId="urn:microsoft.com/office/officeart/2005/8/layout/radial5"/>
    <dgm:cxn modelId="{08DDFA70-3442-4BED-A192-FE0E88F347C5}" type="presOf" srcId="{6B2C051D-18BC-4C00-887E-359ED8829198}" destId="{2AA66F5C-9748-46A3-8836-5F580E54A71C}" srcOrd="0" destOrd="0" presId="urn:microsoft.com/office/officeart/2005/8/layout/radial5"/>
    <dgm:cxn modelId="{03586B7A-AFCF-4CC3-9207-4A418C679FA4}" type="presOf" srcId="{D1CBCCA2-6062-4676-AF87-FBE6D5578DE6}" destId="{7666F24A-F5D5-417C-B95B-C25E645B0569}" srcOrd="0" destOrd="0" presId="urn:microsoft.com/office/officeart/2005/8/layout/radial5"/>
    <dgm:cxn modelId="{D3AC2324-C980-4080-A468-B8ACAC18CABE}" type="presOf" srcId="{D1CBCCA2-6062-4676-AF87-FBE6D5578DE6}" destId="{61564921-D028-4174-B0AF-492B94AFE3D3}" srcOrd="1" destOrd="0" presId="urn:microsoft.com/office/officeart/2005/8/layout/radial5"/>
    <dgm:cxn modelId="{E11D9BF5-775C-4426-8CC9-9560994B6D05}" srcId="{7D749C46-A76C-49E5-9797-F0E623D8D0A7}" destId="{BF44DF86-87B6-4DD0-B6B9-B86BB183A750}" srcOrd="0" destOrd="0" parTransId="{6B2C051D-18BC-4C00-887E-359ED8829198}" sibTransId="{F3E47ABB-D8D8-409A-B561-C399059F8DDC}"/>
    <dgm:cxn modelId="{780B8538-30CE-427D-B978-5BC9243BD2F3}" srcId="{7D749C46-A76C-49E5-9797-F0E623D8D0A7}" destId="{67781A0A-BCBD-4D85-992F-842574DFD3C6}" srcOrd="4" destOrd="0" parTransId="{7B669FE1-3E21-4213-8916-4DA04D1C2B75}" sibTransId="{CB7AAE9E-0C49-4BCD-A14E-32B0CA09C2F6}"/>
    <dgm:cxn modelId="{A2E821D9-B89B-4F2A-B8C6-CA56085EF758}" type="presOf" srcId="{6B2C051D-18BC-4C00-887E-359ED8829198}" destId="{A7531530-3226-42E5-87C5-A89BD0F6C8AB}" srcOrd="1" destOrd="0" presId="urn:microsoft.com/office/officeart/2005/8/layout/radial5"/>
    <dgm:cxn modelId="{73BBF2A6-491B-4F47-A916-6DA29AA1813D}" srcId="{09040F12-CCE1-4684-8337-AC836DFE6C1B}" destId="{7D749C46-A76C-49E5-9797-F0E623D8D0A7}" srcOrd="0" destOrd="0" parTransId="{58AA7162-C1B1-4ACA-A703-D2DB9A7D73D3}" sibTransId="{30A12B57-70C4-4081-AAB6-AFF828CA7ABE}"/>
    <dgm:cxn modelId="{30BABBB0-94D0-49BF-8028-9713825F7E91}" type="presOf" srcId="{B91836C1-0A28-4ABD-849A-8225D6D2DA4D}" destId="{DF3D7156-1ACD-4607-92AB-9CC7576E0DE4}" srcOrd="0" destOrd="0" presId="urn:microsoft.com/office/officeart/2005/8/layout/radial5"/>
    <dgm:cxn modelId="{0E7223A6-9F31-47D3-96D6-D1AB90E25375}" type="presOf" srcId="{7B669FE1-3E21-4213-8916-4DA04D1C2B75}" destId="{4BE29E38-694F-43ED-8650-F0119362EF75}" srcOrd="0" destOrd="0" presId="urn:microsoft.com/office/officeart/2005/8/layout/radial5"/>
    <dgm:cxn modelId="{84299DCB-6110-4441-A7E1-9EF1AF24EB80}" srcId="{7D749C46-A76C-49E5-9797-F0E623D8D0A7}" destId="{CE8197FE-1679-49D8-93E0-74121B8AE882}" srcOrd="2" destOrd="0" parTransId="{DD403538-12BC-4488-A98C-BF0D01FD846F}" sibTransId="{C7A44A43-6854-443D-9B8E-CE96C7D042EA}"/>
    <dgm:cxn modelId="{8785D8E8-635C-4D7E-AE2B-F8DE812B33C7}" type="presOf" srcId="{D644760A-CAF2-45A8-8D54-A72479C35DAF}" destId="{B408BDD9-B3F0-4DA0-9FD2-C20EF1FDD042}" srcOrd="0" destOrd="0" presId="urn:microsoft.com/office/officeart/2005/8/layout/radial5"/>
    <dgm:cxn modelId="{BD041223-7100-4862-9D50-A3D205F67E05}" type="presOf" srcId="{DD403538-12BC-4488-A98C-BF0D01FD846F}" destId="{BC7E9068-8969-4B57-9357-05B3D493DCFE}" srcOrd="0" destOrd="0" presId="urn:microsoft.com/office/officeart/2005/8/layout/radial5"/>
    <dgm:cxn modelId="{6AD25BCD-98DF-478A-9E15-F6EEFC65FB13}" type="presOf" srcId="{7B669FE1-3E21-4213-8916-4DA04D1C2B75}" destId="{14A199F1-F2FD-41C6-B53C-D5007B7BF6EC}" srcOrd="1" destOrd="0" presId="urn:microsoft.com/office/officeart/2005/8/layout/radial5"/>
    <dgm:cxn modelId="{1EA4298D-B76A-447F-8B6A-E37F7F54AF87}" type="presOf" srcId="{C664CCAE-E8C8-4580-810E-4BDB7607F5A6}" destId="{0793048D-5921-48CD-9FA3-9EA95C67F5BA}" srcOrd="0" destOrd="0" presId="urn:microsoft.com/office/officeart/2005/8/layout/radial5"/>
    <dgm:cxn modelId="{C536237F-2958-4706-B983-CB5EC61F0646}" srcId="{7D749C46-A76C-49E5-9797-F0E623D8D0A7}" destId="{F08886BE-83B7-410F-98C0-FC78BB35D7AF}" srcOrd="1" destOrd="0" parTransId="{D1CBCCA2-6062-4676-AF87-FBE6D5578DE6}" sibTransId="{8D4D7ABF-7819-47DB-A5C9-39DD65BC8DAA}"/>
    <dgm:cxn modelId="{27F8553A-F199-44E9-AC3C-E94BF0991038}" type="presParOf" srcId="{1EC87893-ED52-4D5E-AC2D-D1163FDBE3D4}" destId="{9844A4F0-B357-42BD-B7D6-E2F01EB153F8}" srcOrd="0" destOrd="0" presId="urn:microsoft.com/office/officeart/2005/8/layout/radial5"/>
    <dgm:cxn modelId="{089CB80B-5E8F-4541-BF5A-EA89CC58BF81}" type="presParOf" srcId="{1EC87893-ED52-4D5E-AC2D-D1163FDBE3D4}" destId="{2AA66F5C-9748-46A3-8836-5F580E54A71C}" srcOrd="1" destOrd="0" presId="urn:microsoft.com/office/officeart/2005/8/layout/radial5"/>
    <dgm:cxn modelId="{0BD24B4C-FBF9-43F5-AC3E-5A30CF5884B6}" type="presParOf" srcId="{2AA66F5C-9748-46A3-8836-5F580E54A71C}" destId="{A7531530-3226-42E5-87C5-A89BD0F6C8AB}" srcOrd="0" destOrd="0" presId="urn:microsoft.com/office/officeart/2005/8/layout/radial5"/>
    <dgm:cxn modelId="{8E455E29-81AB-49CF-8371-7CF2F1603859}" type="presParOf" srcId="{1EC87893-ED52-4D5E-AC2D-D1163FDBE3D4}" destId="{6ACBCBFE-C367-4A15-AD58-3F13392681C1}" srcOrd="2" destOrd="0" presId="urn:microsoft.com/office/officeart/2005/8/layout/radial5"/>
    <dgm:cxn modelId="{5CD90DB3-3F73-49B6-BE20-46C54CCE33B0}" type="presParOf" srcId="{1EC87893-ED52-4D5E-AC2D-D1163FDBE3D4}" destId="{7666F24A-F5D5-417C-B95B-C25E645B0569}" srcOrd="3" destOrd="0" presId="urn:microsoft.com/office/officeart/2005/8/layout/radial5"/>
    <dgm:cxn modelId="{96320613-3FF7-4641-9CC4-6D9B562730D2}" type="presParOf" srcId="{7666F24A-F5D5-417C-B95B-C25E645B0569}" destId="{61564921-D028-4174-B0AF-492B94AFE3D3}" srcOrd="0" destOrd="0" presId="urn:microsoft.com/office/officeart/2005/8/layout/radial5"/>
    <dgm:cxn modelId="{8A9031A3-16A8-420B-8D44-614206433A81}" type="presParOf" srcId="{1EC87893-ED52-4D5E-AC2D-D1163FDBE3D4}" destId="{B70C7120-080C-4355-BFA3-880BF6AB0C43}" srcOrd="4" destOrd="0" presId="urn:microsoft.com/office/officeart/2005/8/layout/radial5"/>
    <dgm:cxn modelId="{B91D766A-F3CB-4E19-84AC-26E90CCE8389}" type="presParOf" srcId="{1EC87893-ED52-4D5E-AC2D-D1163FDBE3D4}" destId="{BC7E9068-8969-4B57-9357-05B3D493DCFE}" srcOrd="5" destOrd="0" presId="urn:microsoft.com/office/officeart/2005/8/layout/radial5"/>
    <dgm:cxn modelId="{95C9C6C3-B222-4043-886A-6EE63543EF32}" type="presParOf" srcId="{BC7E9068-8969-4B57-9357-05B3D493DCFE}" destId="{9BB83819-76BA-4890-AD6C-BC73F512873C}" srcOrd="0" destOrd="0" presId="urn:microsoft.com/office/officeart/2005/8/layout/radial5"/>
    <dgm:cxn modelId="{268F81ED-2648-40F5-AB58-E2AC040C588E}" type="presParOf" srcId="{1EC87893-ED52-4D5E-AC2D-D1163FDBE3D4}" destId="{17932F28-3293-46F0-8035-07D01B23A3B7}" srcOrd="6" destOrd="0" presId="urn:microsoft.com/office/officeart/2005/8/layout/radial5"/>
    <dgm:cxn modelId="{AA1AFADD-2DCF-4F66-8B66-9A58D3D77073}" type="presParOf" srcId="{1EC87893-ED52-4D5E-AC2D-D1163FDBE3D4}" destId="{954EA0D7-FB6E-49B2-9CAF-5678F307F79D}" srcOrd="7" destOrd="0" presId="urn:microsoft.com/office/officeart/2005/8/layout/radial5"/>
    <dgm:cxn modelId="{A5E98682-2F3C-44A6-9BEB-1655C6E755E9}" type="presParOf" srcId="{954EA0D7-FB6E-49B2-9CAF-5678F307F79D}" destId="{711CB949-3C9E-45EB-B71C-01A596C7C1D4}" srcOrd="0" destOrd="0" presId="urn:microsoft.com/office/officeart/2005/8/layout/radial5"/>
    <dgm:cxn modelId="{390C3E68-A57B-467D-9C1C-81D7F1A734AA}" type="presParOf" srcId="{1EC87893-ED52-4D5E-AC2D-D1163FDBE3D4}" destId="{DF3D7156-1ACD-4607-92AB-9CC7576E0DE4}" srcOrd="8" destOrd="0" presId="urn:microsoft.com/office/officeart/2005/8/layout/radial5"/>
    <dgm:cxn modelId="{B64C05AF-C110-49E2-9038-961EA4252BE7}" type="presParOf" srcId="{1EC87893-ED52-4D5E-AC2D-D1163FDBE3D4}" destId="{4BE29E38-694F-43ED-8650-F0119362EF75}" srcOrd="9" destOrd="0" presId="urn:microsoft.com/office/officeart/2005/8/layout/radial5"/>
    <dgm:cxn modelId="{52B40267-A0C5-454A-975D-FA0A75A80664}" type="presParOf" srcId="{4BE29E38-694F-43ED-8650-F0119362EF75}" destId="{14A199F1-F2FD-41C6-B53C-D5007B7BF6EC}" srcOrd="0" destOrd="0" presId="urn:microsoft.com/office/officeart/2005/8/layout/radial5"/>
    <dgm:cxn modelId="{2A070AD1-D759-4FB3-97BA-02520BD5D867}" type="presParOf" srcId="{1EC87893-ED52-4D5E-AC2D-D1163FDBE3D4}" destId="{A0A6AEAC-A578-423D-8BA0-437DD62FA6E6}" srcOrd="10" destOrd="0" presId="urn:microsoft.com/office/officeart/2005/8/layout/radial5"/>
    <dgm:cxn modelId="{25574335-4638-4B9B-B170-D2BA61D318D5}" type="presParOf" srcId="{1EC87893-ED52-4D5E-AC2D-D1163FDBE3D4}" destId="{D1E413BE-DC21-4BE6-8549-421E67E5BF9A}" srcOrd="11" destOrd="0" presId="urn:microsoft.com/office/officeart/2005/8/layout/radial5"/>
    <dgm:cxn modelId="{F286EA55-A555-4D64-8882-3FB6FBDA74BC}" type="presParOf" srcId="{D1E413BE-DC21-4BE6-8549-421E67E5BF9A}" destId="{FF9623F0-302E-4BB4-89FE-E2322C6EDCDA}" srcOrd="0" destOrd="0" presId="urn:microsoft.com/office/officeart/2005/8/layout/radial5"/>
    <dgm:cxn modelId="{0B200D99-51D2-4BFD-BD15-E023D2C390C0}" type="presParOf" srcId="{1EC87893-ED52-4D5E-AC2D-D1163FDBE3D4}" destId="{B408BDD9-B3F0-4DA0-9FD2-C20EF1FDD042}" srcOrd="12" destOrd="0" presId="urn:microsoft.com/office/officeart/2005/8/layout/radial5"/>
    <dgm:cxn modelId="{14E6594F-343D-412B-9462-635F5753A8F9}" type="presParOf" srcId="{1EC87893-ED52-4D5E-AC2D-D1163FDBE3D4}" destId="{0793048D-5921-48CD-9FA3-9EA95C67F5BA}" srcOrd="13" destOrd="0" presId="urn:microsoft.com/office/officeart/2005/8/layout/radial5"/>
    <dgm:cxn modelId="{B5D7D4AA-9708-4CF9-B591-B8F9D4EF5747}" type="presParOf" srcId="{0793048D-5921-48CD-9FA3-9EA95C67F5BA}" destId="{668B7FAA-9B30-4A84-8E31-1B38FA6C5994}" srcOrd="0" destOrd="0" presId="urn:microsoft.com/office/officeart/2005/8/layout/radial5"/>
    <dgm:cxn modelId="{881987A1-93E3-4D86-88A6-4F431385E824}" type="presParOf" srcId="{1EC87893-ED52-4D5E-AC2D-D1163FDBE3D4}" destId="{D187C2E2-F719-4C6D-AA28-8DA42CC88E3C}" srcOrd="14" destOrd="0" presId="urn:microsoft.com/office/officeart/2005/8/layout/radial5"/>
  </dgm:cxnLst>
  <dgm:bg/>
  <dgm:whole/>
  <dgm:extLst>
    <a:ext uri="http://schemas.microsoft.com/office/drawing/2008/diagram">
      <dsp:dataModelExt xmlns:dsp="http://schemas.microsoft.com/office/drawing/2008/diagram" xmlns=""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FC48657-71CF-4898-A6F5-86302F98EFDD}" type="doc">
      <dgm:prSet loTypeId="urn:microsoft.com/office/officeart/2005/8/layout/radial3" loCatId="cycle" qsTypeId="urn:microsoft.com/office/officeart/2005/8/quickstyle/simple1" qsCatId="simple" csTypeId="urn:microsoft.com/office/officeart/2005/8/colors/accent3_5" csCatId="accent3" phldr="1"/>
      <dgm:spPr/>
      <dgm:t>
        <a:bodyPr/>
        <a:lstStyle/>
        <a:p>
          <a:endParaRPr lang="fr-CA"/>
        </a:p>
      </dgm:t>
    </dgm:pt>
    <dgm:pt modelId="{F120EBE3-3D47-4CFC-8BD8-540C73BB8980}">
      <dgm:prSet phldrT="[Texte]" custT="1"/>
      <dgm:spPr>
        <a:solidFill>
          <a:srgbClr val="C4960C">
            <a:alpha val="50000"/>
          </a:srgbClr>
        </a:solidFill>
      </dgm:spPr>
      <dgm:t>
        <a:bodyPr/>
        <a:lstStyle/>
        <a:p>
          <a:pPr algn="ctr"/>
          <a:r>
            <a:rPr lang="fr-CA" sz="900" b="1">
              <a:latin typeface="Times New Roman" pitchFamily="18" charset="0"/>
              <a:cs typeface="Times New Roman" pitchFamily="18" charset="0"/>
            </a:rPr>
            <a:t>Paradigme</a:t>
          </a:r>
        </a:p>
        <a:p>
          <a:pPr algn="ctr"/>
          <a:r>
            <a:rPr lang="fr-CA" sz="900" b="0">
              <a:latin typeface="Times New Roman" pitchFamily="18" charset="0"/>
              <a:cs typeface="Times New Roman" pitchFamily="18" charset="0"/>
            </a:rPr>
            <a:t>-Université du Québec offrant la distribution du savoir par la formation supérieure et la recherche</a:t>
          </a:r>
        </a:p>
      </dgm:t>
    </dgm:pt>
    <dgm:pt modelId="{29C56A02-52F1-486D-9EBE-55E4E26AD46F}" type="parTrans" cxnId="{2F5A6734-C23F-4AA6-99CE-0170C7CFA23B}">
      <dgm:prSet/>
      <dgm:spPr/>
      <dgm:t>
        <a:bodyPr/>
        <a:lstStyle/>
        <a:p>
          <a:pPr algn="ctr"/>
          <a:endParaRPr lang="fr-CA"/>
        </a:p>
      </dgm:t>
    </dgm:pt>
    <dgm:pt modelId="{EF6FAE4E-8C18-4D6B-8C67-B364A162F700}" type="sibTrans" cxnId="{2F5A6734-C23F-4AA6-99CE-0170C7CFA23B}">
      <dgm:prSet/>
      <dgm:spPr/>
      <dgm:t>
        <a:bodyPr/>
        <a:lstStyle/>
        <a:p>
          <a:pPr algn="ctr"/>
          <a:endParaRPr lang="fr-CA"/>
        </a:p>
      </dgm:t>
    </dgm:pt>
    <dgm:pt modelId="{0F3CABCF-ECE4-4AD5-8BC1-E59B3FE64751}">
      <dgm:prSet phldrT="[Texte]"/>
      <dgm:spPr>
        <a:solidFill>
          <a:srgbClr val="00703C">
            <a:alpha val="55000"/>
          </a:srgbClr>
        </a:solidFill>
      </dgm:spPr>
      <dgm:t>
        <a:bodyPr/>
        <a:lstStyle/>
        <a:p>
          <a:pPr algn="ctr"/>
          <a:r>
            <a:rPr lang="fr-CA" b="1">
              <a:latin typeface="Times New Roman" pitchFamily="18" charset="0"/>
              <a:cs typeface="Times New Roman" pitchFamily="18" charset="0"/>
            </a:rPr>
            <a:t>Mythes</a:t>
          </a:r>
        </a:p>
        <a:p>
          <a:pPr algn="ctr"/>
          <a:r>
            <a:rPr lang="fr-CA" b="0">
              <a:latin typeface="Times New Roman" pitchFamily="18" charset="0"/>
              <a:cs typeface="Times New Roman" pitchFamily="18" charset="0"/>
            </a:rPr>
            <a:t>-Diplôme bas de gamme</a:t>
          </a:r>
        </a:p>
        <a:p>
          <a:pPr algn="ctr"/>
          <a:r>
            <a:rPr lang="fr-CA" b="0">
              <a:latin typeface="Times New Roman" pitchFamily="18" charset="0"/>
              <a:cs typeface="Times New Roman" pitchFamily="18" charset="0"/>
            </a:rPr>
            <a:t>-Accesibilité aux études supérieurs réservés à la population fortunée</a:t>
          </a:r>
        </a:p>
        <a:p>
          <a:pPr algn="ctr"/>
          <a:r>
            <a:rPr lang="fr-CA" b="0">
              <a:latin typeface="Times New Roman" pitchFamily="18" charset="0"/>
              <a:cs typeface="Times New Roman" pitchFamily="18" charset="0"/>
            </a:rPr>
            <a:t>-Étudiants font plus la fête qu'étudier</a:t>
          </a:r>
        </a:p>
      </dgm:t>
    </dgm:pt>
    <dgm:pt modelId="{428031B9-59B5-4B7D-ACE6-C1A05FF1CC1F}" type="parTrans" cxnId="{A8B43F99-00D7-4C56-92F6-08A82B291FD2}">
      <dgm:prSet/>
      <dgm:spPr/>
      <dgm:t>
        <a:bodyPr/>
        <a:lstStyle/>
        <a:p>
          <a:pPr algn="ctr"/>
          <a:endParaRPr lang="fr-CA"/>
        </a:p>
      </dgm:t>
    </dgm:pt>
    <dgm:pt modelId="{1EDD6458-19E4-453B-8123-C09003E1E682}" type="sibTrans" cxnId="{A8B43F99-00D7-4C56-92F6-08A82B291FD2}">
      <dgm:prSet/>
      <dgm:spPr/>
      <dgm:t>
        <a:bodyPr/>
        <a:lstStyle/>
        <a:p>
          <a:pPr algn="ctr"/>
          <a:endParaRPr lang="fr-CA"/>
        </a:p>
      </dgm:t>
    </dgm:pt>
    <dgm:pt modelId="{2569E191-9D1C-4C48-B975-C11FF8380362}">
      <dgm:prSet phldrT="[Texte]"/>
      <dgm:spPr>
        <a:solidFill>
          <a:srgbClr val="00703C">
            <a:alpha val="60000"/>
          </a:srgbClr>
        </a:solidFill>
      </dgm:spPr>
      <dgm:t>
        <a:bodyPr/>
        <a:lstStyle/>
        <a:p>
          <a:pPr algn="ctr"/>
          <a:r>
            <a:rPr lang="fr-CA" b="1">
              <a:latin typeface="Times New Roman" pitchFamily="18" charset="0"/>
              <a:cs typeface="Times New Roman" pitchFamily="18" charset="0"/>
            </a:rPr>
            <a:t>Symboles</a:t>
          </a:r>
        </a:p>
        <a:p>
          <a:pPr algn="ctr"/>
          <a:r>
            <a:rPr lang="fr-CA" b="0">
              <a:latin typeface="Times New Roman" pitchFamily="18" charset="0"/>
              <a:cs typeface="Times New Roman" pitchFamily="18" charset="0"/>
            </a:rPr>
            <a:t>-Logo UQTR</a:t>
          </a:r>
        </a:p>
        <a:p>
          <a:pPr algn="ctr"/>
          <a:r>
            <a:rPr lang="fr-CA" b="0">
              <a:latin typeface="Times New Roman" pitchFamily="18" charset="0"/>
              <a:cs typeface="Times New Roman" pitchFamily="18" charset="0"/>
            </a:rPr>
            <a:t>-Armoiries</a:t>
          </a:r>
        </a:p>
        <a:p>
          <a:pPr algn="ctr"/>
          <a:r>
            <a:rPr lang="fr-CA" b="0">
              <a:latin typeface="Times New Roman" pitchFamily="18" charset="0"/>
              <a:cs typeface="Times New Roman" pitchFamily="18" charset="0"/>
            </a:rPr>
            <a:t>-Logo des Patriotes</a:t>
          </a:r>
        </a:p>
      </dgm:t>
    </dgm:pt>
    <dgm:pt modelId="{5DC89A45-0643-48C2-B09E-5D4F563F5856}" type="parTrans" cxnId="{8625430F-DB9C-4D0F-9537-04B88A09A4A6}">
      <dgm:prSet/>
      <dgm:spPr/>
      <dgm:t>
        <a:bodyPr/>
        <a:lstStyle/>
        <a:p>
          <a:pPr algn="ctr"/>
          <a:endParaRPr lang="fr-CA"/>
        </a:p>
      </dgm:t>
    </dgm:pt>
    <dgm:pt modelId="{1ED4B725-04F8-4A25-B6B9-8D969ACD2169}" type="sibTrans" cxnId="{8625430F-DB9C-4D0F-9537-04B88A09A4A6}">
      <dgm:prSet/>
      <dgm:spPr/>
      <dgm:t>
        <a:bodyPr/>
        <a:lstStyle/>
        <a:p>
          <a:pPr algn="ctr"/>
          <a:endParaRPr lang="fr-CA"/>
        </a:p>
      </dgm:t>
    </dgm:pt>
    <dgm:pt modelId="{AC6C2040-5043-4072-BB7D-890057B542F9}">
      <dgm:prSet phldrT="[Texte]"/>
      <dgm:spPr>
        <a:solidFill>
          <a:srgbClr val="00703C">
            <a:alpha val="65000"/>
          </a:srgbClr>
        </a:solidFill>
      </dgm:spPr>
      <dgm:t>
        <a:bodyPr/>
        <a:lstStyle/>
        <a:p>
          <a:pPr algn="ctr"/>
          <a:r>
            <a:rPr lang="fr-CA" b="1">
              <a:latin typeface="Times New Roman" pitchFamily="18" charset="0"/>
              <a:cs typeface="Times New Roman" pitchFamily="18" charset="0"/>
            </a:rPr>
            <a:t>Structures de pouvoir</a:t>
          </a:r>
        </a:p>
        <a:p>
          <a:pPr algn="ctr"/>
          <a:r>
            <a:rPr lang="fr-CA" b="0">
              <a:latin typeface="Times New Roman" pitchFamily="18" charset="0"/>
              <a:cs typeface="Times New Roman" pitchFamily="18" charset="0"/>
            </a:rPr>
            <a:t>-Gourvernement provincial</a:t>
          </a:r>
        </a:p>
        <a:p>
          <a:pPr algn="ctr"/>
          <a:r>
            <a:rPr lang="fr-CA" b="0">
              <a:latin typeface="Times New Roman" pitchFamily="18" charset="0"/>
              <a:cs typeface="Times New Roman" pitchFamily="18" charset="0"/>
            </a:rPr>
            <a:t>-Comité d'administration/exécutif</a:t>
          </a:r>
        </a:p>
        <a:p>
          <a:pPr algn="ctr"/>
          <a:r>
            <a:rPr lang="fr-CA" b="0">
              <a:latin typeface="Times New Roman" pitchFamily="18" charset="0"/>
              <a:cs typeface="Times New Roman" pitchFamily="18" charset="0"/>
            </a:rPr>
            <a:t>-Rectorat</a:t>
          </a:r>
        </a:p>
        <a:p>
          <a:pPr algn="ctr"/>
          <a:endParaRPr lang="fr-CA" b="0">
            <a:latin typeface="Times New Roman" pitchFamily="18" charset="0"/>
            <a:cs typeface="Times New Roman" pitchFamily="18" charset="0"/>
          </a:endParaRPr>
        </a:p>
      </dgm:t>
    </dgm:pt>
    <dgm:pt modelId="{703BAC76-9F06-4487-96B6-4424222975B2}" type="parTrans" cxnId="{7E499645-D821-47D6-B899-961F745CE391}">
      <dgm:prSet/>
      <dgm:spPr/>
      <dgm:t>
        <a:bodyPr/>
        <a:lstStyle/>
        <a:p>
          <a:pPr algn="ctr"/>
          <a:endParaRPr lang="fr-CA"/>
        </a:p>
      </dgm:t>
    </dgm:pt>
    <dgm:pt modelId="{5948DF88-65C0-45E7-BA62-9D64FF2E2499}" type="sibTrans" cxnId="{7E499645-D821-47D6-B899-961F745CE391}">
      <dgm:prSet/>
      <dgm:spPr/>
      <dgm:t>
        <a:bodyPr/>
        <a:lstStyle/>
        <a:p>
          <a:pPr algn="ctr"/>
          <a:endParaRPr lang="fr-CA"/>
        </a:p>
      </dgm:t>
    </dgm:pt>
    <dgm:pt modelId="{14BF551A-086B-448C-A1A2-882AD3CDA4A7}">
      <dgm:prSet phldrT="[Texte]"/>
      <dgm:spPr>
        <a:solidFill>
          <a:srgbClr val="00703C">
            <a:alpha val="70000"/>
          </a:srgbClr>
        </a:solidFill>
      </dgm:spPr>
      <dgm:t>
        <a:bodyPr/>
        <a:lstStyle/>
        <a:p>
          <a:pPr algn="ctr"/>
          <a:r>
            <a:rPr lang="fr-CA" b="1">
              <a:latin typeface="Times New Roman" pitchFamily="18" charset="0"/>
              <a:cs typeface="Times New Roman" pitchFamily="18" charset="0"/>
            </a:rPr>
            <a:t>Structures organisationnelles</a:t>
          </a:r>
        </a:p>
        <a:p>
          <a:pPr algn="ctr"/>
          <a:r>
            <a:rPr lang="fr-CA" b="0">
              <a:latin typeface="Times New Roman" pitchFamily="18" charset="0"/>
              <a:cs typeface="Times New Roman" pitchFamily="18" charset="0"/>
            </a:rPr>
            <a:t>-Décentralisé</a:t>
          </a:r>
        </a:p>
        <a:p>
          <a:pPr algn="ctr"/>
          <a:r>
            <a:rPr lang="fr-CA" b="0">
              <a:latin typeface="Times New Roman" pitchFamily="18" charset="0"/>
              <a:cs typeface="Times New Roman" pitchFamily="18" charset="0"/>
            </a:rPr>
            <a:t>-Commission des études</a:t>
          </a:r>
        </a:p>
      </dgm:t>
    </dgm:pt>
    <dgm:pt modelId="{0449C5B3-735E-4A39-A3C8-56F77A8AD054}" type="parTrans" cxnId="{7720A00E-F279-4A34-A9C9-87F6976B2838}">
      <dgm:prSet/>
      <dgm:spPr/>
      <dgm:t>
        <a:bodyPr/>
        <a:lstStyle/>
        <a:p>
          <a:pPr algn="ctr"/>
          <a:endParaRPr lang="fr-CA"/>
        </a:p>
      </dgm:t>
    </dgm:pt>
    <dgm:pt modelId="{707DD49B-1438-40D0-AB24-DE1F99E1E587}" type="sibTrans" cxnId="{7720A00E-F279-4A34-A9C9-87F6976B2838}">
      <dgm:prSet/>
      <dgm:spPr/>
      <dgm:t>
        <a:bodyPr/>
        <a:lstStyle/>
        <a:p>
          <a:pPr algn="ctr"/>
          <a:endParaRPr lang="fr-CA"/>
        </a:p>
      </dgm:t>
    </dgm:pt>
    <dgm:pt modelId="{9A85C0DD-79C3-4648-9183-AD8626B139E4}">
      <dgm:prSet phldrT="[Texte]"/>
      <dgm:spPr>
        <a:solidFill>
          <a:srgbClr val="00703C">
            <a:alpha val="75000"/>
          </a:srgbClr>
        </a:solidFill>
      </dgm:spPr>
      <dgm:t>
        <a:bodyPr/>
        <a:lstStyle/>
        <a:p>
          <a:pPr algn="ctr"/>
          <a:r>
            <a:rPr lang="fr-CA" b="1">
              <a:latin typeface="Times New Roman" pitchFamily="18" charset="0"/>
              <a:cs typeface="Times New Roman" pitchFamily="18" charset="0"/>
            </a:rPr>
            <a:t>Systèmes de contrôle</a:t>
          </a:r>
        </a:p>
        <a:p>
          <a:pPr algn="ctr"/>
          <a:r>
            <a:rPr lang="fr-CA" b="0">
              <a:latin typeface="Times New Roman" pitchFamily="18" charset="0"/>
              <a:cs typeface="Times New Roman" pitchFamily="18" charset="0"/>
            </a:rPr>
            <a:t>-Règlements spécifiques aux étudiants</a:t>
          </a:r>
        </a:p>
        <a:p>
          <a:pPr algn="ctr"/>
          <a:r>
            <a:rPr lang="fr-CA" b="0">
              <a:latin typeface="Times New Roman" pitchFamily="18" charset="0"/>
              <a:cs typeface="Times New Roman" pitchFamily="18" charset="0"/>
            </a:rPr>
            <a:t>-Règlement pour la bibliothèque, les salles publiques et le campus</a:t>
          </a:r>
        </a:p>
      </dgm:t>
    </dgm:pt>
    <dgm:pt modelId="{2F4FD074-5EF3-47A8-83D9-EBE06EB9A7C2}" type="parTrans" cxnId="{A8D81222-119A-4331-BCC1-B1E8EAA4B3E5}">
      <dgm:prSet/>
      <dgm:spPr/>
      <dgm:t>
        <a:bodyPr/>
        <a:lstStyle/>
        <a:p>
          <a:pPr algn="ctr"/>
          <a:endParaRPr lang="fr-CA"/>
        </a:p>
      </dgm:t>
    </dgm:pt>
    <dgm:pt modelId="{2910B003-52A7-460A-9F74-D75D5B61541B}" type="sibTrans" cxnId="{A8D81222-119A-4331-BCC1-B1E8EAA4B3E5}">
      <dgm:prSet/>
      <dgm:spPr/>
      <dgm:t>
        <a:bodyPr/>
        <a:lstStyle/>
        <a:p>
          <a:pPr algn="ctr"/>
          <a:endParaRPr lang="fr-CA"/>
        </a:p>
      </dgm:t>
    </dgm:pt>
    <dgm:pt modelId="{714FC5D2-407F-4D7D-8AB0-A7800028B98C}">
      <dgm:prSet phldrT="[Texte]"/>
      <dgm:spPr>
        <a:solidFill>
          <a:srgbClr val="00703C">
            <a:alpha val="80000"/>
          </a:srgbClr>
        </a:solidFill>
      </dgm:spPr>
      <dgm:t>
        <a:bodyPr/>
        <a:lstStyle/>
        <a:p>
          <a:pPr algn="ctr"/>
          <a:r>
            <a:rPr lang="fr-CA" b="1">
              <a:latin typeface="Times New Roman" pitchFamily="18" charset="0"/>
              <a:cs typeface="Times New Roman" pitchFamily="18" charset="0"/>
            </a:rPr>
            <a:t>Rites et routines</a:t>
          </a:r>
        </a:p>
        <a:p>
          <a:pPr algn="ctr"/>
          <a:r>
            <a:rPr lang="fr-CA" b="0">
              <a:latin typeface="Times New Roman" pitchFamily="18" charset="0"/>
              <a:cs typeface="Times New Roman" pitchFamily="18" charset="0"/>
            </a:rPr>
            <a:t>-Diplomation</a:t>
          </a:r>
        </a:p>
        <a:p>
          <a:pPr algn="ctr"/>
          <a:r>
            <a:rPr lang="fr-CA" b="0">
              <a:latin typeface="Times New Roman" pitchFamily="18" charset="0"/>
              <a:cs typeface="Times New Roman" pitchFamily="18" charset="0"/>
            </a:rPr>
            <a:t>-Bal des finissants</a:t>
          </a:r>
        </a:p>
        <a:p>
          <a:pPr algn="ctr"/>
          <a:r>
            <a:rPr lang="fr-CA" b="0">
              <a:latin typeface="Times New Roman" pitchFamily="18" charset="0"/>
              <a:cs typeface="Times New Roman" pitchFamily="18" charset="0"/>
            </a:rPr>
            <a:t>-Initiations</a:t>
          </a:r>
        </a:p>
        <a:p>
          <a:pPr algn="ctr"/>
          <a:r>
            <a:rPr lang="fr-CA" b="0">
              <a:latin typeface="Times New Roman" pitchFamily="18" charset="0"/>
              <a:cs typeface="Times New Roman" pitchFamily="18" charset="0"/>
            </a:rPr>
            <a:t>-Sessions </a:t>
          </a:r>
        </a:p>
        <a:p>
          <a:pPr algn="ctr"/>
          <a:r>
            <a:rPr lang="fr-CA" b="0">
              <a:latin typeface="Times New Roman" pitchFamily="18" charset="0"/>
              <a:cs typeface="Times New Roman" pitchFamily="18" charset="0"/>
            </a:rPr>
            <a:t>-Portail électronique</a:t>
          </a:r>
        </a:p>
      </dgm:t>
    </dgm:pt>
    <dgm:pt modelId="{B202EEDA-D426-4374-B462-143416D3C614}" type="parTrans" cxnId="{3B07516E-4713-4B30-BAC3-E07CED5B3935}">
      <dgm:prSet/>
      <dgm:spPr/>
      <dgm:t>
        <a:bodyPr/>
        <a:lstStyle/>
        <a:p>
          <a:pPr algn="ctr"/>
          <a:endParaRPr lang="fr-CA"/>
        </a:p>
      </dgm:t>
    </dgm:pt>
    <dgm:pt modelId="{CB57F7C7-C02B-41FE-9690-EB4FA25FB763}" type="sibTrans" cxnId="{3B07516E-4713-4B30-BAC3-E07CED5B3935}">
      <dgm:prSet/>
      <dgm:spPr/>
      <dgm:t>
        <a:bodyPr/>
        <a:lstStyle/>
        <a:p>
          <a:pPr algn="ctr"/>
          <a:endParaRPr lang="fr-CA"/>
        </a:p>
      </dgm:t>
    </dgm:pt>
    <dgm:pt modelId="{28AE6620-9A38-4548-A742-68311FCA2E88}" type="pres">
      <dgm:prSet presAssocID="{AFC48657-71CF-4898-A6F5-86302F98EFDD}" presName="composite" presStyleCnt="0">
        <dgm:presLayoutVars>
          <dgm:chMax val="1"/>
          <dgm:dir/>
          <dgm:resizeHandles val="exact"/>
        </dgm:presLayoutVars>
      </dgm:prSet>
      <dgm:spPr/>
      <dgm:t>
        <a:bodyPr/>
        <a:lstStyle/>
        <a:p>
          <a:endParaRPr lang="fr-CA"/>
        </a:p>
      </dgm:t>
    </dgm:pt>
    <dgm:pt modelId="{49953AED-B162-4A6B-B104-B048F775E4F6}" type="pres">
      <dgm:prSet presAssocID="{AFC48657-71CF-4898-A6F5-86302F98EFDD}" presName="radial" presStyleCnt="0">
        <dgm:presLayoutVars>
          <dgm:animLvl val="ctr"/>
        </dgm:presLayoutVars>
      </dgm:prSet>
      <dgm:spPr/>
    </dgm:pt>
    <dgm:pt modelId="{113DDAF5-8E5B-40B8-B1E9-76AF6B5F2B73}" type="pres">
      <dgm:prSet presAssocID="{F120EBE3-3D47-4CFC-8BD8-540C73BB8980}" presName="centerShape" presStyleLbl="vennNode1" presStyleIdx="0" presStyleCnt="7" custScaleX="76191" custScaleY="71898"/>
      <dgm:spPr/>
      <dgm:t>
        <a:bodyPr/>
        <a:lstStyle/>
        <a:p>
          <a:endParaRPr lang="fr-CA"/>
        </a:p>
      </dgm:t>
    </dgm:pt>
    <dgm:pt modelId="{7C2CAC07-8B07-406B-A8EE-91412177AD9C}" type="pres">
      <dgm:prSet presAssocID="{0F3CABCF-ECE4-4AD5-8BC1-E59B3FE64751}" presName="node" presStyleLbl="vennNode1" presStyleIdx="1" presStyleCnt="7" custScaleX="142542" custScaleY="133180" custRadScaleRad="96704">
        <dgm:presLayoutVars>
          <dgm:bulletEnabled val="1"/>
        </dgm:presLayoutVars>
      </dgm:prSet>
      <dgm:spPr/>
      <dgm:t>
        <a:bodyPr/>
        <a:lstStyle/>
        <a:p>
          <a:endParaRPr lang="fr-CA"/>
        </a:p>
      </dgm:t>
    </dgm:pt>
    <dgm:pt modelId="{194B37ED-9DF4-4009-9FE6-05CFEAB77376}" type="pres">
      <dgm:prSet presAssocID="{2569E191-9D1C-4C48-B975-C11FF8380362}" presName="node" presStyleLbl="vennNode1" presStyleIdx="2" presStyleCnt="7" custScaleX="139263" custScaleY="140454">
        <dgm:presLayoutVars>
          <dgm:bulletEnabled val="1"/>
        </dgm:presLayoutVars>
      </dgm:prSet>
      <dgm:spPr/>
      <dgm:t>
        <a:bodyPr/>
        <a:lstStyle/>
        <a:p>
          <a:endParaRPr lang="fr-CA"/>
        </a:p>
      </dgm:t>
    </dgm:pt>
    <dgm:pt modelId="{88713742-0F98-44FE-B740-1F0A46621649}" type="pres">
      <dgm:prSet presAssocID="{AC6C2040-5043-4072-BB7D-890057B542F9}" presName="node" presStyleLbl="vennNode1" presStyleIdx="3" presStyleCnt="7" custScaleX="143871" custScaleY="136962" custRadScaleRad="101352" custRadScaleInc="-2509">
        <dgm:presLayoutVars>
          <dgm:bulletEnabled val="1"/>
        </dgm:presLayoutVars>
      </dgm:prSet>
      <dgm:spPr/>
      <dgm:t>
        <a:bodyPr/>
        <a:lstStyle/>
        <a:p>
          <a:endParaRPr lang="fr-CA"/>
        </a:p>
      </dgm:t>
    </dgm:pt>
    <dgm:pt modelId="{8FD954B9-242D-43A1-B4A3-FDA75C708F13}" type="pres">
      <dgm:prSet presAssocID="{14BF551A-086B-448C-A1A2-882AD3CDA4A7}" presName="node" presStyleLbl="vennNode1" presStyleIdx="4" presStyleCnt="7" custScaleX="148980" custScaleY="136917" custRadScaleRad="95057">
        <dgm:presLayoutVars>
          <dgm:bulletEnabled val="1"/>
        </dgm:presLayoutVars>
      </dgm:prSet>
      <dgm:spPr/>
      <dgm:t>
        <a:bodyPr/>
        <a:lstStyle/>
        <a:p>
          <a:endParaRPr lang="fr-CA"/>
        </a:p>
      </dgm:t>
    </dgm:pt>
    <dgm:pt modelId="{B65B66C9-A67B-46C6-91C5-0E1203720295}" type="pres">
      <dgm:prSet presAssocID="{9A85C0DD-79C3-4648-9183-AD8626B139E4}" presName="node" presStyleLbl="vennNode1" presStyleIdx="5" presStyleCnt="7" custScaleX="142663" custScaleY="136962" custRadScaleRad="95611" custRadScaleInc="-632">
        <dgm:presLayoutVars>
          <dgm:bulletEnabled val="1"/>
        </dgm:presLayoutVars>
      </dgm:prSet>
      <dgm:spPr/>
      <dgm:t>
        <a:bodyPr/>
        <a:lstStyle/>
        <a:p>
          <a:endParaRPr lang="fr-CA"/>
        </a:p>
      </dgm:t>
    </dgm:pt>
    <dgm:pt modelId="{47FB9E83-39E1-4D6D-8F7A-12E0A51A15C2}" type="pres">
      <dgm:prSet presAssocID="{714FC5D2-407F-4D7D-8AB0-A7800028B98C}" presName="node" presStyleLbl="vennNode1" presStyleIdx="6" presStyleCnt="7" custScaleX="142088" custScaleY="141905">
        <dgm:presLayoutVars>
          <dgm:bulletEnabled val="1"/>
        </dgm:presLayoutVars>
      </dgm:prSet>
      <dgm:spPr/>
      <dgm:t>
        <a:bodyPr/>
        <a:lstStyle/>
        <a:p>
          <a:endParaRPr lang="fr-CA"/>
        </a:p>
      </dgm:t>
    </dgm:pt>
  </dgm:ptLst>
  <dgm:cxnLst>
    <dgm:cxn modelId="{7E499645-D821-47D6-B899-961F745CE391}" srcId="{F120EBE3-3D47-4CFC-8BD8-540C73BB8980}" destId="{AC6C2040-5043-4072-BB7D-890057B542F9}" srcOrd="2" destOrd="0" parTransId="{703BAC76-9F06-4487-96B6-4424222975B2}" sibTransId="{5948DF88-65C0-45E7-BA62-9D64FF2E2499}"/>
    <dgm:cxn modelId="{2F5A6734-C23F-4AA6-99CE-0170C7CFA23B}" srcId="{AFC48657-71CF-4898-A6F5-86302F98EFDD}" destId="{F120EBE3-3D47-4CFC-8BD8-540C73BB8980}" srcOrd="0" destOrd="0" parTransId="{29C56A02-52F1-486D-9EBE-55E4E26AD46F}" sibTransId="{EF6FAE4E-8C18-4D6B-8C67-B364A162F700}"/>
    <dgm:cxn modelId="{2EB01EA8-FC16-45AA-AA10-E6B30716D5DC}" type="presOf" srcId="{F120EBE3-3D47-4CFC-8BD8-540C73BB8980}" destId="{113DDAF5-8E5B-40B8-B1E9-76AF6B5F2B73}" srcOrd="0" destOrd="0" presId="urn:microsoft.com/office/officeart/2005/8/layout/radial3"/>
    <dgm:cxn modelId="{8625430F-DB9C-4D0F-9537-04B88A09A4A6}" srcId="{F120EBE3-3D47-4CFC-8BD8-540C73BB8980}" destId="{2569E191-9D1C-4C48-B975-C11FF8380362}" srcOrd="1" destOrd="0" parTransId="{5DC89A45-0643-48C2-B09E-5D4F563F5856}" sibTransId="{1ED4B725-04F8-4A25-B6B9-8D969ACD2169}"/>
    <dgm:cxn modelId="{37FA8355-F7F3-478F-9C0E-B933256443D7}" type="presOf" srcId="{0F3CABCF-ECE4-4AD5-8BC1-E59B3FE64751}" destId="{7C2CAC07-8B07-406B-A8EE-91412177AD9C}" srcOrd="0" destOrd="0" presId="urn:microsoft.com/office/officeart/2005/8/layout/radial3"/>
    <dgm:cxn modelId="{3B07516E-4713-4B30-BAC3-E07CED5B3935}" srcId="{F120EBE3-3D47-4CFC-8BD8-540C73BB8980}" destId="{714FC5D2-407F-4D7D-8AB0-A7800028B98C}" srcOrd="5" destOrd="0" parTransId="{B202EEDA-D426-4374-B462-143416D3C614}" sibTransId="{CB57F7C7-C02B-41FE-9690-EB4FA25FB763}"/>
    <dgm:cxn modelId="{41FEA224-D48C-4EBD-8606-878BC0B708C1}" type="presOf" srcId="{714FC5D2-407F-4D7D-8AB0-A7800028B98C}" destId="{47FB9E83-39E1-4D6D-8F7A-12E0A51A15C2}" srcOrd="0" destOrd="0" presId="urn:microsoft.com/office/officeart/2005/8/layout/radial3"/>
    <dgm:cxn modelId="{A8B43F99-00D7-4C56-92F6-08A82B291FD2}" srcId="{F120EBE3-3D47-4CFC-8BD8-540C73BB8980}" destId="{0F3CABCF-ECE4-4AD5-8BC1-E59B3FE64751}" srcOrd="0" destOrd="0" parTransId="{428031B9-59B5-4B7D-ACE6-C1A05FF1CC1F}" sibTransId="{1EDD6458-19E4-453B-8123-C09003E1E682}"/>
    <dgm:cxn modelId="{A8D81222-119A-4331-BCC1-B1E8EAA4B3E5}" srcId="{F120EBE3-3D47-4CFC-8BD8-540C73BB8980}" destId="{9A85C0DD-79C3-4648-9183-AD8626B139E4}" srcOrd="4" destOrd="0" parTransId="{2F4FD074-5EF3-47A8-83D9-EBE06EB9A7C2}" sibTransId="{2910B003-52A7-460A-9F74-D75D5B61541B}"/>
    <dgm:cxn modelId="{2DD22C13-5C11-45CB-983C-CDBFBB82279A}" type="presOf" srcId="{9A85C0DD-79C3-4648-9183-AD8626B139E4}" destId="{B65B66C9-A67B-46C6-91C5-0E1203720295}" srcOrd="0" destOrd="0" presId="urn:microsoft.com/office/officeart/2005/8/layout/radial3"/>
    <dgm:cxn modelId="{89ADA43D-4B41-4AE7-9D68-D062145EE70D}" type="presOf" srcId="{2569E191-9D1C-4C48-B975-C11FF8380362}" destId="{194B37ED-9DF4-4009-9FE6-05CFEAB77376}" srcOrd="0" destOrd="0" presId="urn:microsoft.com/office/officeart/2005/8/layout/radial3"/>
    <dgm:cxn modelId="{7720A00E-F279-4A34-A9C9-87F6976B2838}" srcId="{F120EBE3-3D47-4CFC-8BD8-540C73BB8980}" destId="{14BF551A-086B-448C-A1A2-882AD3CDA4A7}" srcOrd="3" destOrd="0" parTransId="{0449C5B3-735E-4A39-A3C8-56F77A8AD054}" sibTransId="{707DD49B-1438-40D0-AB24-DE1F99E1E587}"/>
    <dgm:cxn modelId="{576A139A-B35B-4618-A15D-89FC7D760AD4}" type="presOf" srcId="{14BF551A-086B-448C-A1A2-882AD3CDA4A7}" destId="{8FD954B9-242D-43A1-B4A3-FDA75C708F13}" srcOrd="0" destOrd="0" presId="urn:microsoft.com/office/officeart/2005/8/layout/radial3"/>
    <dgm:cxn modelId="{437406FD-ACA1-478B-8EC9-B742031A42C1}" type="presOf" srcId="{AC6C2040-5043-4072-BB7D-890057B542F9}" destId="{88713742-0F98-44FE-B740-1F0A46621649}" srcOrd="0" destOrd="0" presId="urn:microsoft.com/office/officeart/2005/8/layout/radial3"/>
    <dgm:cxn modelId="{61278171-75E6-4250-9AF7-8D7D0151158F}" type="presOf" srcId="{AFC48657-71CF-4898-A6F5-86302F98EFDD}" destId="{28AE6620-9A38-4548-A742-68311FCA2E88}" srcOrd="0" destOrd="0" presId="urn:microsoft.com/office/officeart/2005/8/layout/radial3"/>
    <dgm:cxn modelId="{341930E8-6DE1-4269-A59A-230A3A1B891E}" type="presParOf" srcId="{28AE6620-9A38-4548-A742-68311FCA2E88}" destId="{49953AED-B162-4A6B-B104-B048F775E4F6}" srcOrd="0" destOrd="0" presId="urn:microsoft.com/office/officeart/2005/8/layout/radial3"/>
    <dgm:cxn modelId="{9729E1FF-A37F-4BAD-9717-8E82A1C9BD5E}" type="presParOf" srcId="{49953AED-B162-4A6B-B104-B048F775E4F6}" destId="{113DDAF5-8E5B-40B8-B1E9-76AF6B5F2B73}" srcOrd="0" destOrd="0" presId="urn:microsoft.com/office/officeart/2005/8/layout/radial3"/>
    <dgm:cxn modelId="{9F7935E9-FB4E-4D49-926B-04C530E4121A}" type="presParOf" srcId="{49953AED-B162-4A6B-B104-B048F775E4F6}" destId="{7C2CAC07-8B07-406B-A8EE-91412177AD9C}" srcOrd="1" destOrd="0" presId="urn:microsoft.com/office/officeart/2005/8/layout/radial3"/>
    <dgm:cxn modelId="{BF77E93F-836D-463F-9558-15D41F41A625}" type="presParOf" srcId="{49953AED-B162-4A6B-B104-B048F775E4F6}" destId="{194B37ED-9DF4-4009-9FE6-05CFEAB77376}" srcOrd="2" destOrd="0" presId="urn:microsoft.com/office/officeart/2005/8/layout/radial3"/>
    <dgm:cxn modelId="{04C26742-A90D-4870-A59A-F47A3C97CE16}" type="presParOf" srcId="{49953AED-B162-4A6B-B104-B048F775E4F6}" destId="{88713742-0F98-44FE-B740-1F0A46621649}" srcOrd="3" destOrd="0" presId="urn:microsoft.com/office/officeart/2005/8/layout/radial3"/>
    <dgm:cxn modelId="{1D540682-2E1B-4463-978A-25791BD49AD9}" type="presParOf" srcId="{49953AED-B162-4A6B-B104-B048F775E4F6}" destId="{8FD954B9-242D-43A1-B4A3-FDA75C708F13}" srcOrd="4" destOrd="0" presId="urn:microsoft.com/office/officeart/2005/8/layout/radial3"/>
    <dgm:cxn modelId="{4573596F-2552-46E8-8D8C-4100816D1787}" type="presParOf" srcId="{49953AED-B162-4A6B-B104-B048F775E4F6}" destId="{B65B66C9-A67B-46C6-91C5-0E1203720295}" srcOrd="5" destOrd="0" presId="urn:microsoft.com/office/officeart/2005/8/layout/radial3"/>
    <dgm:cxn modelId="{B472C8A9-8875-4F12-A0AD-65AC72A40233}" type="presParOf" srcId="{49953AED-B162-4A6B-B104-B048F775E4F6}" destId="{47FB9E83-39E1-4D6D-8F7A-12E0A51A15C2}" srcOrd="6" destOrd="0" presId="urn:microsoft.com/office/officeart/2005/8/layout/radial3"/>
  </dgm:cxnLst>
  <dgm:bg/>
  <dgm:whole/>
  <dgm:extLst>
    <a:ext uri="http://schemas.microsoft.com/office/drawing/2008/diagram">
      <dsp:dataModelExt xmlns:dsp="http://schemas.microsoft.com/office/drawing/2008/diagram" xmlns="" relId="rId3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F3042D8-C5E8-4AD0-8AA5-6212FC891A4F}"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fr-CA"/>
        </a:p>
      </dgm:t>
    </dgm:pt>
    <dgm:pt modelId="{4E391C62-2DC2-4747-81CC-9DD6E02C70C5}">
      <dgm:prSet phldrT="[Texte]" custT="1"/>
      <dgm:spPr>
        <a:solidFill>
          <a:srgbClr val="00703C"/>
        </a:solidFill>
        <a:ln>
          <a:solidFill>
            <a:schemeClr val="bg1">
              <a:lumMod val="75000"/>
            </a:schemeClr>
          </a:solidFill>
        </a:ln>
      </dgm:spPr>
      <dgm:t>
        <a:bodyPr/>
        <a:lstStyle/>
        <a:p>
          <a:r>
            <a:rPr lang="fr-CA" sz="1600" b="1"/>
            <a:t>UQTR</a:t>
          </a:r>
        </a:p>
      </dgm:t>
    </dgm:pt>
    <dgm:pt modelId="{10936299-70BA-4F3E-A36E-B4DCC611F6C3}" type="parTrans" cxnId="{44650C7A-9CAE-482C-A20A-5B53CC59FE07}">
      <dgm:prSet/>
      <dgm:spPr/>
      <dgm:t>
        <a:bodyPr/>
        <a:lstStyle/>
        <a:p>
          <a:endParaRPr lang="fr-CA" sz="1400"/>
        </a:p>
      </dgm:t>
    </dgm:pt>
    <dgm:pt modelId="{F6F7E5C7-E29E-4445-B054-03C8195BB8D2}" type="sibTrans" cxnId="{44650C7A-9CAE-482C-A20A-5B53CC59FE07}">
      <dgm:prSet/>
      <dgm:spPr/>
      <dgm:t>
        <a:bodyPr/>
        <a:lstStyle/>
        <a:p>
          <a:endParaRPr lang="fr-CA" sz="1400"/>
        </a:p>
      </dgm:t>
    </dgm:pt>
    <dgm:pt modelId="{85A81ECA-2DBE-4CC4-908D-FB6DE7E40782}" type="asst">
      <dgm:prSet phldrT="[Texte]" custT="1"/>
      <dgm:spPr>
        <a:solidFill>
          <a:srgbClr val="00703C"/>
        </a:solidFill>
        <a:ln>
          <a:solidFill>
            <a:schemeClr val="bg1">
              <a:lumMod val="75000"/>
            </a:schemeClr>
          </a:solidFill>
        </a:ln>
      </dgm:spPr>
      <dgm:t>
        <a:bodyPr/>
        <a:lstStyle/>
        <a:p>
          <a:r>
            <a:rPr lang="fr-CA" sz="1400" b="1">
              <a:solidFill>
                <a:srgbClr val="C4960C"/>
              </a:solidFill>
            </a:rPr>
            <a:t>Éducation universitaire</a:t>
          </a:r>
        </a:p>
      </dgm:t>
    </dgm:pt>
    <dgm:pt modelId="{8782C248-EE5B-4A67-A69C-76B3FFB71913}" type="parTrans" cxnId="{89FEE940-8A3A-4BB5-9D46-6AA136DB0864}">
      <dgm:prSet/>
      <dgm:spPr>
        <a:solidFill>
          <a:srgbClr val="006600"/>
        </a:solidFill>
        <a:ln>
          <a:solidFill>
            <a:schemeClr val="bg1">
              <a:lumMod val="75000"/>
            </a:schemeClr>
          </a:solidFill>
        </a:ln>
      </dgm:spPr>
      <dgm:t>
        <a:bodyPr/>
        <a:lstStyle/>
        <a:p>
          <a:endParaRPr lang="fr-CA" sz="1400"/>
        </a:p>
      </dgm:t>
    </dgm:pt>
    <dgm:pt modelId="{5406D752-1B9E-4169-8F76-0E5937CC27F8}" type="sibTrans" cxnId="{89FEE940-8A3A-4BB5-9D46-6AA136DB0864}">
      <dgm:prSet/>
      <dgm:spPr/>
      <dgm:t>
        <a:bodyPr/>
        <a:lstStyle/>
        <a:p>
          <a:endParaRPr lang="fr-CA" sz="1400"/>
        </a:p>
      </dgm:t>
    </dgm:pt>
    <dgm:pt modelId="{9F42FCBC-3440-4C67-8678-3390B7870BFD}">
      <dgm:prSet phldrT="[Texte]" custT="1"/>
      <dgm:spPr>
        <a:solidFill>
          <a:srgbClr val="00703C"/>
        </a:solidFill>
        <a:ln>
          <a:solidFill>
            <a:schemeClr val="bg1">
              <a:lumMod val="75000"/>
            </a:schemeClr>
          </a:solidFill>
        </a:ln>
      </dgm:spPr>
      <dgm:t>
        <a:bodyPr/>
        <a:lstStyle/>
        <a:p>
          <a:r>
            <a:rPr lang="fr-CA" sz="1100"/>
            <a:t>Vie culturelle, sociale et sportive</a:t>
          </a:r>
        </a:p>
      </dgm:t>
    </dgm:pt>
    <dgm:pt modelId="{7E34CD03-8084-42AC-8E7E-FD95E2AA7A9D}" type="parTrans" cxnId="{6047D312-F995-45CC-9F43-C73BA8D2BCD0}">
      <dgm:prSet/>
      <dgm:spPr>
        <a:solidFill>
          <a:srgbClr val="006600"/>
        </a:solidFill>
        <a:ln>
          <a:solidFill>
            <a:schemeClr val="bg1">
              <a:lumMod val="75000"/>
            </a:schemeClr>
          </a:solidFill>
        </a:ln>
      </dgm:spPr>
      <dgm:t>
        <a:bodyPr/>
        <a:lstStyle/>
        <a:p>
          <a:endParaRPr lang="fr-CA" sz="1400"/>
        </a:p>
      </dgm:t>
    </dgm:pt>
    <dgm:pt modelId="{B360DAF7-8A86-4957-91A5-2114546E5994}" type="sibTrans" cxnId="{6047D312-F995-45CC-9F43-C73BA8D2BCD0}">
      <dgm:prSet/>
      <dgm:spPr/>
      <dgm:t>
        <a:bodyPr/>
        <a:lstStyle/>
        <a:p>
          <a:endParaRPr lang="fr-CA" sz="1400"/>
        </a:p>
      </dgm:t>
    </dgm:pt>
    <dgm:pt modelId="{86E09C26-7FCB-4BE8-B13E-139AF9ABBDC1}">
      <dgm:prSet phldrT="[Texte]" custT="1"/>
      <dgm:spPr>
        <a:solidFill>
          <a:srgbClr val="00703C"/>
        </a:solidFill>
        <a:ln>
          <a:solidFill>
            <a:schemeClr val="bg1">
              <a:lumMod val="75000"/>
            </a:schemeClr>
          </a:solidFill>
        </a:ln>
      </dgm:spPr>
      <dgm:t>
        <a:bodyPr/>
        <a:lstStyle/>
        <a:p>
          <a:r>
            <a:rPr lang="fr-CA" sz="1100"/>
            <a:t>Médias d'information</a:t>
          </a:r>
        </a:p>
      </dgm:t>
    </dgm:pt>
    <dgm:pt modelId="{70DADE75-8E03-4A61-B9A7-67A84360B64C}" type="parTrans" cxnId="{F60E5FD5-FAE2-4FBC-AF41-22FF2DA79D56}">
      <dgm:prSet/>
      <dgm:spPr>
        <a:solidFill>
          <a:srgbClr val="006600"/>
        </a:solidFill>
        <a:ln>
          <a:solidFill>
            <a:schemeClr val="bg1">
              <a:lumMod val="75000"/>
            </a:schemeClr>
          </a:solidFill>
        </a:ln>
      </dgm:spPr>
      <dgm:t>
        <a:bodyPr/>
        <a:lstStyle/>
        <a:p>
          <a:endParaRPr lang="fr-CA" sz="1400"/>
        </a:p>
      </dgm:t>
    </dgm:pt>
    <dgm:pt modelId="{7EC3A280-F88F-4B7C-A562-F76C086A8EC4}" type="sibTrans" cxnId="{F60E5FD5-FAE2-4FBC-AF41-22FF2DA79D56}">
      <dgm:prSet/>
      <dgm:spPr/>
      <dgm:t>
        <a:bodyPr/>
        <a:lstStyle/>
        <a:p>
          <a:endParaRPr lang="fr-CA" sz="1400"/>
        </a:p>
      </dgm:t>
    </dgm:pt>
    <dgm:pt modelId="{586E7D0C-95FB-40A4-B0ED-D34C61FC39E6}">
      <dgm:prSet phldrT="[Texte]" custT="1"/>
      <dgm:spPr>
        <a:solidFill>
          <a:srgbClr val="00703C"/>
        </a:solidFill>
        <a:ln>
          <a:solidFill>
            <a:schemeClr val="bg1">
              <a:lumMod val="75000"/>
            </a:schemeClr>
          </a:solidFill>
        </a:ln>
      </dgm:spPr>
      <dgm:t>
        <a:bodyPr/>
        <a:lstStyle/>
        <a:p>
          <a:r>
            <a:rPr lang="fr-CA" sz="1100"/>
            <a:t>Cliniques de santé universitaires</a:t>
          </a:r>
        </a:p>
      </dgm:t>
    </dgm:pt>
    <dgm:pt modelId="{0F393C73-51E9-43AE-9707-523462476083}" type="parTrans" cxnId="{F8289D3A-53A5-4384-84F0-44FD12CEB236}">
      <dgm:prSet/>
      <dgm:spPr>
        <a:solidFill>
          <a:srgbClr val="006600"/>
        </a:solidFill>
        <a:ln>
          <a:solidFill>
            <a:schemeClr val="bg1">
              <a:lumMod val="75000"/>
            </a:schemeClr>
          </a:solidFill>
        </a:ln>
      </dgm:spPr>
      <dgm:t>
        <a:bodyPr/>
        <a:lstStyle/>
        <a:p>
          <a:endParaRPr lang="fr-CA" sz="1400"/>
        </a:p>
      </dgm:t>
    </dgm:pt>
    <dgm:pt modelId="{A2AECDA6-2F98-4215-99B4-9CA60F8F8403}" type="sibTrans" cxnId="{F8289D3A-53A5-4384-84F0-44FD12CEB236}">
      <dgm:prSet/>
      <dgm:spPr/>
      <dgm:t>
        <a:bodyPr/>
        <a:lstStyle/>
        <a:p>
          <a:endParaRPr lang="fr-CA" sz="1400"/>
        </a:p>
      </dgm:t>
    </dgm:pt>
    <dgm:pt modelId="{572ADB97-852B-4DBB-8821-32310C90D818}" type="asst">
      <dgm:prSet phldrT="[Texte]" custT="1"/>
      <dgm:spPr>
        <a:solidFill>
          <a:srgbClr val="00703C"/>
        </a:solidFill>
        <a:ln>
          <a:solidFill>
            <a:schemeClr val="bg1">
              <a:lumMod val="75000"/>
            </a:schemeClr>
          </a:solidFill>
        </a:ln>
      </dgm:spPr>
      <dgm:t>
        <a:bodyPr/>
        <a:lstStyle/>
        <a:p>
          <a:r>
            <a:rPr lang="fr-CA" sz="1400" b="1">
              <a:solidFill>
                <a:srgbClr val="C4960C"/>
              </a:solidFill>
            </a:rPr>
            <a:t>Services à la communauté</a:t>
          </a:r>
          <a:br>
            <a:rPr lang="fr-CA" sz="1400" b="1">
              <a:solidFill>
                <a:srgbClr val="C4960C"/>
              </a:solidFill>
            </a:rPr>
          </a:br>
          <a:r>
            <a:rPr lang="fr-CA" sz="1400" b="1">
              <a:solidFill>
                <a:srgbClr val="C4960C"/>
              </a:solidFill>
            </a:rPr>
            <a:t>par domaines</a:t>
          </a:r>
        </a:p>
      </dgm:t>
    </dgm:pt>
    <dgm:pt modelId="{3F18B6B5-D668-4319-AE52-040761A61F12}" type="parTrans" cxnId="{8AB792C7-D57A-48E5-B0AB-E0DD27B98072}">
      <dgm:prSet/>
      <dgm:spPr>
        <a:ln>
          <a:solidFill>
            <a:schemeClr val="bg1">
              <a:lumMod val="75000"/>
            </a:schemeClr>
          </a:solidFill>
        </a:ln>
      </dgm:spPr>
      <dgm:t>
        <a:bodyPr/>
        <a:lstStyle/>
        <a:p>
          <a:endParaRPr lang="fr-CA" sz="1400"/>
        </a:p>
      </dgm:t>
    </dgm:pt>
    <dgm:pt modelId="{86166288-0A60-436E-8A9F-92DEC15B7C6E}" type="sibTrans" cxnId="{8AB792C7-D57A-48E5-B0AB-E0DD27B98072}">
      <dgm:prSet/>
      <dgm:spPr/>
      <dgm:t>
        <a:bodyPr/>
        <a:lstStyle/>
        <a:p>
          <a:endParaRPr lang="fr-CA" sz="1400"/>
        </a:p>
      </dgm:t>
    </dgm:pt>
    <dgm:pt modelId="{4C94DED7-63FF-4143-9C1B-E3429DFBE0D8}" type="asst">
      <dgm:prSet phldrT="[Texte]" custT="1"/>
      <dgm:spPr>
        <a:solidFill>
          <a:srgbClr val="00703C"/>
        </a:solidFill>
        <a:ln>
          <a:solidFill>
            <a:schemeClr val="bg1">
              <a:lumMod val="75000"/>
            </a:schemeClr>
          </a:solidFill>
        </a:ln>
      </dgm:spPr>
      <dgm:t>
        <a:bodyPr/>
        <a:lstStyle/>
        <a:p>
          <a:r>
            <a:rPr lang="fr-CA" sz="1100"/>
            <a:t>Cours en ligne ouverts aux masses (MOOC)</a:t>
          </a:r>
        </a:p>
      </dgm:t>
    </dgm:pt>
    <dgm:pt modelId="{DDC63FEC-E42A-4B57-8756-AE3DB394CC42}" type="parTrans" cxnId="{36DB3370-60DA-4C00-BD97-AB296798388F}">
      <dgm:prSet/>
      <dgm:spPr>
        <a:ln>
          <a:solidFill>
            <a:schemeClr val="bg1">
              <a:lumMod val="75000"/>
            </a:schemeClr>
          </a:solidFill>
        </a:ln>
      </dgm:spPr>
      <dgm:t>
        <a:bodyPr/>
        <a:lstStyle/>
        <a:p>
          <a:endParaRPr lang="fr-CA" sz="1400"/>
        </a:p>
      </dgm:t>
    </dgm:pt>
    <dgm:pt modelId="{DFB43BD4-8861-475F-AFFA-DEFB6D07A5F1}" type="sibTrans" cxnId="{36DB3370-60DA-4C00-BD97-AB296798388F}">
      <dgm:prSet/>
      <dgm:spPr/>
      <dgm:t>
        <a:bodyPr/>
        <a:lstStyle/>
        <a:p>
          <a:endParaRPr lang="fr-CA" sz="1400"/>
        </a:p>
      </dgm:t>
    </dgm:pt>
    <dgm:pt modelId="{6D89899C-34ED-4A88-9A1B-00503F7EB41A}" type="asst">
      <dgm:prSet phldrT="[Texte]" custT="1"/>
      <dgm:spPr>
        <a:solidFill>
          <a:srgbClr val="00703C"/>
        </a:solidFill>
        <a:ln>
          <a:solidFill>
            <a:schemeClr val="bg1">
              <a:lumMod val="75000"/>
            </a:schemeClr>
          </a:solidFill>
        </a:ln>
      </dgm:spPr>
      <dgm:t>
        <a:bodyPr/>
        <a:lstStyle/>
        <a:p>
          <a:r>
            <a:rPr lang="fr-CA" sz="1100"/>
            <a:t>Étudiants en campus visant une diplômation</a:t>
          </a:r>
        </a:p>
      </dgm:t>
    </dgm:pt>
    <dgm:pt modelId="{9B0643FE-D70A-4D49-B299-52B1D56EF936}" type="parTrans" cxnId="{9CA178B0-4442-45EB-B9A7-37D2FE0A53BC}">
      <dgm:prSet/>
      <dgm:spPr>
        <a:ln>
          <a:solidFill>
            <a:schemeClr val="bg1">
              <a:lumMod val="75000"/>
            </a:schemeClr>
          </a:solidFill>
        </a:ln>
      </dgm:spPr>
      <dgm:t>
        <a:bodyPr/>
        <a:lstStyle/>
        <a:p>
          <a:endParaRPr lang="fr-CA" sz="1400"/>
        </a:p>
      </dgm:t>
    </dgm:pt>
    <dgm:pt modelId="{D17252A4-5013-41F6-B149-DECA06131122}" type="sibTrans" cxnId="{9CA178B0-4442-45EB-B9A7-37D2FE0A53BC}">
      <dgm:prSet/>
      <dgm:spPr/>
      <dgm:t>
        <a:bodyPr/>
        <a:lstStyle/>
        <a:p>
          <a:endParaRPr lang="fr-CA" sz="1400"/>
        </a:p>
      </dgm:t>
    </dgm:pt>
    <dgm:pt modelId="{36C0DF1E-7A03-49AE-8E12-7EC277F37850}" type="asst">
      <dgm:prSet phldrT="[Texte]" custT="1"/>
      <dgm:spPr>
        <a:solidFill>
          <a:srgbClr val="00703C"/>
        </a:solidFill>
        <a:ln>
          <a:solidFill>
            <a:schemeClr val="bg1">
              <a:lumMod val="75000"/>
            </a:schemeClr>
          </a:solidFill>
        </a:ln>
      </dgm:spPr>
      <dgm:t>
        <a:bodyPr/>
        <a:lstStyle/>
        <a:p>
          <a:r>
            <a:rPr lang="fr-CA" sz="1100"/>
            <a:t>Université du troisième âge</a:t>
          </a:r>
        </a:p>
      </dgm:t>
    </dgm:pt>
    <dgm:pt modelId="{D81AEBBF-2ECE-40EB-956D-556F772B0DEE}" type="parTrans" cxnId="{2EC07BA0-82F5-403D-A8DB-5B58EFDF262D}">
      <dgm:prSet/>
      <dgm:spPr>
        <a:ln>
          <a:solidFill>
            <a:schemeClr val="bg1">
              <a:lumMod val="75000"/>
            </a:schemeClr>
          </a:solidFill>
        </a:ln>
      </dgm:spPr>
      <dgm:t>
        <a:bodyPr/>
        <a:lstStyle/>
        <a:p>
          <a:endParaRPr lang="fr-CA" sz="1400"/>
        </a:p>
      </dgm:t>
    </dgm:pt>
    <dgm:pt modelId="{6CF3F2B2-5E9A-41BC-928F-8C280099E823}" type="sibTrans" cxnId="{2EC07BA0-82F5-403D-A8DB-5B58EFDF262D}">
      <dgm:prSet/>
      <dgm:spPr/>
      <dgm:t>
        <a:bodyPr/>
        <a:lstStyle/>
        <a:p>
          <a:endParaRPr lang="fr-CA" sz="1400"/>
        </a:p>
      </dgm:t>
    </dgm:pt>
    <dgm:pt modelId="{C4C7C7CA-D7D3-42EA-9FF0-6BCD47F02736}" type="asst">
      <dgm:prSet phldrT="[Texte]" custT="1"/>
      <dgm:spPr>
        <a:solidFill>
          <a:srgbClr val="00703C"/>
        </a:solidFill>
        <a:ln>
          <a:solidFill>
            <a:schemeClr val="bg1">
              <a:lumMod val="75000"/>
            </a:schemeClr>
          </a:solidFill>
        </a:ln>
      </dgm:spPr>
      <dgm:t>
        <a:bodyPr/>
        <a:lstStyle/>
        <a:p>
          <a:r>
            <a:rPr lang="fr-CA" sz="1100"/>
            <a:t>Étudiants hors campus visant une diplômation</a:t>
          </a:r>
        </a:p>
      </dgm:t>
    </dgm:pt>
    <dgm:pt modelId="{A0CACB0B-A7FD-4076-9992-6DB3017E2CD4}" type="parTrans" cxnId="{BD7359BE-7984-43BF-BDDC-A837DEE3450F}">
      <dgm:prSet/>
      <dgm:spPr>
        <a:ln>
          <a:solidFill>
            <a:schemeClr val="bg1">
              <a:lumMod val="75000"/>
            </a:schemeClr>
          </a:solidFill>
        </a:ln>
      </dgm:spPr>
      <dgm:t>
        <a:bodyPr/>
        <a:lstStyle/>
        <a:p>
          <a:endParaRPr lang="fr-CA" sz="1400"/>
        </a:p>
      </dgm:t>
    </dgm:pt>
    <dgm:pt modelId="{3E231918-CC5C-4CF7-A8DB-9655B93CC41F}" type="sibTrans" cxnId="{BD7359BE-7984-43BF-BDDC-A837DEE3450F}">
      <dgm:prSet/>
      <dgm:spPr/>
      <dgm:t>
        <a:bodyPr/>
        <a:lstStyle/>
        <a:p>
          <a:endParaRPr lang="fr-CA" sz="1400"/>
        </a:p>
      </dgm:t>
    </dgm:pt>
    <dgm:pt modelId="{080F9D16-6E08-4CC2-9EA2-44EFCC7E202E}">
      <dgm:prSet phldrT="[Texte]" custT="1"/>
      <dgm:spPr>
        <a:solidFill>
          <a:srgbClr val="00703C"/>
        </a:solidFill>
        <a:ln>
          <a:solidFill>
            <a:schemeClr val="bg1">
              <a:lumMod val="75000"/>
            </a:schemeClr>
          </a:solidFill>
        </a:ln>
      </dgm:spPr>
      <dgm:t>
        <a:bodyPr/>
        <a:lstStyle/>
        <a:p>
          <a:r>
            <a:rPr lang="fr-CA" sz="1100"/>
            <a:t>Services et unités en lien avec l'UQTR</a:t>
          </a:r>
        </a:p>
      </dgm:t>
    </dgm:pt>
    <dgm:pt modelId="{23E2AD6A-0D9F-4383-88EB-AC4D36FC0DDD}" type="parTrans" cxnId="{551AD251-E23A-4070-BCAE-AFEE55E16DC5}">
      <dgm:prSet/>
      <dgm:spPr>
        <a:ln>
          <a:solidFill>
            <a:schemeClr val="bg1">
              <a:lumMod val="75000"/>
            </a:schemeClr>
          </a:solidFill>
        </a:ln>
      </dgm:spPr>
      <dgm:t>
        <a:bodyPr/>
        <a:lstStyle/>
        <a:p>
          <a:endParaRPr lang="fr-CA"/>
        </a:p>
      </dgm:t>
    </dgm:pt>
    <dgm:pt modelId="{18BEE971-07DD-466E-87C2-39D906D27D62}" type="sibTrans" cxnId="{551AD251-E23A-4070-BCAE-AFEE55E16DC5}">
      <dgm:prSet/>
      <dgm:spPr/>
      <dgm:t>
        <a:bodyPr/>
        <a:lstStyle/>
        <a:p>
          <a:endParaRPr lang="fr-CA"/>
        </a:p>
      </dgm:t>
    </dgm:pt>
    <dgm:pt modelId="{478ECFE1-E65D-4FA8-A0CB-918D34EEB240}" type="pres">
      <dgm:prSet presAssocID="{7F3042D8-C5E8-4AD0-8AA5-6212FC891A4F}" presName="hierChild1" presStyleCnt="0">
        <dgm:presLayoutVars>
          <dgm:orgChart val="1"/>
          <dgm:chPref val="1"/>
          <dgm:dir/>
          <dgm:animOne val="branch"/>
          <dgm:animLvl val="lvl"/>
          <dgm:resizeHandles/>
        </dgm:presLayoutVars>
      </dgm:prSet>
      <dgm:spPr/>
      <dgm:t>
        <a:bodyPr/>
        <a:lstStyle/>
        <a:p>
          <a:endParaRPr lang="fr-CA"/>
        </a:p>
      </dgm:t>
    </dgm:pt>
    <dgm:pt modelId="{FE95447D-8C9F-4E9D-8D52-2573C7243FDD}" type="pres">
      <dgm:prSet presAssocID="{4E391C62-2DC2-4747-81CC-9DD6E02C70C5}" presName="hierRoot1" presStyleCnt="0">
        <dgm:presLayoutVars>
          <dgm:hierBranch val="init"/>
        </dgm:presLayoutVars>
      </dgm:prSet>
      <dgm:spPr/>
    </dgm:pt>
    <dgm:pt modelId="{11F28598-2AFC-457E-B254-52FE9351CAF6}" type="pres">
      <dgm:prSet presAssocID="{4E391C62-2DC2-4747-81CC-9DD6E02C70C5}" presName="rootComposite1" presStyleCnt="0"/>
      <dgm:spPr/>
    </dgm:pt>
    <dgm:pt modelId="{F0B6F898-C2CE-4086-9801-56C045DA96FA}" type="pres">
      <dgm:prSet presAssocID="{4E391C62-2DC2-4747-81CC-9DD6E02C70C5}" presName="rootText1" presStyleLbl="node0" presStyleIdx="0" presStyleCnt="1" custScaleX="128476" custScaleY="122614">
        <dgm:presLayoutVars>
          <dgm:chPref val="3"/>
        </dgm:presLayoutVars>
      </dgm:prSet>
      <dgm:spPr/>
      <dgm:t>
        <a:bodyPr/>
        <a:lstStyle/>
        <a:p>
          <a:endParaRPr lang="fr-CA"/>
        </a:p>
      </dgm:t>
    </dgm:pt>
    <dgm:pt modelId="{0AFAE519-94A3-4808-A12D-8C327BFC791D}" type="pres">
      <dgm:prSet presAssocID="{4E391C62-2DC2-4747-81CC-9DD6E02C70C5}" presName="rootConnector1" presStyleLbl="node1" presStyleIdx="0" presStyleCnt="0"/>
      <dgm:spPr/>
      <dgm:t>
        <a:bodyPr/>
        <a:lstStyle/>
        <a:p>
          <a:endParaRPr lang="fr-CA"/>
        </a:p>
      </dgm:t>
    </dgm:pt>
    <dgm:pt modelId="{1E66AE04-B440-4DBF-AA7B-624983FEBF09}" type="pres">
      <dgm:prSet presAssocID="{4E391C62-2DC2-4747-81CC-9DD6E02C70C5}" presName="hierChild2" presStyleCnt="0"/>
      <dgm:spPr/>
    </dgm:pt>
    <dgm:pt modelId="{40172A2D-3AB4-4113-A2D8-EBE0384173D4}" type="pres">
      <dgm:prSet presAssocID="{4E391C62-2DC2-4747-81CC-9DD6E02C70C5}" presName="hierChild3" presStyleCnt="0"/>
      <dgm:spPr/>
    </dgm:pt>
    <dgm:pt modelId="{C4179974-56D9-4C7F-947F-5BB845358754}" type="pres">
      <dgm:prSet presAssocID="{8782C248-EE5B-4A67-A69C-76B3FFB71913}" presName="Name111" presStyleLbl="parChTrans1D2" presStyleIdx="0" presStyleCnt="2" custSzX="858303" custSzY="530472"/>
      <dgm:spPr/>
      <dgm:t>
        <a:bodyPr/>
        <a:lstStyle/>
        <a:p>
          <a:endParaRPr lang="fr-CA"/>
        </a:p>
      </dgm:t>
    </dgm:pt>
    <dgm:pt modelId="{3A792DD8-1733-4CD3-8B70-ACB4DB920585}" type="pres">
      <dgm:prSet presAssocID="{85A81ECA-2DBE-4CC4-908D-FB6DE7E40782}" presName="hierRoot3" presStyleCnt="0">
        <dgm:presLayoutVars>
          <dgm:hierBranch val="init"/>
        </dgm:presLayoutVars>
      </dgm:prSet>
      <dgm:spPr/>
    </dgm:pt>
    <dgm:pt modelId="{B808F747-5CDD-4280-ADD5-E07B3EC8DC98}" type="pres">
      <dgm:prSet presAssocID="{85A81ECA-2DBE-4CC4-908D-FB6DE7E40782}" presName="rootComposite3" presStyleCnt="0"/>
      <dgm:spPr/>
    </dgm:pt>
    <dgm:pt modelId="{F02CC53F-F191-4DD6-865A-DD513A7BF9CF}" type="pres">
      <dgm:prSet presAssocID="{85A81ECA-2DBE-4CC4-908D-FB6DE7E40782}" presName="rootText3" presStyleLbl="asst1" presStyleIdx="0" presStyleCnt="6" custScaleX="140573" custScaleY="122614">
        <dgm:presLayoutVars>
          <dgm:chPref val="3"/>
        </dgm:presLayoutVars>
      </dgm:prSet>
      <dgm:spPr/>
      <dgm:t>
        <a:bodyPr/>
        <a:lstStyle/>
        <a:p>
          <a:endParaRPr lang="fr-CA"/>
        </a:p>
      </dgm:t>
    </dgm:pt>
    <dgm:pt modelId="{765FC16E-4076-4257-8F87-3B1980CE40CC}" type="pres">
      <dgm:prSet presAssocID="{85A81ECA-2DBE-4CC4-908D-FB6DE7E40782}" presName="rootConnector3" presStyleLbl="asst1" presStyleIdx="0" presStyleCnt="6"/>
      <dgm:spPr/>
      <dgm:t>
        <a:bodyPr/>
        <a:lstStyle/>
        <a:p>
          <a:endParaRPr lang="fr-CA"/>
        </a:p>
      </dgm:t>
    </dgm:pt>
    <dgm:pt modelId="{F365E5D8-B2EF-4DE5-BF58-E63F6FFDD7AD}" type="pres">
      <dgm:prSet presAssocID="{85A81ECA-2DBE-4CC4-908D-FB6DE7E40782}" presName="hierChild6" presStyleCnt="0"/>
      <dgm:spPr/>
    </dgm:pt>
    <dgm:pt modelId="{E695FB1C-828F-4AF3-A479-CF29C939DBEC}" type="pres">
      <dgm:prSet presAssocID="{85A81ECA-2DBE-4CC4-908D-FB6DE7E40782}" presName="hierChild7" presStyleCnt="0"/>
      <dgm:spPr/>
    </dgm:pt>
    <dgm:pt modelId="{368E5BBB-1740-4EE4-9619-9A2DEB463279}" type="pres">
      <dgm:prSet presAssocID="{9B0643FE-D70A-4D49-B299-52B1D56EF936}" presName="Name111" presStyleLbl="parChTrans1D3" presStyleIdx="0" presStyleCnt="8" custSzX="126932" custSzY="530191"/>
      <dgm:spPr/>
      <dgm:t>
        <a:bodyPr/>
        <a:lstStyle/>
        <a:p>
          <a:endParaRPr lang="fr-CA"/>
        </a:p>
      </dgm:t>
    </dgm:pt>
    <dgm:pt modelId="{BCA19602-DD55-487B-A18C-B96FAF63F5CB}" type="pres">
      <dgm:prSet presAssocID="{6D89899C-34ED-4A88-9A1B-00503F7EB41A}" presName="hierRoot3" presStyleCnt="0">
        <dgm:presLayoutVars>
          <dgm:hierBranch val="init"/>
        </dgm:presLayoutVars>
      </dgm:prSet>
      <dgm:spPr/>
    </dgm:pt>
    <dgm:pt modelId="{8FD8A507-25A4-4F6C-856D-8F0F2C4678DD}" type="pres">
      <dgm:prSet presAssocID="{6D89899C-34ED-4A88-9A1B-00503F7EB41A}" presName="rootComposite3" presStyleCnt="0"/>
      <dgm:spPr/>
    </dgm:pt>
    <dgm:pt modelId="{DAA8AC4B-80BF-442C-B67F-3344680B3838}" type="pres">
      <dgm:prSet presAssocID="{6D89899C-34ED-4A88-9A1B-00503F7EB41A}" presName="rootText3" presStyleLbl="asst1" presStyleIdx="1" presStyleCnt="6" custScaleX="128476" custScaleY="122614">
        <dgm:presLayoutVars>
          <dgm:chPref val="3"/>
        </dgm:presLayoutVars>
      </dgm:prSet>
      <dgm:spPr/>
      <dgm:t>
        <a:bodyPr/>
        <a:lstStyle/>
        <a:p>
          <a:endParaRPr lang="fr-CA"/>
        </a:p>
      </dgm:t>
    </dgm:pt>
    <dgm:pt modelId="{47F771D6-366D-4B59-A891-AB80D4C7F5B5}" type="pres">
      <dgm:prSet presAssocID="{6D89899C-34ED-4A88-9A1B-00503F7EB41A}" presName="rootConnector3" presStyleLbl="asst1" presStyleIdx="1" presStyleCnt="6"/>
      <dgm:spPr/>
      <dgm:t>
        <a:bodyPr/>
        <a:lstStyle/>
        <a:p>
          <a:endParaRPr lang="fr-CA"/>
        </a:p>
      </dgm:t>
    </dgm:pt>
    <dgm:pt modelId="{53929591-FAD6-4796-B3FE-58E03D96812A}" type="pres">
      <dgm:prSet presAssocID="{6D89899C-34ED-4A88-9A1B-00503F7EB41A}" presName="hierChild6" presStyleCnt="0"/>
      <dgm:spPr/>
    </dgm:pt>
    <dgm:pt modelId="{206C543A-8BF6-4B48-B13F-3604EB1D3AD9}" type="pres">
      <dgm:prSet presAssocID="{6D89899C-34ED-4A88-9A1B-00503F7EB41A}" presName="hierChild7" presStyleCnt="0"/>
      <dgm:spPr/>
    </dgm:pt>
    <dgm:pt modelId="{9599EAAB-357E-48C8-823C-37B6D6F69C31}" type="pres">
      <dgm:prSet presAssocID="{A0CACB0B-A7FD-4076-9992-6DB3017E2CD4}" presName="Name111" presStyleLbl="parChTrans1D3" presStyleIdx="1" presStyleCnt="8" custSzX="126932" custSzY="530191"/>
      <dgm:spPr/>
      <dgm:t>
        <a:bodyPr/>
        <a:lstStyle/>
        <a:p>
          <a:endParaRPr lang="fr-CA"/>
        </a:p>
      </dgm:t>
    </dgm:pt>
    <dgm:pt modelId="{51F319FC-EE94-4376-B9D4-B5A48B51F767}" type="pres">
      <dgm:prSet presAssocID="{C4C7C7CA-D7D3-42EA-9FF0-6BCD47F02736}" presName="hierRoot3" presStyleCnt="0">
        <dgm:presLayoutVars>
          <dgm:hierBranch val="init"/>
        </dgm:presLayoutVars>
      </dgm:prSet>
      <dgm:spPr/>
    </dgm:pt>
    <dgm:pt modelId="{E783A1E2-BCEE-42DF-997A-4BE862A0E3E1}" type="pres">
      <dgm:prSet presAssocID="{C4C7C7CA-D7D3-42EA-9FF0-6BCD47F02736}" presName="rootComposite3" presStyleCnt="0"/>
      <dgm:spPr/>
    </dgm:pt>
    <dgm:pt modelId="{0781F767-F4E6-4B73-963A-4EC747690291}" type="pres">
      <dgm:prSet presAssocID="{C4C7C7CA-D7D3-42EA-9FF0-6BCD47F02736}" presName="rootText3" presStyleLbl="asst1" presStyleIdx="2" presStyleCnt="6" custScaleX="128476" custScaleY="122614">
        <dgm:presLayoutVars>
          <dgm:chPref val="3"/>
        </dgm:presLayoutVars>
      </dgm:prSet>
      <dgm:spPr/>
      <dgm:t>
        <a:bodyPr/>
        <a:lstStyle/>
        <a:p>
          <a:endParaRPr lang="fr-CA"/>
        </a:p>
      </dgm:t>
    </dgm:pt>
    <dgm:pt modelId="{4510C231-A856-4E66-A63E-77A116B31FBB}" type="pres">
      <dgm:prSet presAssocID="{C4C7C7CA-D7D3-42EA-9FF0-6BCD47F02736}" presName="rootConnector3" presStyleLbl="asst1" presStyleIdx="2" presStyleCnt="6"/>
      <dgm:spPr/>
      <dgm:t>
        <a:bodyPr/>
        <a:lstStyle/>
        <a:p>
          <a:endParaRPr lang="fr-CA"/>
        </a:p>
      </dgm:t>
    </dgm:pt>
    <dgm:pt modelId="{2075887C-55EE-4390-A546-134C527C632C}" type="pres">
      <dgm:prSet presAssocID="{C4C7C7CA-D7D3-42EA-9FF0-6BCD47F02736}" presName="hierChild6" presStyleCnt="0"/>
      <dgm:spPr/>
    </dgm:pt>
    <dgm:pt modelId="{DCEAC919-3660-4716-84A5-2228A1DF48DA}" type="pres">
      <dgm:prSet presAssocID="{C4C7C7CA-D7D3-42EA-9FF0-6BCD47F02736}" presName="hierChild7" presStyleCnt="0"/>
      <dgm:spPr/>
    </dgm:pt>
    <dgm:pt modelId="{DA99C964-4502-4373-B273-414A3FDDA8DB}" type="pres">
      <dgm:prSet presAssocID="{D81AEBBF-2ECE-40EB-956D-556F772B0DEE}" presName="Name111" presStyleLbl="parChTrans1D3" presStyleIdx="2" presStyleCnt="8" custSzX="126932" custSzY="1348529"/>
      <dgm:spPr/>
      <dgm:t>
        <a:bodyPr/>
        <a:lstStyle/>
        <a:p>
          <a:endParaRPr lang="fr-CA"/>
        </a:p>
      </dgm:t>
    </dgm:pt>
    <dgm:pt modelId="{BECA82EE-4EBB-4D41-A2B6-D727C170B0A2}" type="pres">
      <dgm:prSet presAssocID="{36C0DF1E-7A03-49AE-8E12-7EC277F37850}" presName="hierRoot3" presStyleCnt="0">
        <dgm:presLayoutVars>
          <dgm:hierBranch val="init"/>
        </dgm:presLayoutVars>
      </dgm:prSet>
      <dgm:spPr/>
    </dgm:pt>
    <dgm:pt modelId="{9A99758D-264F-48FC-9CD2-10A10257BA8C}" type="pres">
      <dgm:prSet presAssocID="{36C0DF1E-7A03-49AE-8E12-7EC277F37850}" presName="rootComposite3" presStyleCnt="0"/>
      <dgm:spPr/>
    </dgm:pt>
    <dgm:pt modelId="{74BCC1D9-FE4D-42BA-8DA3-C04AAFE22657}" type="pres">
      <dgm:prSet presAssocID="{36C0DF1E-7A03-49AE-8E12-7EC277F37850}" presName="rootText3" presStyleLbl="asst1" presStyleIdx="3" presStyleCnt="6" custScaleX="128476" custScaleY="122614">
        <dgm:presLayoutVars>
          <dgm:chPref val="3"/>
        </dgm:presLayoutVars>
      </dgm:prSet>
      <dgm:spPr/>
      <dgm:t>
        <a:bodyPr/>
        <a:lstStyle/>
        <a:p>
          <a:endParaRPr lang="fr-CA"/>
        </a:p>
      </dgm:t>
    </dgm:pt>
    <dgm:pt modelId="{A324C815-BFC8-4361-8726-553D3DAA6362}" type="pres">
      <dgm:prSet presAssocID="{36C0DF1E-7A03-49AE-8E12-7EC277F37850}" presName="rootConnector3" presStyleLbl="asst1" presStyleIdx="3" presStyleCnt="6"/>
      <dgm:spPr/>
      <dgm:t>
        <a:bodyPr/>
        <a:lstStyle/>
        <a:p>
          <a:endParaRPr lang="fr-CA"/>
        </a:p>
      </dgm:t>
    </dgm:pt>
    <dgm:pt modelId="{DEC38B83-93C0-4F5A-8C6A-72279991D07D}" type="pres">
      <dgm:prSet presAssocID="{36C0DF1E-7A03-49AE-8E12-7EC277F37850}" presName="hierChild6" presStyleCnt="0"/>
      <dgm:spPr/>
    </dgm:pt>
    <dgm:pt modelId="{3208D212-7DDE-4B17-A999-AADB1EAC9EA9}" type="pres">
      <dgm:prSet presAssocID="{36C0DF1E-7A03-49AE-8E12-7EC277F37850}" presName="hierChild7" presStyleCnt="0"/>
      <dgm:spPr/>
    </dgm:pt>
    <dgm:pt modelId="{F275833F-18CD-4A8D-9326-B9F8C7BEE354}" type="pres">
      <dgm:prSet presAssocID="{DDC63FEC-E42A-4B57-8756-AE3DB394CC42}" presName="Name111" presStyleLbl="parChTrans1D3" presStyleIdx="3" presStyleCnt="8" custSzX="126932" custSzY="1348529"/>
      <dgm:spPr/>
      <dgm:t>
        <a:bodyPr/>
        <a:lstStyle/>
        <a:p>
          <a:endParaRPr lang="fr-CA"/>
        </a:p>
      </dgm:t>
    </dgm:pt>
    <dgm:pt modelId="{2BA221CA-686A-4FD8-9CE3-0A25E54A67C4}" type="pres">
      <dgm:prSet presAssocID="{4C94DED7-63FF-4143-9C1B-E3429DFBE0D8}" presName="hierRoot3" presStyleCnt="0">
        <dgm:presLayoutVars>
          <dgm:hierBranch val="init"/>
        </dgm:presLayoutVars>
      </dgm:prSet>
      <dgm:spPr/>
    </dgm:pt>
    <dgm:pt modelId="{9F3F7FDF-7BCF-4563-B7A4-ABA2E503294C}" type="pres">
      <dgm:prSet presAssocID="{4C94DED7-63FF-4143-9C1B-E3429DFBE0D8}" presName="rootComposite3" presStyleCnt="0"/>
      <dgm:spPr/>
    </dgm:pt>
    <dgm:pt modelId="{3E7FBC34-A93B-47BD-B407-4DFFBBC80502}" type="pres">
      <dgm:prSet presAssocID="{4C94DED7-63FF-4143-9C1B-E3429DFBE0D8}" presName="rootText3" presStyleLbl="asst1" presStyleIdx="4" presStyleCnt="6" custScaleX="128476" custScaleY="122614">
        <dgm:presLayoutVars>
          <dgm:chPref val="3"/>
        </dgm:presLayoutVars>
      </dgm:prSet>
      <dgm:spPr/>
      <dgm:t>
        <a:bodyPr/>
        <a:lstStyle/>
        <a:p>
          <a:endParaRPr lang="fr-CA"/>
        </a:p>
      </dgm:t>
    </dgm:pt>
    <dgm:pt modelId="{39DBD3E8-DAF2-4723-8334-10EAB51FB618}" type="pres">
      <dgm:prSet presAssocID="{4C94DED7-63FF-4143-9C1B-E3429DFBE0D8}" presName="rootConnector3" presStyleLbl="asst1" presStyleIdx="4" presStyleCnt="6"/>
      <dgm:spPr/>
      <dgm:t>
        <a:bodyPr/>
        <a:lstStyle/>
        <a:p>
          <a:endParaRPr lang="fr-CA"/>
        </a:p>
      </dgm:t>
    </dgm:pt>
    <dgm:pt modelId="{EE9A6CE8-47A5-48A2-A69F-2E6F5C777900}" type="pres">
      <dgm:prSet presAssocID="{4C94DED7-63FF-4143-9C1B-E3429DFBE0D8}" presName="hierChild6" presStyleCnt="0"/>
      <dgm:spPr/>
    </dgm:pt>
    <dgm:pt modelId="{A260C786-15CC-434A-901A-720EC389B48D}" type="pres">
      <dgm:prSet presAssocID="{4C94DED7-63FF-4143-9C1B-E3429DFBE0D8}" presName="hierChild7" presStyleCnt="0"/>
      <dgm:spPr/>
    </dgm:pt>
    <dgm:pt modelId="{B8C05286-CC51-435C-99F7-BDF20AEBDA72}" type="pres">
      <dgm:prSet presAssocID="{3F18B6B5-D668-4319-AE52-040761A61F12}" presName="Name111" presStyleLbl="parChTrans1D2" presStyleIdx="1" presStyleCnt="2" custSzX="126932" custSzY="530472"/>
      <dgm:spPr/>
      <dgm:t>
        <a:bodyPr/>
        <a:lstStyle/>
        <a:p>
          <a:endParaRPr lang="fr-CA"/>
        </a:p>
      </dgm:t>
    </dgm:pt>
    <dgm:pt modelId="{9101E0A8-D499-4B7C-B77E-4D7D1CE7BFC5}" type="pres">
      <dgm:prSet presAssocID="{572ADB97-852B-4DBB-8821-32310C90D818}" presName="hierRoot3" presStyleCnt="0">
        <dgm:presLayoutVars>
          <dgm:hierBranch val="init"/>
        </dgm:presLayoutVars>
      </dgm:prSet>
      <dgm:spPr/>
    </dgm:pt>
    <dgm:pt modelId="{AFC4BABB-EA03-440F-934C-695B98F44763}" type="pres">
      <dgm:prSet presAssocID="{572ADB97-852B-4DBB-8821-32310C90D818}" presName="rootComposite3" presStyleCnt="0"/>
      <dgm:spPr/>
    </dgm:pt>
    <dgm:pt modelId="{BFFD506F-71FA-47C1-B598-06D26B66DEA6}" type="pres">
      <dgm:prSet presAssocID="{572ADB97-852B-4DBB-8821-32310C90D818}" presName="rootText3" presStyleLbl="asst1" presStyleIdx="5" presStyleCnt="6" custScaleX="254932" custScaleY="122614" custLinFactNeighborX="26789" custLinFactNeighborY="0">
        <dgm:presLayoutVars>
          <dgm:chPref val="3"/>
        </dgm:presLayoutVars>
      </dgm:prSet>
      <dgm:spPr/>
      <dgm:t>
        <a:bodyPr/>
        <a:lstStyle/>
        <a:p>
          <a:endParaRPr lang="fr-CA"/>
        </a:p>
      </dgm:t>
    </dgm:pt>
    <dgm:pt modelId="{75B8130E-EE6E-4AEA-9BD1-DAA1C60B1ADA}" type="pres">
      <dgm:prSet presAssocID="{572ADB97-852B-4DBB-8821-32310C90D818}" presName="rootConnector3" presStyleLbl="asst1" presStyleIdx="5" presStyleCnt="6"/>
      <dgm:spPr/>
      <dgm:t>
        <a:bodyPr/>
        <a:lstStyle/>
        <a:p>
          <a:endParaRPr lang="fr-CA"/>
        </a:p>
      </dgm:t>
    </dgm:pt>
    <dgm:pt modelId="{187A8D5F-FB22-4B14-9415-3C7B0EB882A7}" type="pres">
      <dgm:prSet presAssocID="{572ADB97-852B-4DBB-8821-32310C90D818}" presName="hierChild6" presStyleCnt="0"/>
      <dgm:spPr/>
    </dgm:pt>
    <dgm:pt modelId="{7B2732E5-2484-41E9-9CC7-9E72CB825B57}" type="pres">
      <dgm:prSet presAssocID="{7E34CD03-8084-42AC-8E7E-FD95E2AA7A9D}" presName="Name37" presStyleLbl="parChTrans1D3" presStyleIdx="4" presStyleCnt="8" custSzX="181331" custSzY="530472"/>
      <dgm:spPr/>
      <dgm:t>
        <a:bodyPr/>
        <a:lstStyle/>
        <a:p>
          <a:endParaRPr lang="fr-CA"/>
        </a:p>
      </dgm:t>
    </dgm:pt>
    <dgm:pt modelId="{2C667CDA-39AB-4B84-9C7A-E800A8394771}" type="pres">
      <dgm:prSet presAssocID="{9F42FCBC-3440-4C67-8678-3390B7870BFD}" presName="hierRoot2" presStyleCnt="0">
        <dgm:presLayoutVars>
          <dgm:hierBranch val="init"/>
        </dgm:presLayoutVars>
      </dgm:prSet>
      <dgm:spPr/>
    </dgm:pt>
    <dgm:pt modelId="{12BDE00B-4FD9-4DB4-AD7B-E9EE7B3407F0}" type="pres">
      <dgm:prSet presAssocID="{9F42FCBC-3440-4C67-8678-3390B7870BFD}" presName="rootComposite" presStyleCnt="0"/>
      <dgm:spPr/>
    </dgm:pt>
    <dgm:pt modelId="{3D014A7C-9AA3-4045-8BB8-AC08CBD6DC16}" type="pres">
      <dgm:prSet presAssocID="{9F42FCBC-3440-4C67-8678-3390B7870BFD}" presName="rootText" presStyleLbl="node3" presStyleIdx="0" presStyleCnt="4" custScaleX="128476" custScaleY="122614">
        <dgm:presLayoutVars>
          <dgm:chPref val="3"/>
        </dgm:presLayoutVars>
      </dgm:prSet>
      <dgm:spPr/>
      <dgm:t>
        <a:bodyPr/>
        <a:lstStyle/>
        <a:p>
          <a:endParaRPr lang="fr-CA"/>
        </a:p>
      </dgm:t>
    </dgm:pt>
    <dgm:pt modelId="{25C102F9-369F-4A45-9CB0-5AF259812CF8}" type="pres">
      <dgm:prSet presAssocID="{9F42FCBC-3440-4C67-8678-3390B7870BFD}" presName="rootConnector" presStyleLbl="node3" presStyleIdx="0" presStyleCnt="4"/>
      <dgm:spPr/>
      <dgm:t>
        <a:bodyPr/>
        <a:lstStyle/>
        <a:p>
          <a:endParaRPr lang="fr-CA"/>
        </a:p>
      </dgm:t>
    </dgm:pt>
    <dgm:pt modelId="{E3D30141-F482-4BB9-A146-6668F9419F38}" type="pres">
      <dgm:prSet presAssocID="{9F42FCBC-3440-4C67-8678-3390B7870BFD}" presName="hierChild4" presStyleCnt="0"/>
      <dgm:spPr/>
    </dgm:pt>
    <dgm:pt modelId="{CE721697-D713-4E8C-A13B-AF7A1BACF03A}" type="pres">
      <dgm:prSet presAssocID="{9F42FCBC-3440-4C67-8678-3390B7870BFD}" presName="hierChild5" presStyleCnt="0"/>
      <dgm:spPr/>
    </dgm:pt>
    <dgm:pt modelId="{92AAF338-71BD-4F9A-97A0-5EB05BBF3E79}" type="pres">
      <dgm:prSet presAssocID="{70DADE75-8E03-4A61-B9A7-67A84360B64C}" presName="Name37" presStyleLbl="parChTrans1D3" presStyleIdx="5" presStyleCnt="8" custSzX="181331" custSzY="1349611"/>
      <dgm:spPr/>
      <dgm:t>
        <a:bodyPr/>
        <a:lstStyle/>
        <a:p>
          <a:endParaRPr lang="fr-CA"/>
        </a:p>
      </dgm:t>
    </dgm:pt>
    <dgm:pt modelId="{5F5F1F8F-D9DA-444E-9E5E-A099F633F1BA}" type="pres">
      <dgm:prSet presAssocID="{86E09C26-7FCB-4BE8-B13E-139AF9ABBDC1}" presName="hierRoot2" presStyleCnt="0">
        <dgm:presLayoutVars>
          <dgm:hierBranch val="init"/>
        </dgm:presLayoutVars>
      </dgm:prSet>
      <dgm:spPr/>
    </dgm:pt>
    <dgm:pt modelId="{DD17C746-793A-44B9-A94C-0C7149409B4B}" type="pres">
      <dgm:prSet presAssocID="{86E09C26-7FCB-4BE8-B13E-139AF9ABBDC1}" presName="rootComposite" presStyleCnt="0"/>
      <dgm:spPr/>
    </dgm:pt>
    <dgm:pt modelId="{A3420F93-208E-470D-B2B1-DA08642CA247}" type="pres">
      <dgm:prSet presAssocID="{86E09C26-7FCB-4BE8-B13E-139AF9ABBDC1}" presName="rootText" presStyleLbl="node3" presStyleIdx="1" presStyleCnt="4" custScaleX="128476" custScaleY="122614">
        <dgm:presLayoutVars>
          <dgm:chPref val="3"/>
        </dgm:presLayoutVars>
      </dgm:prSet>
      <dgm:spPr/>
      <dgm:t>
        <a:bodyPr/>
        <a:lstStyle/>
        <a:p>
          <a:endParaRPr lang="fr-CA"/>
        </a:p>
      </dgm:t>
    </dgm:pt>
    <dgm:pt modelId="{EB1C5502-EDCC-4613-8B01-08BBBDC6C084}" type="pres">
      <dgm:prSet presAssocID="{86E09C26-7FCB-4BE8-B13E-139AF9ABBDC1}" presName="rootConnector" presStyleLbl="node3" presStyleIdx="1" presStyleCnt="4"/>
      <dgm:spPr/>
      <dgm:t>
        <a:bodyPr/>
        <a:lstStyle/>
        <a:p>
          <a:endParaRPr lang="fr-CA"/>
        </a:p>
      </dgm:t>
    </dgm:pt>
    <dgm:pt modelId="{B33C6CDA-647E-4304-9C0B-D51C55E8DCC5}" type="pres">
      <dgm:prSet presAssocID="{86E09C26-7FCB-4BE8-B13E-139AF9ABBDC1}" presName="hierChild4" presStyleCnt="0"/>
      <dgm:spPr/>
    </dgm:pt>
    <dgm:pt modelId="{99472673-6AD8-439E-86B7-3E7EFD68FD59}" type="pres">
      <dgm:prSet presAssocID="{86E09C26-7FCB-4BE8-B13E-139AF9ABBDC1}" presName="hierChild5" presStyleCnt="0"/>
      <dgm:spPr/>
    </dgm:pt>
    <dgm:pt modelId="{1F2CE9D4-320B-4306-8C04-5D70E05E1121}" type="pres">
      <dgm:prSet presAssocID="{0F393C73-51E9-43AE-9707-523462476083}" presName="Name37" presStyleLbl="parChTrans1D3" presStyleIdx="6" presStyleCnt="8" custSzX="181331" custSzY="2168749"/>
      <dgm:spPr/>
      <dgm:t>
        <a:bodyPr/>
        <a:lstStyle/>
        <a:p>
          <a:endParaRPr lang="fr-CA"/>
        </a:p>
      </dgm:t>
    </dgm:pt>
    <dgm:pt modelId="{4D8EC718-AAF4-4355-AED2-CEE64D41E47D}" type="pres">
      <dgm:prSet presAssocID="{586E7D0C-95FB-40A4-B0ED-D34C61FC39E6}" presName="hierRoot2" presStyleCnt="0">
        <dgm:presLayoutVars>
          <dgm:hierBranch val="init"/>
        </dgm:presLayoutVars>
      </dgm:prSet>
      <dgm:spPr/>
    </dgm:pt>
    <dgm:pt modelId="{EEF2958E-F63E-427D-86A3-B8EF9B925330}" type="pres">
      <dgm:prSet presAssocID="{586E7D0C-95FB-40A4-B0ED-D34C61FC39E6}" presName="rootComposite" presStyleCnt="0"/>
      <dgm:spPr/>
    </dgm:pt>
    <dgm:pt modelId="{1C4417BD-46A6-4D43-BC1D-60FA72967F1E}" type="pres">
      <dgm:prSet presAssocID="{586E7D0C-95FB-40A4-B0ED-D34C61FC39E6}" presName="rootText" presStyleLbl="node3" presStyleIdx="2" presStyleCnt="4" custScaleX="128476" custScaleY="122614">
        <dgm:presLayoutVars>
          <dgm:chPref val="3"/>
        </dgm:presLayoutVars>
      </dgm:prSet>
      <dgm:spPr/>
      <dgm:t>
        <a:bodyPr/>
        <a:lstStyle/>
        <a:p>
          <a:endParaRPr lang="fr-CA"/>
        </a:p>
      </dgm:t>
    </dgm:pt>
    <dgm:pt modelId="{9CC4D7D5-CDC2-4749-88D2-1E9F4A6871BA}" type="pres">
      <dgm:prSet presAssocID="{586E7D0C-95FB-40A4-B0ED-D34C61FC39E6}" presName="rootConnector" presStyleLbl="node3" presStyleIdx="2" presStyleCnt="4"/>
      <dgm:spPr/>
      <dgm:t>
        <a:bodyPr/>
        <a:lstStyle/>
        <a:p>
          <a:endParaRPr lang="fr-CA"/>
        </a:p>
      </dgm:t>
    </dgm:pt>
    <dgm:pt modelId="{8C9199E3-1400-41CD-B681-1D4CA18E60E9}" type="pres">
      <dgm:prSet presAssocID="{586E7D0C-95FB-40A4-B0ED-D34C61FC39E6}" presName="hierChild4" presStyleCnt="0"/>
      <dgm:spPr/>
    </dgm:pt>
    <dgm:pt modelId="{22FD5C20-C10F-44F7-AB6B-236E95D0E463}" type="pres">
      <dgm:prSet presAssocID="{586E7D0C-95FB-40A4-B0ED-D34C61FC39E6}" presName="hierChild5" presStyleCnt="0"/>
      <dgm:spPr/>
    </dgm:pt>
    <dgm:pt modelId="{7404406A-96A5-4937-B0E8-C9F1DA14F685}" type="pres">
      <dgm:prSet presAssocID="{23E2AD6A-0D9F-4383-88EB-AC4D36FC0DDD}" presName="Name37" presStyleLbl="parChTrans1D3" presStyleIdx="7" presStyleCnt="8" custSzX="181331" custSzY="2987888"/>
      <dgm:spPr/>
      <dgm:t>
        <a:bodyPr/>
        <a:lstStyle/>
        <a:p>
          <a:endParaRPr lang="fr-CA"/>
        </a:p>
      </dgm:t>
    </dgm:pt>
    <dgm:pt modelId="{DA2C41F1-827C-4BEB-8EA1-81DE78AFD03F}" type="pres">
      <dgm:prSet presAssocID="{080F9D16-6E08-4CC2-9EA2-44EFCC7E202E}" presName="hierRoot2" presStyleCnt="0">
        <dgm:presLayoutVars>
          <dgm:hierBranch val="init"/>
        </dgm:presLayoutVars>
      </dgm:prSet>
      <dgm:spPr/>
    </dgm:pt>
    <dgm:pt modelId="{4B99C60E-0F79-4BD1-913E-37813347EF15}" type="pres">
      <dgm:prSet presAssocID="{080F9D16-6E08-4CC2-9EA2-44EFCC7E202E}" presName="rootComposite" presStyleCnt="0"/>
      <dgm:spPr/>
    </dgm:pt>
    <dgm:pt modelId="{5B77F60F-1745-4DF8-880A-FE3A39313938}" type="pres">
      <dgm:prSet presAssocID="{080F9D16-6E08-4CC2-9EA2-44EFCC7E202E}" presName="rootText" presStyleLbl="node3" presStyleIdx="3" presStyleCnt="4" custScaleX="128476" custScaleY="122614">
        <dgm:presLayoutVars>
          <dgm:chPref val="3"/>
        </dgm:presLayoutVars>
      </dgm:prSet>
      <dgm:spPr/>
      <dgm:t>
        <a:bodyPr/>
        <a:lstStyle/>
        <a:p>
          <a:endParaRPr lang="fr-CA"/>
        </a:p>
      </dgm:t>
    </dgm:pt>
    <dgm:pt modelId="{032D48BD-EF85-4C92-8DFE-887764877D9C}" type="pres">
      <dgm:prSet presAssocID="{080F9D16-6E08-4CC2-9EA2-44EFCC7E202E}" presName="rootConnector" presStyleLbl="node3" presStyleIdx="3" presStyleCnt="4"/>
      <dgm:spPr/>
      <dgm:t>
        <a:bodyPr/>
        <a:lstStyle/>
        <a:p>
          <a:endParaRPr lang="fr-CA"/>
        </a:p>
      </dgm:t>
    </dgm:pt>
    <dgm:pt modelId="{5805477D-3DE1-4313-97BF-55BA416D10EC}" type="pres">
      <dgm:prSet presAssocID="{080F9D16-6E08-4CC2-9EA2-44EFCC7E202E}" presName="hierChild4" presStyleCnt="0"/>
      <dgm:spPr/>
    </dgm:pt>
    <dgm:pt modelId="{D649A8F7-F8CB-4369-A930-EE64F39FFCF6}" type="pres">
      <dgm:prSet presAssocID="{080F9D16-6E08-4CC2-9EA2-44EFCC7E202E}" presName="hierChild5" presStyleCnt="0"/>
      <dgm:spPr/>
    </dgm:pt>
    <dgm:pt modelId="{C750A0BC-A912-4373-A585-CE49961DADFA}" type="pres">
      <dgm:prSet presAssocID="{572ADB97-852B-4DBB-8821-32310C90D818}" presName="hierChild7" presStyleCnt="0"/>
      <dgm:spPr/>
    </dgm:pt>
  </dgm:ptLst>
  <dgm:cxnLst>
    <dgm:cxn modelId="{44650C7A-9CAE-482C-A20A-5B53CC59FE07}" srcId="{7F3042D8-C5E8-4AD0-8AA5-6212FC891A4F}" destId="{4E391C62-2DC2-4747-81CC-9DD6E02C70C5}" srcOrd="0" destOrd="0" parTransId="{10936299-70BA-4F3E-A36E-B4DCC611F6C3}" sibTransId="{F6F7E5C7-E29E-4445-B054-03C8195BB8D2}"/>
    <dgm:cxn modelId="{59FD8D5F-A55B-441F-A892-1251233E0D3D}" type="presOf" srcId="{572ADB97-852B-4DBB-8821-32310C90D818}" destId="{BFFD506F-71FA-47C1-B598-06D26B66DEA6}" srcOrd="0" destOrd="0" presId="urn:microsoft.com/office/officeart/2005/8/layout/orgChart1"/>
    <dgm:cxn modelId="{0B6F7EC4-1CF2-4C6D-9197-F02368053BDF}" type="presOf" srcId="{86E09C26-7FCB-4BE8-B13E-139AF9ABBDC1}" destId="{A3420F93-208E-470D-B2B1-DA08642CA247}" srcOrd="0" destOrd="0" presId="urn:microsoft.com/office/officeart/2005/8/layout/orgChart1"/>
    <dgm:cxn modelId="{912FA3E4-2C3B-4B6A-9BE5-C0951CAD6AB0}" type="presOf" srcId="{080F9D16-6E08-4CC2-9EA2-44EFCC7E202E}" destId="{5B77F60F-1745-4DF8-880A-FE3A39313938}" srcOrd="0" destOrd="0" presId="urn:microsoft.com/office/officeart/2005/8/layout/orgChart1"/>
    <dgm:cxn modelId="{81428055-EF5A-42C0-B3C2-54FAD596DEDF}" type="presOf" srcId="{7E34CD03-8084-42AC-8E7E-FD95E2AA7A9D}" destId="{7B2732E5-2484-41E9-9CC7-9E72CB825B57}" srcOrd="0" destOrd="0" presId="urn:microsoft.com/office/officeart/2005/8/layout/orgChart1"/>
    <dgm:cxn modelId="{8C98E980-8CF5-4B6C-8F7F-F73B3E5FC6F9}" type="presOf" srcId="{86E09C26-7FCB-4BE8-B13E-139AF9ABBDC1}" destId="{EB1C5502-EDCC-4613-8B01-08BBBDC6C084}" srcOrd="1" destOrd="0" presId="urn:microsoft.com/office/officeart/2005/8/layout/orgChart1"/>
    <dgm:cxn modelId="{CE69D1D8-70D1-46C6-9163-093DE117264B}" type="presOf" srcId="{C4C7C7CA-D7D3-42EA-9FF0-6BCD47F02736}" destId="{0781F767-F4E6-4B73-963A-4EC747690291}" srcOrd="0" destOrd="0" presId="urn:microsoft.com/office/officeart/2005/8/layout/orgChart1"/>
    <dgm:cxn modelId="{F8289D3A-53A5-4384-84F0-44FD12CEB236}" srcId="{572ADB97-852B-4DBB-8821-32310C90D818}" destId="{586E7D0C-95FB-40A4-B0ED-D34C61FC39E6}" srcOrd="2" destOrd="0" parTransId="{0F393C73-51E9-43AE-9707-523462476083}" sibTransId="{A2AECDA6-2F98-4215-99B4-9CA60F8F8403}"/>
    <dgm:cxn modelId="{BD7359BE-7984-43BF-BDDC-A837DEE3450F}" srcId="{85A81ECA-2DBE-4CC4-908D-FB6DE7E40782}" destId="{C4C7C7CA-D7D3-42EA-9FF0-6BCD47F02736}" srcOrd="1" destOrd="0" parTransId="{A0CACB0B-A7FD-4076-9992-6DB3017E2CD4}" sibTransId="{3E231918-CC5C-4CF7-A8DB-9655B93CC41F}"/>
    <dgm:cxn modelId="{7200C52F-A55D-4896-8FF5-26438C5CC09C}" type="presOf" srcId="{9F42FCBC-3440-4C67-8678-3390B7870BFD}" destId="{3D014A7C-9AA3-4045-8BB8-AC08CBD6DC16}" srcOrd="0" destOrd="0" presId="urn:microsoft.com/office/officeart/2005/8/layout/orgChart1"/>
    <dgm:cxn modelId="{21554550-637C-40FB-B691-8791D53315D0}" type="presOf" srcId="{586E7D0C-95FB-40A4-B0ED-D34C61FC39E6}" destId="{9CC4D7D5-CDC2-4749-88D2-1E9F4A6871BA}" srcOrd="1" destOrd="0" presId="urn:microsoft.com/office/officeart/2005/8/layout/orgChart1"/>
    <dgm:cxn modelId="{516F2AB4-A207-4BB1-B354-53AB27ACCE16}" type="presOf" srcId="{080F9D16-6E08-4CC2-9EA2-44EFCC7E202E}" destId="{032D48BD-EF85-4C92-8DFE-887764877D9C}" srcOrd="1" destOrd="0" presId="urn:microsoft.com/office/officeart/2005/8/layout/orgChart1"/>
    <dgm:cxn modelId="{A20B7A8F-A2A1-4C5D-944D-36E216B568DB}" type="presOf" srcId="{C4C7C7CA-D7D3-42EA-9FF0-6BCD47F02736}" destId="{4510C231-A856-4E66-A63E-77A116B31FBB}" srcOrd="1" destOrd="0" presId="urn:microsoft.com/office/officeart/2005/8/layout/orgChart1"/>
    <dgm:cxn modelId="{1C5625DA-0ECA-4C11-BE24-7280E539E120}" type="presOf" srcId="{4E391C62-2DC2-4747-81CC-9DD6E02C70C5}" destId="{0AFAE519-94A3-4808-A12D-8C327BFC791D}" srcOrd="1" destOrd="0" presId="urn:microsoft.com/office/officeart/2005/8/layout/orgChart1"/>
    <dgm:cxn modelId="{5A8576E5-F016-47B2-91BB-56E6E29835EC}" type="presOf" srcId="{572ADB97-852B-4DBB-8821-32310C90D818}" destId="{75B8130E-EE6E-4AEA-9BD1-DAA1C60B1ADA}" srcOrd="1" destOrd="0" presId="urn:microsoft.com/office/officeart/2005/8/layout/orgChart1"/>
    <dgm:cxn modelId="{F60E5FD5-FAE2-4FBC-AF41-22FF2DA79D56}" srcId="{572ADB97-852B-4DBB-8821-32310C90D818}" destId="{86E09C26-7FCB-4BE8-B13E-139AF9ABBDC1}" srcOrd="1" destOrd="0" parTransId="{70DADE75-8E03-4A61-B9A7-67A84360B64C}" sibTransId="{7EC3A280-F88F-4B7C-A562-F76C086A8EC4}"/>
    <dgm:cxn modelId="{2EC07BA0-82F5-403D-A8DB-5B58EFDF262D}" srcId="{85A81ECA-2DBE-4CC4-908D-FB6DE7E40782}" destId="{36C0DF1E-7A03-49AE-8E12-7EC277F37850}" srcOrd="2" destOrd="0" parTransId="{D81AEBBF-2ECE-40EB-956D-556F772B0DEE}" sibTransId="{6CF3F2B2-5E9A-41BC-928F-8C280099E823}"/>
    <dgm:cxn modelId="{4B1484E5-8C5F-498D-964F-2494869056A5}" type="presOf" srcId="{3F18B6B5-D668-4319-AE52-040761A61F12}" destId="{B8C05286-CC51-435C-99F7-BDF20AEBDA72}" srcOrd="0" destOrd="0" presId="urn:microsoft.com/office/officeart/2005/8/layout/orgChart1"/>
    <dgm:cxn modelId="{6F038988-8A5E-4AA4-ABE3-E2E75D78C0F2}" type="presOf" srcId="{6D89899C-34ED-4A88-9A1B-00503F7EB41A}" destId="{47F771D6-366D-4B59-A891-AB80D4C7F5B5}" srcOrd="1" destOrd="0" presId="urn:microsoft.com/office/officeart/2005/8/layout/orgChart1"/>
    <dgm:cxn modelId="{8AB792C7-D57A-48E5-B0AB-E0DD27B98072}" srcId="{4E391C62-2DC2-4747-81CC-9DD6E02C70C5}" destId="{572ADB97-852B-4DBB-8821-32310C90D818}" srcOrd="1" destOrd="0" parTransId="{3F18B6B5-D668-4319-AE52-040761A61F12}" sibTransId="{86166288-0A60-436E-8A9F-92DEC15B7C6E}"/>
    <dgm:cxn modelId="{259DDFDB-37ED-4154-839E-78BD281952D1}" type="presOf" srcId="{7F3042D8-C5E8-4AD0-8AA5-6212FC891A4F}" destId="{478ECFE1-E65D-4FA8-A0CB-918D34EEB240}" srcOrd="0" destOrd="0" presId="urn:microsoft.com/office/officeart/2005/8/layout/orgChart1"/>
    <dgm:cxn modelId="{605C953F-41D7-48A2-8AE4-4FB6D1B97F31}" type="presOf" srcId="{6D89899C-34ED-4A88-9A1B-00503F7EB41A}" destId="{DAA8AC4B-80BF-442C-B67F-3344680B3838}" srcOrd="0" destOrd="0" presId="urn:microsoft.com/office/officeart/2005/8/layout/orgChart1"/>
    <dgm:cxn modelId="{36DB3370-60DA-4C00-BD97-AB296798388F}" srcId="{85A81ECA-2DBE-4CC4-908D-FB6DE7E40782}" destId="{4C94DED7-63FF-4143-9C1B-E3429DFBE0D8}" srcOrd="3" destOrd="0" parTransId="{DDC63FEC-E42A-4B57-8756-AE3DB394CC42}" sibTransId="{DFB43BD4-8861-475F-AFFA-DEFB6D07A5F1}"/>
    <dgm:cxn modelId="{CB957256-9D1C-4925-B4CF-218B9843AAD2}" type="presOf" srcId="{85A81ECA-2DBE-4CC4-908D-FB6DE7E40782}" destId="{F02CC53F-F191-4DD6-865A-DD513A7BF9CF}" srcOrd="0" destOrd="0" presId="urn:microsoft.com/office/officeart/2005/8/layout/orgChart1"/>
    <dgm:cxn modelId="{4EAE6926-46AA-481B-8AAB-77FDFC8E0F1F}" type="presOf" srcId="{586E7D0C-95FB-40A4-B0ED-D34C61FC39E6}" destId="{1C4417BD-46A6-4D43-BC1D-60FA72967F1E}" srcOrd="0" destOrd="0" presId="urn:microsoft.com/office/officeart/2005/8/layout/orgChart1"/>
    <dgm:cxn modelId="{6047D312-F995-45CC-9F43-C73BA8D2BCD0}" srcId="{572ADB97-852B-4DBB-8821-32310C90D818}" destId="{9F42FCBC-3440-4C67-8678-3390B7870BFD}" srcOrd="0" destOrd="0" parTransId="{7E34CD03-8084-42AC-8E7E-FD95E2AA7A9D}" sibTransId="{B360DAF7-8A86-4957-91A5-2114546E5994}"/>
    <dgm:cxn modelId="{89FEE940-8A3A-4BB5-9D46-6AA136DB0864}" srcId="{4E391C62-2DC2-4747-81CC-9DD6E02C70C5}" destId="{85A81ECA-2DBE-4CC4-908D-FB6DE7E40782}" srcOrd="0" destOrd="0" parTransId="{8782C248-EE5B-4A67-A69C-76B3FFB71913}" sibTransId="{5406D752-1B9E-4169-8F76-0E5937CC27F8}"/>
    <dgm:cxn modelId="{DAF61238-8D88-4501-A602-29CCC902E141}" type="presOf" srcId="{36C0DF1E-7A03-49AE-8E12-7EC277F37850}" destId="{74BCC1D9-FE4D-42BA-8DA3-C04AAFE22657}" srcOrd="0" destOrd="0" presId="urn:microsoft.com/office/officeart/2005/8/layout/orgChart1"/>
    <dgm:cxn modelId="{A6CD1388-B195-46C0-94B9-AFC491AE8799}" type="presOf" srcId="{4C94DED7-63FF-4143-9C1B-E3429DFBE0D8}" destId="{39DBD3E8-DAF2-4723-8334-10EAB51FB618}" srcOrd="1" destOrd="0" presId="urn:microsoft.com/office/officeart/2005/8/layout/orgChart1"/>
    <dgm:cxn modelId="{8E66CA97-7535-4FD1-895B-0CE99682020E}" type="presOf" srcId="{70DADE75-8E03-4A61-B9A7-67A84360B64C}" destId="{92AAF338-71BD-4F9A-97A0-5EB05BBF3E79}" srcOrd="0" destOrd="0" presId="urn:microsoft.com/office/officeart/2005/8/layout/orgChart1"/>
    <dgm:cxn modelId="{0DFA1237-EE1F-4A39-9681-D96276986F81}" type="presOf" srcId="{A0CACB0B-A7FD-4076-9992-6DB3017E2CD4}" destId="{9599EAAB-357E-48C8-823C-37B6D6F69C31}" srcOrd="0" destOrd="0" presId="urn:microsoft.com/office/officeart/2005/8/layout/orgChart1"/>
    <dgm:cxn modelId="{F5FD118F-6736-47AC-A6A7-ABD34F7403AD}" type="presOf" srcId="{D81AEBBF-2ECE-40EB-956D-556F772B0DEE}" destId="{DA99C964-4502-4373-B273-414A3FDDA8DB}" srcOrd="0" destOrd="0" presId="urn:microsoft.com/office/officeart/2005/8/layout/orgChart1"/>
    <dgm:cxn modelId="{9CA178B0-4442-45EB-B9A7-37D2FE0A53BC}" srcId="{85A81ECA-2DBE-4CC4-908D-FB6DE7E40782}" destId="{6D89899C-34ED-4A88-9A1B-00503F7EB41A}" srcOrd="0" destOrd="0" parTransId="{9B0643FE-D70A-4D49-B299-52B1D56EF936}" sibTransId="{D17252A4-5013-41F6-B149-DECA06131122}"/>
    <dgm:cxn modelId="{FA4A8B92-89B0-46D0-8B0F-295F93AACEE1}" type="presOf" srcId="{4E391C62-2DC2-4747-81CC-9DD6E02C70C5}" destId="{F0B6F898-C2CE-4086-9801-56C045DA96FA}" srcOrd="0" destOrd="0" presId="urn:microsoft.com/office/officeart/2005/8/layout/orgChart1"/>
    <dgm:cxn modelId="{EF447240-96E8-4263-A1AC-DD76ADE66C53}" type="presOf" srcId="{4C94DED7-63FF-4143-9C1B-E3429DFBE0D8}" destId="{3E7FBC34-A93B-47BD-B407-4DFFBBC80502}" srcOrd="0" destOrd="0" presId="urn:microsoft.com/office/officeart/2005/8/layout/orgChart1"/>
    <dgm:cxn modelId="{D6F1542E-DCCC-470E-8E24-2A2FC72DB610}" type="presOf" srcId="{23E2AD6A-0D9F-4383-88EB-AC4D36FC0DDD}" destId="{7404406A-96A5-4937-B0E8-C9F1DA14F685}" srcOrd="0" destOrd="0" presId="urn:microsoft.com/office/officeart/2005/8/layout/orgChart1"/>
    <dgm:cxn modelId="{C26F4AD9-2501-482D-8782-951D7424787C}" type="presOf" srcId="{8782C248-EE5B-4A67-A69C-76B3FFB71913}" destId="{C4179974-56D9-4C7F-947F-5BB845358754}" srcOrd="0" destOrd="0" presId="urn:microsoft.com/office/officeart/2005/8/layout/orgChart1"/>
    <dgm:cxn modelId="{F5BC9CB2-63C4-4D08-9FF6-A4F7ACA8E086}" type="presOf" srcId="{9B0643FE-D70A-4D49-B299-52B1D56EF936}" destId="{368E5BBB-1740-4EE4-9619-9A2DEB463279}" srcOrd="0" destOrd="0" presId="urn:microsoft.com/office/officeart/2005/8/layout/orgChart1"/>
    <dgm:cxn modelId="{3CD5C7BA-DEED-4E99-9BEE-3EA3FCC1E988}" type="presOf" srcId="{0F393C73-51E9-43AE-9707-523462476083}" destId="{1F2CE9D4-320B-4306-8C04-5D70E05E1121}" srcOrd="0" destOrd="0" presId="urn:microsoft.com/office/officeart/2005/8/layout/orgChart1"/>
    <dgm:cxn modelId="{DE306F71-1457-4881-AE19-959309EE88A5}" type="presOf" srcId="{9F42FCBC-3440-4C67-8678-3390B7870BFD}" destId="{25C102F9-369F-4A45-9CB0-5AF259812CF8}" srcOrd="1" destOrd="0" presId="urn:microsoft.com/office/officeart/2005/8/layout/orgChart1"/>
    <dgm:cxn modelId="{284336FF-10AC-4541-8CB7-658CDCC35DC5}" type="presOf" srcId="{85A81ECA-2DBE-4CC4-908D-FB6DE7E40782}" destId="{765FC16E-4076-4257-8F87-3B1980CE40CC}" srcOrd="1" destOrd="0" presId="urn:microsoft.com/office/officeart/2005/8/layout/orgChart1"/>
    <dgm:cxn modelId="{E5C6204F-BBEC-4A06-83AB-9BF3542DB2EC}" type="presOf" srcId="{36C0DF1E-7A03-49AE-8E12-7EC277F37850}" destId="{A324C815-BFC8-4361-8726-553D3DAA6362}" srcOrd="1" destOrd="0" presId="urn:microsoft.com/office/officeart/2005/8/layout/orgChart1"/>
    <dgm:cxn modelId="{D09D3934-DE35-496E-BD84-7893593B4C40}" type="presOf" srcId="{DDC63FEC-E42A-4B57-8756-AE3DB394CC42}" destId="{F275833F-18CD-4A8D-9326-B9F8C7BEE354}" srcOrd="0" destOrd="0" presId="urn:microsoft.com/office/officeart/2005/8/layout/orgChart1"/>
    <dgm:cxn modelId="{551AD251-E23A-4070-BCAE-AFEE55E16DC5}" srcId="{572ADB97-852B-4DBB-8821-32310C90D818}" destId="{080F9D16-6E08-4CC2-9EA2-44EFCC7E202E}" srcOrd="3" destOrd="0" parTransId="{23E2AD6A-0D9F-4383-88EB-AC4D36FC0DDD}" sibTransId="{18BEE971-07DD-466E-87C2-39D906D27D62}"/>
    <dgm:cxn modelId="{3F35A657-3D4C-41AE-A925-10B9F49806E0}" type="presParOf" srcId="{478ECFE1-E65D-4FA8-A0CB-918D34EEB240}" destId="{FE95447D-8C9F-4E9D-8D52-2573C7243FDD}" srcOrd="0" destOrd="0" presId="urn:microsoft.com/office/officeart/2005/8/layout/orgChart1"/>
    <dgm:cxn modelId="{F19709A6-840D-45E7-9F40-8F0AC47564D2}" type="presParOf" srcId="{FE95447D-8C9F-4E9D-8D52-2573C7243FDD}" destId="{11F28598-2AFC-457E-B254-52FE9351CAF6}" srcOrd="0" destOrd="0" presId="urn:microsoft.com/office/officeart/2005/8/layout/orgChart1"/>
    <dgm:cxn modelId="{2F901A5C-F686-4832-9C96-3F953E4D610F}" type="presParOf" srcId="{11F28598-2AFC-457E-B254-52FE9351CAF6}" destId="{F0B6F898-C2CE-4086-9801-56C045DA96FA}" srcOrd="0" destOrd="0" presId="urn:microsoft.com/office/officeart/2005/8/layout/orgChart1"/>
    <dgm:cxn modelId="{24AF129D-08FE-4F92-B124-32034636C88B}" type="presParOf" srcId="{11F28598-2AFC-457E-B254-52FE9351CAF6}" destId="{0AFAE519-94A3-4808-A12D-8C327BFC791D}" srcOrd="1" destOrd="0" presId="urn:microsoft.com/office/officeart/2005/8/layout/orgChart1"/>
    <dgm:cxn modelId="{784CF493-54FF-409E-9969-65B610D42508}" type="presParOf" srcId="{FE95447D-8C9F-4E9D-8D52-2573C7243FDD}" destId="{1E66AE04-B440-4DBF-AA7B-624983FEBF09}" srcOrd="1" destOrd="0" presId="urn:microsoft.com/office/officeart/2005/8/layout/orgChart1"/>
    <dgm:cxn modelId="{EB489293-154D-4295-8287-EAC8066182B0}" type="presParOf" srcId="{FE95447D-8C9F-4E9D-8D52-2573C7243FDD}" destId="{40172A2D-3AB4-4113-A2D8-EBE0384173D4}" srcOrd="2" destOrd="0" presId="urn:microsoft.com/office/officeart/2005/8/layout/orgChart1"/>
    <dgm:cxn modelId="{40DA70A4-26F3-48D0-9F56-C82746528A1E}" type="presParOf" srcId="{40172A2D-3AB4-4113-A2D8-EBE0384173D4}" destId="{C4179974-56D9-4C7F-947F-5BB845358754}" srcOrd="0" destOrd="0" presId="urn:microsoft.com/office/officeart/2005/8/layout/orgChart1"/>
    <dgm:cxn modelId="{F44D5668-C789-4179-BF3B-5746ACB3EBDC}" type="presParOf" srcId="{40172A2D-3AB4-4113-A2D8-EBE0384173D4}" destId="{3A792DD8-1733-4CD3-8B70-ACB4DB920585}" srcOrd="1" destOrd="0" presId="urn:microsoft.com/office/officeart/2005/8/layout/orgChart1"/>
    <dgm:cxn modelId="{42CDF08A-13EC-455D-B6A4-671662EE293A}" type="presParOf" srcId="{3A792DD8-1733-4CD3-8B70-ACB4DB920585}" destId="{B808F747-5CDD-4280-ADD5-E07B3EC8DC98}" srcOrd="0" destOrd="0" presId="urn:microsoft.com/office/officeart/2005/8/layout/orgChart1"/>
    <dgm:cxn modelId="{1ADB6E18-7CEF-4FD6-B654-6699102020CA}" type="presParOf" srcId="{B808F747-5CDD-4280-ADD5-E07B3EC8DC98}" destId="{F02CC53F-F191-4DD6-865A-DD513A7BF9CF}" srcOrd="0" destOrd="0" presId="urn:microsoft.com/office/officeart/2005/8/layout/orgChart1"/>
    <dgm:cxn modelId="{5FA342B9-CC20-4354-B013-A66E011F66A7}" type="presParOf" srcId="{B808F747-5CDD-4280-ADD5-E07B3EC8DC98}" destId="{765FC16E-4076-4257-8F87-3B1980CE40CC}" srcOrd="1" destOrd="0" presId="urn:microsoft.com/office/officeart/2005/8/layout/orgChart1"/>
    <dgm:cxn modelId="{EC981F12-7A91-4311-9FDD-FA3C2D7D0489}" type="presParOf" srcId="{3A792DD8-1733-4CD3-8B70-ACB4DB920585}" destId="{F365E5D8-B2EF-4DE5-BF58-E63F6FFDD7AD}" srcOrd="1" destOrd="0" presId="urn:microsoft.com/office/officeart/2005/8/layout/orgChart1"/>
    <dgm:cxn modelId="{84F01CB5-9A41-4D31-84C4-2E63A99EE9CD}" type="presParOf" srcId="{3A792DD8-1733-4CD3-8B70-ACB4DB920585}" destId="{E695FB1C-828F-4AF3-A479-CF29C939DBEC}" srcOrd="2" destOrd="0" presId="urn:microsoft.com/office/officeart/2005/8/layout/orgChart1"/>
    <dgm:cxn modelId="{27E9FCA7-07EE-4D7A-83A8-0C83EF948DD4}" type="presParOf" srcId="{E695FB1C-828F-4AF3-A479-CF29C939DBEC}" destId="{368E5BBB-1740-4EE4-9619-9A2DEB463279}" srcOrd="0" destOrd="0" presId="urn:microsoft.com/office/officeart/2005/8/layout/orgChart1"/>
    <dgm:cxn modelId="{E50312CD-AECB-46F5-89E9-88196646D0F1}" type="presParOf" srcId="{E695FB1C-828F-4AF3-A479-CF29C939DBEC}" destId="{BCA19602-DD55-487B-A18C-B96FAF63F5CB}" srcOrd="1" destOrd="0" presId="urn:microsoft.com/office/officeart/2005/8/layout/orgChart1"/>
    <dgm:cxn modelId="{E406E84C-D52C-4347-B2B9-F6B08A835075}" type="presParOf" srcId="{BCA19602-DD55-487B-A18C-B96FAF63F5CB}" destId="{8FD8A507-25A4-4F6C-856D-8F0F2C4678DD}" srcOrd="0" destOrd="0" presId="urn:microsoft.com/office/officeart/2005/8/layout/orgChart1"/>
    <dgm:cxn modelId="{24FE303E-9772-4E00-BBC1-CF7F7F0794E4}" type="presParOf" srcId="{8FD8A507-25A4-4F6C-856D-8F0F2C4678DD}" destId="{DAA8AC4B-80BF-442C-B67F-3344680B3838}" srcOrd="0" destOrd="0" presId="urn:microsoft.com/office/officeart/2005/8/layout/orgChart1"/>
    <dgm:cxn modelId="{62CACACB-1DCC-4BAF-BA6A-C3706B05B2F8}" type="presParOf" srcId="{8FD8A507-25A4-4F6C-856D-8F0F2C4678DD}" destId="{47F771D6-366D-4B59-A891-AB80D4C7F5B5}" srcOrd="1" destOrd="0" presId="urn:microsoft.com/office/officeart/2005/8/layout/orgChart1"/>
    <dgm:cxn modelId="{4E0D8636-86B9-4409-B4BE-B4502F65458E}" type="presParOf" srcId="{BCA19602-DD55-487B-A18C-B96FAF63F5CB}" destId="{53929591-FAD6-4796-B3FE-58E03D96812A}" srcOrd="1" destOrd="0" presId="urn:microsoft.com/office/officeart/2005/8/layout/orgChart1"/>
    <dgm:cxn modelId="{E8686E1E-6D80-4153-BD32-826324C6E725}" type="presParOf" srcId="{BCA19602-DD55-487B-A18C-B96FAF63F5CB}" destId="{206C543A-8BF6-4B48-B13F-3604EB1D3AD9}" srcOrd="2" destOrd="0" presId="urn:microsoft.com/office/officeart/2005/8/layout/orgChart1"/>
    <dgm:cxn modelId="{F370261B-25DC-437D-9C4A-51EF8C435EDC}" type="presParOf" srcId="{E695FB1C-828F-4AF3-A479-CF29C939DBEC}" destId="{9599EAAB-357E-48C8-823C-37B6D6F69C31}" srcOrd="2" destOrd="0" presId="urn:microsoft.com/office/officeart/2005/8/layout/orgChart1"/>
    <dgm:cxn modelId="{0613FDA4-6FA2-454B-AB8E-9E39C3F458D2}" type="presParOf" srcId="{E695FB1C-828F-4AF3-A479-CF29C939DBEC}" destId="{51F319FC-EE94-4376-B9D4-B5A48B51F767}" srcOrd="3" destOrd="0" presId="urn:microsoft.com/office/officeart/2005/8/layout/orgChart1"/>
    <dgm:cxn modelId="{A5F175BF-A8C5-4F5E-A28C-3734862BF078}" type="presParOf" srcId="{51F319FC-EE94-4376-B9D4-B5A48B51F767}" destId="{E783A1E2-BCEE-42DF-997A-4BE862A0E3E1}" srcOrd="0" destOrd="0" presId="urn:microsoft.com/office/officeart/2005/8/layout/orgChart1"/>
    <dgm:cxn modelId="{9414780B-C646-41C7-A207-162D3451A80D}" type="presParOf" srcId="{E783A1E2-BCEE-42DF-997A-4BE862A0E3E1}" destId="{0781F767-F4E6-4B73-963A-4EC747690291}" srcOrd="0" destOrd="0" presId="urn:microsoft.com/office/officeart/2005/8/layout/orgChart1"/>
    <dgm:cxn modelId="{F1116EFB-39B0-4245-8146-F853B9ABAE49}" type="presParOf" srcId="{E783A1E2-BCEE-42DF-997A-4BE862A0E3E1}" destId="{4510C231-A856-4E66-A63E-77A116B31FBB}" srcOrd="1" destOrd="0" presId="urn:microsoft.com/office/officeart/2005/8/layout/orgChart1"/>
    <dgm:cxn modelId="{A07B7AE5-8EB7-48B6-BC0D-9D11DF8AD97A}" type="presParOf" srcId="{51F319FC-EE94-4376-B9D4-B5A48B51F767}" destId="{2075887C-55EE-4390-A546-134C527C632C}" srcOrd="1" destOrd="0" presId="urn:microsoft.com/office/officeart/2005/8/layout/orgChart1"/>
    <dgm:cxn modelId="{5E23FE6F-9C38-4EA6-AF73-193F88EBDD60}" type="presParOf" srcId="{51F319FC-EE94-4376-B9D4-B5A48B51F767}" destId="{DCEAC919-3660-4716-84A5-2228A1DF48DA}" srcOrd="2" destOrd="0" presId="urn:microsoft.com/office/officeart/2005/8/layout/orgChart1"/>
    <dgm:cxn modelId="{B8BC22BA-345A-498C-B182-453227B326A6}" type="presParOf" srcId="{E695FB1C-828F-4AF3-A479-CF29C939DBEC}" destId="{DA99C964-4502-4373-B273-414A3FDDA8DB}" srcOrd="4" destOrd="0" presId="urn:microsoft.com/office/officeart/2005/8/layout/orgChart1"/>
    <dgm:cxn modelId="{1C193696-C0C7-4826-A18A-F36B89377C1A}" type="presParOf" srcId="{E695FB1C-828F-4AF3-A479-CF29C939DBEC}" destId="{BECA82EE-4EBB-4D41-A2B6-D727C170B0A2}" srcOrd="5" destOrd="0" presId="urn:microsoft.com/office/officeart/2005/8/layout/orgChart1"/>
    <dgm:cxn modelId="{9923FC25-11FE-4758-A96F-D6313F8D731A}" type="presParOf" srcId="{BECA82EE-4EBB-4D41-A2B6-D727C170B0A2}" destId="{9A99758D-264F-48FC-9CD2-10A10257BA8C}" srcOrd="0" destOrd="0" presId="urn:microsoft.com/office/officeart/2005/8/layout/orgChart1"/>
    <dgm:cxn modelId="{D340984A-8F97-4CFB-9EA2-8D6A1239FD55}" type="presParOf" srcId="{9A99758D-264F-48FC-9CD2-10A10257BA8C}" destId="{74BCC1D9-FE4D-42BA-8DA3-C04AAFE22657}" srcOrd="0" destOrd="0" presId="urn:microsoft.com/office/officeart/2005/8/layout/orgChart1"/>
    <dgm:cxn modelId="{2DAC96CE-14CA-4E02-B8CF-D380B22A88F6}" type="presParOf" srcId="{9A99758D-264F-48FC-9CD2-10A10257BA8C}" destId="{A324C815-BFC8-4361-8726-553D3DAA6362}" srcOrd="1" destOrd="0" presId="urn:microsoft.com/office/officeart/2005/8/layout/orgChart1"/>
    <dgm:cxn modelId="{485669AC-6721-4CE3-8177-3D2AA692395B}" type="presParOf" srcId="{BECA82EE-4EBB-4D41-A2B6-D727C170B0A2}" destId="{DEC38B83-93C0-4F5A-8C6A-72279991D07D}" srcOrd="1" destOrd="0" presId="urn:microsoft.com/office/officeart/2005/8/layout/orgChart1"/>
    <dgm:cxn modelId="{C0AFCF86-DE61-4116-86DA-1ADE11D61F94}" type="presParOf" srcId="{BECA82EE-4EBB-4D41-A2B6-D727C170B0A2}" destId="{3208D212-7DDE-4B17-A999-AADB1EAC9EA9}" srcOrd="2" destOrd="0" presId="urn:microsoft.com/office/officeart/2005/8/layout/orgChart1"/>
    <dgm:cxn modelId="{3FE47046-26A9-4851-9F25-C67B171AC4B7}" type="presParOf" srcId="{E695FB1C-828F-4AF3-A479-CF29C939DBEC}" destId="{F275833F-18CD-4A8D-9326-B9F8C7BEE354}" srcOrd="6" destOrd="0" presId="urn:microsoft.com/office/officeart/2005/8/layout/orgChart1"/>
    <dgm:cxn modelId="{B88A50BC-EFD1-432F-8F6B-BE3389F12125}" type="presParOf" srcId="{E695FB1C-828F-4AF3-A479-CF29C939DBEC}" destId="{2BA221CA-686A-4FD8-9CE3-0A25E54A67C4}" srcOrd="7" destOrd="0" presId="urn:microsoft.com/office/officeart/2005/8/layout/orgChart1"/>
    <dgm:cxn modelId="{058EDE6A-B95F-41C7-95C1-DE4E0D742D2D}" type="presParOf" srcId="{2BA221CA-686A-4FD8-9CE3-0A25E54A67C4}" destId="{9F3F7FDF-7BCF-4563-B7A4-ABA2E503294C}" srcOrd="0" destOrd="0" presId="urn:microsoft.com/office/officeart/2005/8/layout/orgChart1"/>
    <dgm:cxn modelId="{027D0BC4-A0A5-4288-819E-931F593E77BE}" type="presParOf" srcId="{9F3F7FDF-7BCF-4563-B7A4-ABA2E503294C}" destId="{3E7FBC34-A93B-47BD-B407-4DFFBBC80502}" srcOrd="0" destOrd="0" presId="urn:microsoft.com/office/officeart/2005/8/layout/orgChart1"/>
    <dgm:cxn modelId="{DEE1D48F-6F44-4FE8-A763-B309699321F7}" type="presParOf" srcId="{9F3F7FDF-7BCF-4563-B7A4-ABA2E503294C}" destId="{39DBD3E8-DAF2-4723-8334-10EAB51FB618}" srcOrd="1" destOrd="0" presId="urn:microsoft.com/office/officeart/2005/8/layout/orgChart1"/>
    <dgm:cxn modelId="{C15D5A45-1331-49D6-BB0E-148F51C4884B}" type="presParOf" srcId="{2BA221CA-686A-4FD8-9CE3-0A25E54A67C4}" destId="{EE9A6CE8-47A5-48A2-A69F-2E6F5C777900}" srcOrd="1" destOrd="0" presId="urn:microsoft.com/office/officeart/2005/8/layout/orgChart1"/>
    <dgm:cxn modelId="{E1D33832-CD39-4B22-BEEC-6EBC8D1BC50B}" type="presParOf" srcId="{2BA221CA-686A-4FD8-9CE3-0A25E54A67C4}" destId="{A260C786-15CC-434A-901A-720EC389B48D}" srcOrd="2" destOrd="0" presId="urn:microsoft.com/office/officeart/2005/8/layout/orgChart1"/>
    <dgm:cxn modelId="{F912613E-FEFE-41E9-B9F7-FA86A40B1420}" type="presParOf" srcId="{40172A2D-3AB4-4113-A2D8-EBE0384173D4}" destId="{B8C05286-CC51-435C-99F7-BDF20AEBDA72}" srcOrd="2" destOrd="0" presId="urn:microsoft.com/office/officeart/2005/8/layout/orgChart1"/>
    <dgm:cxn modelId="{CB4A7C89-9843-47C1-9699-C9D7C6009E98}" type="presParOf" srcId="{40172A2D-3AB4-4113-A2D8-EBE0384173D4}" destId="{9101E0A8-D499-4B7C-B77E-4D7D1CE7BFC5}" srcOrd="3" destOrd="0" presId="urn:microsoft.com/office/officeart/2005/8/layout/orgChart1"/>
    <dgm:cxn modelId="{9D2069D5-B32E-4284-A9BB-868CC2003034}" type="presParOf" srcId="{9101E0A8-D499-4B7C-B77E-4D7D1CE7BFC5}" destId="{AFC4BABB-EA03-440F-934C-695B98F44763}" srcOrd="0" destOrd="0" presId="urn:microsoft.com/office/officeart/2005/8/layout/orgChart1"/>
    <dgm:cxn modelId="{DFB41BF5-6434-48D4-B58C-61473A49A178}" type="presParOf" srcId="{AFC4BABB-EA03-440F-934C-695B98F44763}" destId="{BFFD506F-71FA-47C1-B598-06D26B66DEA6}" srcOrd="0" destOrd="0" presId="urn:microsoft.com/office/officeart/2005/8/layout/orgChart1"/>
    <dgm:cxn modelId="{D4DF4A05-CD13-4EFF-AA51-BE58EE690C6F}" type="presParOf" srcId="{AFC4BABB-EA03-440F-934C-695B98F44763}" destId="{75B8130E-EE6E-4AEA-9BD1-DAA1C60B1ADA}" srcOrd="1" destOrd="0" presId="urn:microsoft.com/office/officeart/2005/8/layout/orgChart1"/>
    <dgm:cxn modelId="{FED653D3-48D4-4CCD-A68F-9D1E8833C112}" type="presParOf" srcId="{9101E0A8-D499-4B7C-B77E-4D7D1CE7BFC5}" destId="{187A8D5F-FB22-4B14-9415-3C7B0EB882A7}" srcOrd="1" destOrd="0" presId="urn:microsoft.com/office/officeart/2005/8/layout/orgChart1"/>
    <dgm:cxn modelId="{4D787721-AF95-4335-9294-395B49211F5C}" type="presParOf" srcId="{187A8D5F-FB22-4B14-9415-3C7B0EB882A7}" destId="{7B2732E5-2484-41E9-9CC7-9E72CB825B57}" srcOrd="0" destOrd="0" presId="urn:microsoft.com/office/officeart/2005/8/layout/orgChart1"/>
    <dgm:cxn modelId="{9DC998BE-BDD3-4273-88A2-192421E46C8E}" type="presParOf" srcId="{187A8D5F-FB22-4B14-9415-3C7B0EB882A7}" destId="{2C667CDA-39AB-4B84-9C7A-E800A8394771}" srcOrd="1" destOrd="0" presId="urn:microsoft.com/office/officeart/2005/8/layout/orgChart1"/>
    <dgm:cxn modelId="{8E448D90-80DB-4FA6-8788-DCA663CF1449}" type="presParOf" srcId="{2C667CDA-39AB-4B84-9C7A-E800A8394771}" destId="{12BDE00B-4FD9-4DB4-AD7B-E9EE7B3407F0}" srcOrd="0" destOrd="0" presId="urn:microsoft.com/office/officeart/2005/8/layout/orgChart1"/>
    <dgm:cxn modelId="{2F8B70E7-955E-445E-A136-067C39388CFF}" type="presParOf" srcId="{12BDE00B-4FD9-4DB4-AD7B-E9EE7B3407F0}" destId="{3D014A7C-9AA3-4045-8BB8-AC08CBD6DC16}" srcOrd="0" destOrd="0" presId="urn:microsoft.com/office/officeart/2005/8/layout/orgChart1"/>
    <dgm:cxn modelId="{246914D8-AD30-4C75-826B-966ECF38671B}" type="presParOf" srcId="{12BDE00B-4FD9-4DB4-AD7B-E9EE7B3407F0}" destId="{25C102F9-369F-4A45-9CB0-5AF259812CF8}" srcOrd="1" destOrd="0" presId="urn:microsoft.com/office/officeart/2005/8/layout/orgChart1"/>
    <dgm:cxn modelId="{80008DDA-839E-4768-BC5B-86321C7F96AF}" type="presParOf" srcId="{2C667CDA-39AB-4B84-9C7A-E800A8394771}" destId="{E3D30141-F482-4BB9-A146-6668F9419F38}" srcOrd="1" destOrd="0" presId="urn:microsoft.com/office/officeart/2005/8/layout/orgChart1"/>
    <dgm:cxn modelId="{A70C16AB-F299-46A7-9554-1D0E4C26CB7E}" type="presParOf" srcId="{2C667CDA-39AB-4B84-9C7A-E800A8394771}" destId="{CE721697-D713-4E8C-A13B-AF7A1BACF03A}" srcOrd="2" destOrd="0" presId="urn:microsoft.com/office/officeart/2005/8/layout/orgChart1"/>
    <dgm:cxn modelId="{A5FBE182-6B71-48B3-8451-10673BA7673E}" type="presParOf" srcId="{187A8D5F-FB22-4B14-9415-3C7B0EB882A7}" destId="{92AAF338-71BD-4F9A-97A0-5EB05BBF3E79}" srcOrd="2" destOrd="0" presId="urn:microsoft.com/office/officeart/2005/8/layout/orgChart1"/>
    <dgm:cxn modelId="{9B597781-BB85-4434-9787-E15D20B12EEC}" type="presParOf" srcId="{187A8D5F-FB22-4B14-9415-3C7B0EB882A7}" destId="{5F5F1F8F-D9DA-444E-9E5E-A099F633F1BA}" srcOrd="3" destOrd="0" presId="urn:microsoft.com/office/officeart/2005/8/layout/orgChart1"/>
    <dgm:cxn modelId="{FC976981-48C2-47C9-881F-E0F2FC095E1E}" type="presParOf" srcId="{5F5F1F8F-D9DA-444E-9E5E-A099F633F1BA}" destId="{DD17C746-793A-44B9-A94C-0C7149409B4B}" srcOrd="0" destOrd="0" presId="urn:microsoft.com/office/officeart/2005/8/layout/orgChart1"/>
    <dgm:cxn modelId="{1F40BC89-77A3-47A9-BA05-2A37AEB78601}" type="presParOf" srcId="{DD17C746-793A-44B9-A94C-0C7149409B4B}" destId="{A3420F93-208E-470D-B2B1-DA08642CA247}" srcOrd="0" destOrd="0" presId="urn:microsoft.com/office/officeart/2005/8/layout/orgChart1"/>
    <dgm:cxn modelId="{DA30D485-2992-42CC-86B9-EE42392CAD04}" type="presParOf" srcId="{DD17C746-793A-44B9-A94C-0C7149409B4B}" destId="{EB1C5502-EDCC-4613-8B01-08BBBDC6C084}" srcOrd="1" destOrd="0" presId="urn:microsoft.com/office/officeart/2005/8/layout/orgChart1"/>
    <dgm:cxn modelId="{74C7BC86-1558-476C-8F85-D1E0935DB8E6}" type="presParOf" srcId="{5F5F1F8F-D9DA-444E-9E5E-A099F633F1BA}" destId="{B33C6CDA-647E-4304-9C0B-D51C55E8DCC5}" srcOrd="1" destOrd="0" presId="urn:microsoft.com/office/officeart/2005/8/layout/orgChart1"/>
    <dgm:cxn modelId="{8B29C16D-5AF8-41A2-A123-C26825DD2275}" type="presParOf" srcId="{5F5F1F8F-D9DA-444E-9E5E-A099F633F1BA}" destId="{99472673-6AD8-439E-86B7-3E7EFD68FD59}" srcOrd="2" destOrd="0" presId="urn:microsoft.com/office/officeart/2005/8/layout/orgChart1"/>
    <dgm:cxn modelId="{6DD84E7D-AAFC-48F0-80D8-484D999C8237}" type="presParOf" srcId="{187A8D5F-FB22-4B14-9415-3C7B0EB882A7}" destId="{1F2CE9D4-320B-4306-8C04-5D70E05E1121}" srcOrd="4" destOrd="0" presId="urn:microsoft.com/office/officeart/2005/8/layout/orgChart1"/>
    <dgm:cxn modelId="{095AECE3-A2A5-4833-AF3A-95BB3802E012}" type="presParOf" srcId="{187A8D5F-FB22-4B14-9415-3C7B0EB882A7}" destId="{4D8EC718-AAF4-4355-AED2-CEE64D41E47D}" srcOrd="5" destOrd="0" presId="urn:microsoft.com/office/officeart/2005/8/layout/orgChart1"/>
    <dgm:cxn modelId="{FE62C45C-FA8F-4A2F-ACAD-92F0E866A7F1}" type="presParOf" srcId="{4D8EC718-AAF4-4355-AED2-CEE64D41E47D}" destId="{EEF2958E-F63E-427D-86A3-B8EF9B925330}" srcOrd="0" destOrd="0" presId="urn:microsoft.com/office/officeart/2005/8/layout/orgChart1"/>
    <dgm:cxn modelId="{3536FA07-E3C3-4DEA-A0DC-5D0F3CFDCB6C}" type="presParOf" srcId="{EEF2958E-F63E-427D-86A3-B8EF9B925330}" destId="{1C4417BD-46A6-4D43-BC1D-60FA72967F1E}" srcOrd="0" destOrd="0" presId="urn:microsoft.com/office/officeart/2005/8/layout/orgChart1"/>
    <dgm:cxn modelId="{F273E615-F7CE-43AB-A8F4-865396B9B601}" type="presParOf" srcId="{EEF2958E-F63E-427D-86A3-B8EF9B925330}" destId="{9CC4D7D5-CDC2-4749-88D2-1E9F4A6871BA}" srcOrd="1" destOrd="0" presId="urn:microsoft.com/office/officeart/2005/8/layout/orgChart1"/>
    <dgm:cxn modelId="{BA52960B-9494-4EE5-B2D1-37DA02579CD6}" type="presParOf" srcId="{4D8EC718-AAF4-4355-AED2-CEE64D41E47D}" destId="{8C9199E3-1400-41CD-B681-1D4CA18E60E9}" srcOrd="1" destOrd="0" presId="urn:microsoft.com/office/officeart/2005/8/layout/orgChart1"/>
    <dgm:cxn modelId="{6525AF2B-C673-4E12-88C3-2A3C8A7B1861}" type="presParOf" srcId="{4D8EC718-AAF4-4355-AED2-CEE64D41E47D}" destId="{22FD5C20-C10F-44F7-AB6B-236E95D0E463}" srcOrd="2" destOrd="0" presId="urn:microsoft.com/office/officeart/2005/8/layout/orgChart1"/>
    <dgm:cxn modelId="{F0708070-3F4D-40D3-842C-FFD72B8E7769}" type="presParOf" srcId="{187A8D5F-FB22-4B14-9415-3C7B0EB882A7}" destId="{7404406A-96A5-4937-B0E8-C9F1DA14F685}" srcOrd="6" destOrd="0" presId="urn:microsoft.com/office/officeart/2005/8/layout/orgChart1"/>
    <dgm:cxn modelId="{3E626660-3888-44CA-B9F7-BDB4FFFFD2D1}" type="presParOf" srcId="{187A8D5F-FB22-4B14-9415-3C7B0EB882A7}" destId="{DA2C41F1-827C-4BEB-8EA1-81DE78AFD03F}" srcOrd="7" destOrd="0" presId="urn:microsoft.com/office/officeart/2005/8/layout/orgChart1"/>
    <dgm:cxn modelId="{4498A50D-7D52-463E-A10D-35EAC3E0399F}" type="presParOf" srcId="{DA2C41F1-827C-4BEB-8EA1-81DE78AFD03F}" destId="{4B99C60E-0F79-4BD1-913E-37813347EF15}" srcOrd="0" destOrd="0" presId="urn:microsoft.com/office/officeart/2005/8/layout/orgChart1"/>
    <dgm:cxn modelId="{1507BDD3-7F10-40BE-B004-BD728B1E8E52}" type="presParOf" srcId="{4B99C60E-0F79-4BD1-913E-37813347EF15}" destId="{5B77F60F-1745-4DF8-880A-FE3A39313938}" srcOrd="0" destOrd="0" presId="urn:microsoft.com/office/officeart/2005/8/layout/orgChart1"/>
    <dgm:cxn modelId="{6C4B4321-4C4C-4231-BFF9-71BDA41E0426}" type="presParOf" srcId="{4B99C60E-0F79-4BD1-913E-37813347EF15}" destId="{032D48BD-EF85-4C92-8DFE-887764877D9C}" srcOrd="1" destOrd="0" presId="urn:microsoft.com/office/officeart/2005/8/layout/orgChart1"/>
    <dgm:cxn modelId="{1A57EAD6-9DC6-484A-8F0A-6D69C46576B0}" type="presParOf" srcId="{DA2C41F1-827C-4BEB-8EA1-81DE78AFD03F}" destId="{5805477D-3DE1-4313-97BF-55BA416D10EC}" srcOrd="1" destOrd="0" presId="urn:microsoft.com/office/officeart/2005/8/layout/orgChart1"/>
    <dgm:cxn modelId="{94EF19D4-3682-4CCE-B05B-4EBB8B1AA640}" type="presParOf" srcId="{DA2C41F1-827C-4BEB-8EA1-81DE78AFD03F}" destId="{D649A8F7-F8CB-4369-A930-EE64F39FFCF6}" srcOrd="2" destOrd="0" presId="urn:microsoft.com/office/officeart/2005/8/layout/orgChart1"/>
    <dgm:cxn modelId="{BA6A1A4A-BFA2-47C2-A77C-97A24D7C0569}" type="presParOf" srcId="{9101E0A8-D499-4B7C-B77E-4D7D1CE7BFC5}" destId="{C750A0BC-A912-4373-A585-CE49961DADFA}" srcOrd="2" destOrd="0" presId="urn:microsoft.com/office/officeart/2005/8/layout/orgChart1"/>
  </dgm:cxnLst>
  <dgm:bg/>
  <dgm:whole/>
  <dgm:extLst>
    <a:ext uri="http://schemas.microsoft.com/office/drawing/2008/diagram">
      <dsp:dataModelExt xmlns:dsp="http://schemas.microsoft.com/office/drawing/2008/diagram" xmlns="" relId="rId4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F3042D8-C5E8-4AD0-8AA5-6212FC891A4F}"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fr-CA"/>
        </a:p>
      </dgm:t>
    </dgm:pt>
    <dgm:pt modelId="{4E391C62-2DC2-4747-81CC-9DD6E02C70C5}">
      <dgm:prSet phldrT="[Texte]" custT="1"/>
      <dgm:spPr>
        <a:noFill/>
        <a:ln>
          <a:solidFill>
            <a:schemeClr val="bg1">
              <a:lumMod val="65000"/>
            </a:schemeClr>
          </a:solidFill>
        </a:ln>
      </dgm:spPr>
      <dgm:t>
        <a:bodyPr/>
        <a:lstStyle/>
        <a:p>
          <a:r>
            <a:rPr lang="fr-CA" sz="900" b="0">
              <a:solidFill>
                <a:sysClr val="windowText" lastClr="000000"/>
              </a:solidFill>
            </a:rPr>
            <a:t>UQTR</a:t>
          </a:r>
        </a:p>
      </dgm:t>
    </dgm:pt>
    <dgm:pt modelId="{10936299-70BA-4F3E-A36E-B4DCC611F6C3}" type="parTrans" cxnId="{44650C7A-9CAE-482C-A20A-5B53CC59FE07}">
      <dgm:prSet/>
      <dgm:spPr/>
      <dgm:t>
        <a:bodyPr/>
        <a:lstStyle/>
        <a:p>
          <a:endParaRPr lang="fr-CA" sz="1000" b="0">
            <a:solidFill>
              <a:sysClr val="windowText" lastClr="000000"/>
            </a:solidFill>
          </a:endParaRPr>
        </a:p>
      </dgm:t>
    </dgm:pt>
    <dgm:pt modelId="{F6F7E5C7-E29E-4445-B054-03C8195BB8D2}" type="sibTrans" cxnId="{44650C7A-9CAE-482C-A20A-5B53CC59FE07}">
      <dgm:prSet/>
      <dgm:spPr/>
      <dgm:t>
        <a:bodyPr/>
        <a:lstStyle/>
        <a:p>
          <a:endParaRPr lang="fr-CA" sz="1000" b="0">
            <a:solidFill>
              <a:sysClr val="windowText" lastClr="000000"/>
            </a:solidFill>
          </a:endParaRPr>
        </a:p>
      </dgm:t>
    </dgm:pt>
    <dgm:pt modelId="{85A81ECA-2DBE-4CC4-908D-FB6DE7E40782}" type="asst">
      <dgm:prSet phldrT="[Texte]" custT="1"/>
      <dgm:spPr>
        <a:noFill/>
        <a:ln>
          <a:solidFill>
            <a:schemeClr val="bg1">
              <a:lumMod val="65000"/>
            </a:schemeClr>
          </a:solidFill>
        </a:ln>
      </dgm:spPr>
      <dgm:t>
        <a:bodyPr/>
        <a:lstStyle/>
        <a:p>
          <a:r>
            <a:rPr lang="fr-CA" sz="900" b="0">
              <a:solidFill>
                <a:sysClr val="windowText" lastClr="000000"/>
              </a:solidFill>
            </a:rPr>
            <a:t>Éducation universitaire</a:t>
          </a:r>
        </a:p>
      </dgm:t>
    </dgm:pt>
    <dgm:pt modelId="{8782C248-EE5B-4A67-A69C-76B3FFB71913}" type="parTrans" cxnId="{89FEE940-8A3A-4BB5-9D46-6AA136DB0864}">
      <dgm:prSet/>
      <dgm:spPr>
        <a:noFill/>
        <a:ln>
          <a:solidFill>
            <a:schemeClr val="bg1">
              <a:lumMod val="65000"/>
            </a:schemeClr>
          </a:solidFill>
        </a:ln>
      </dgm:spPr>
      <dgm:t>
        <a:bodyPr/>
        <a:lstStyle/>
        <a:p>
          <a:endParaRPr lang="fr-CA" sz="900" b="0">
            <a:solidFill>
              <a:sysClr val="windowText" lastClr="000000"/>
            </a:solidFill>
          </a:endParaRPr>
        </a:p>
      </dgm:t>
    </dgm:pt>
    <dgm:pt modelId="{5406D752-1B9E-4169-8F76-0E5937CC27F8}" type="sibTrans" cxnId="{89FEE940-8A3A-4BB5-9D46-6AA136DB0864}">
      <dgm:prSet/>
      <dgm:spPr/>
      <dgm:t>
        <a:bodyPr/>
        <a:lstStyle/>
        <a:p>
          <a:endParaRPr lang="fr-CA" sz="1000" b="0">
            <a:solidFill>
              <a:sysClr val="windowText" lastClr="000000"/>
            </a:solidFill>
          </a:endParaRPr>
        </a:p>
      </dgm:t>
    </dgm:pt>
    <dgm:pt modelId="{9F42FCBC-3440-4C67-8678-3390B7870BFD}">
      <dgm:prSet phldrT="[Texte]" custT="1"/>
      <dgm:spPr>
        <a:noFill/>
        <a:ln>
          <a:solidFill>
            <a:schemeClr val="bg1">
              <a:lumMod val="65000"/>
            </a:schemeClr>
          </a:solidFill>
        </a:ln>
      </dgm:spPr>
      <dgm:t>
        <a:bodyPr/>
        <a:lstStyle/>
        <a:p>
          <a:r>
            <a:rPr lang="fr-CA" sz="900" b="0">
              <a:solidFill>
                <a:sysClr val="windowText" lastClr="000000"/>
              </a:solidFill>
            </a:rPr>
            <a:t>Vie culturelle, sociale et sportive (ici, CAPS)</a:t>
          </a:r>
        </a:p>
      </dgm:t>
    </dgm:pt>
    <dgm:pt modelId="{7E34CD03-8084-42AC-8E7E-FD95E2AA7A9D}" type="parTrans" cxnId="{6047D312-F995-45CC-9F43-C73BA8D2BCD0}">
      <dgm:prSet/>
      <dgm:spPr>
        <a:noFill/>
        <a:ln>
          <a:solidFill>
            <a:schemeClr val="bg1">
              <a:lumMod val="65000"/>
            </a:schemeClr>
          </a:solidFill>
        </a:ln>
      </dgm:spPr>
      <dgm:t>
        <a:bodyPr/>
        <a:lstStyle/>
        <a:p>
          <a:endParaRPr lang="fr-CA" sz="900" b="0">
            <a:solidFill>
              <a:sysClr val="windowText" lastClr="000000"/>
            </a:solidFill>
          </a:endParaRPr>
        </a:p>
      </dgm:t>
    </dgm:pt>
    <dgm:pt modelId="{B360DAF7-8A86-4957-91A5-2114546E5994}" type="sibTrans" cxnId="{6047D312-F995-45CC-9F43-C73BA8D2BCD0}">
      <dgm:prSet/>
      <dgm:spPr/>
      <dgm:t>
        <a:bodyPr/>
        <a:lstStyle/>
        <a:p>
          <a:endParaRPr lang="fr-CA" sz="1000" b="0">
            <a:solidFill>
              <a:sysClr val="windowText" lastClr="000000"/>
            </a:solidFill>
          </a:endParaRPr>
        </a:p>
      </dgm:t>
    </dgm:pt>
    <dgm:pt modelId="{586E7D0C-95FB-40A4-B0ED-D34C61FC39E6}">
      <dgm:prSet phldrT="[Texte]" custT="1"/>
      <dgm:spPr>
        <a:noFill/>
        <a:ln>
          <a:solidFill>
            <a:schemeClr val="bg1">
              <a:lumMod val="65000"/>
            </a:schemeClr>
          </a:solidFill>
        </a:ln>
      </dgm:spPr>
      <dgm:t>
        <a:bodyPr/>
        <a:lstStyle/>
        <a:p>
          <a:r>
            <a:rPr lang="fr-CA" sz="900" b="0">
              <a:solidFill>
                <a:sysClr val="windowText" lastClr="000000"/>
              </a:solidFill>
            </a:rPr>
            <a:t>Cliniques de santé universitaires</a:t>
          </a:r>
        </a:p>
      </dgm:t>
    </dgm:pt>
    <dgm:pt modelId="{0F393C73-51E9-43AE-9707-523462476083}" type="parTrans" cxnId="{F8289D3A-53A5-4384-84F0-44FD12CEB236}">
      <dgm:prSet/>
      <dgm:spPr>
        <a:noFill/>
        <a:ln>
          <a:solidFill>
            <a:schemeClr val="bg1">
              <a:lumMod val="65000"/>
            </a:schemeClr>
          </a:solidFill>
        </a:ln>
      </dgm:spPr>
      <dgm:t>
        <a:bodyPr/>
        <a:lstStyle/>
        <a:p>
          <a:endParaRPr lang="fr-CA" sz="900" b="0">
            <a:solidFill>
              <a:sysClr val="windowText" lastClr="000000"/>
            </a:solidFill>
          </a:endParaRPr>
        </a:p>
      </dgm:t>
    </dgm:pt>
    <dgm:pt modelId="{A2AECDA6-2F98-4215-99B4-9CA60F8F8403}" type="sibTrans" cxnId="{F8289D3A-53A5-4384-84F0-44FD12CEB236}">
      <dgm:prSet/>
      <dgm:spPr/>
      <dgm:t>
        <a:bodyPr/>
        <a:lstStyle/>
        <a:p>
          <a:endParaRPr lang="fr-CA" sz="1000" b="0">
            <a:solidFill>
              <a:sysClr val="windowText" lastClr="000000"/>
            </a:solidFill>
          </a:endParaRPr>
        </a:p>
      </dgm:t>
    </dgm:pt>
    <dgm:pt modelId="{572ADB97-852B-4DBB-8821-32310C90D818}" type="asst">
      <dgm:prSet phldrT="[Texte]" custT="1"/>
      <dgm:spPr>
        <a:noFill/>
        <a:ln>
          <a:solidFill>
            <a:schemeClr val="bg1">
              <a:lumMod val="65000"/>
            </a:schemeClr>
          </a:solidFill>
        </a:ln>
      </dgm:spPr>
      <dgm:t>
        <a:bodyPr/>
        <a:lstStyle/>
        <a:p>
          <a:r>
            <a:rPr lang="fr-CA" sz="900" b="0">
              <a:solidFill>
                <a:sysClr val="windowText" lastClr="000000"/>
              </a:solidFill>
            </a:rPr>
            <a:t>Services à la communauté</a:t>
          </a:r>
        </a:p>
      </dgm:t>
    </dgm:pt>
    <dgm:pt modelId="{3F18B6B5-D668-4319-AE52-040761A61F12}" type="parTrans" cxnId="{8AB792C7-D57A-48E5-B0AB-E0DD27B98072}">
      <dgm:prSet/>
      <dgm:spPr>
        <a:noFill/>
        <a:ln>
          <a:solidFill>
            <a:schemeClr val="bg1">
              <a:lumMod val="65000"/>
            </a:schemeClr>
          </a:solidFill>
        </a:ln>
      </dgm:spPr>
      <dgm:t>
        <a:bodyPr/>
        <a:lstStyle/>
        <a:p>
          <a:endParaRPr lang="fr-CA" sz="900" b="0">
            <a:solidFill>
              <a:sysClr val="windowText" lastClr="000000"/>
            </a:solidFill>
          </a:endParaRPr>
        </a:p>
      </dgm:t>
    </dgm:pt>
    <dgm:pt modelId="{86166288-0A60-436E-8A9F-92DEC15B7C6E}" type="sibTrans" cxnId="{8AB792C7-D57A-48E5-B0AB-E0DD27B98072}">
      <dgm:prSet/>
      <dgm:spPr/>
      <dgm:t>
        <a:bodyPr/>
        <a:lstStyle/>
        <a:p>
          <a:endParaRPr lang="fr-CA" sz="1000" b="0">
            <a:solidFill>
              <a:sysClr val="windowText" lastClr="000000"/>
            </a:solidFill>
          </a:endParaRPr>
        </a:p>
      </dgm:t>
    </dgm:pt>
    <dgm:pt modelId="{080F9D16-6E08-4CC2-9EA2-44EFCC7E202E}">
      <dgm:prSet phldrT="[Texte]" custT="1"/>
      <dgm:spPr>
        <a:noFill/>
        <a:ln>
          <a:solidFill>
            <a:schemeClr val="bg1">
              <a:lumMod val="65000"/>
            </a:schemeClr>
          </a:solidFill>
        </a:ln>
      </dgm:spPr>
      <dgm:t>
        <a:bodyPr/>
        <a:lstStyle/>
        <a:p>
          <a:r>
            <a:rPr lang="fr-CA" sz="900" b="0">
              <a:solidFill>
                <a:sysClr val="windowText" lastClr="000000"/>
              </a:solidFill>
            </a:rPr>
            <a:t>Services et unités en lien avec l'UQTR</a:t>
          </a:r>
        </a:p>
      </dgm:t>
    </dgm:pt>
    <dgm:pt modelId="{23E2AD6A-0D9F-4383-88EB-AC4D36FC0DDD}" type="parTrans" cxnId="{551AD251-E23A-4070-BCAE-AFEE55E16DC5}">
      <dgm:prSet/>
      <dgm:spPr>
        <a:noFill/>
        <a:ln>
          <a:solidFill>
            <a:schemeClr val="bg1">
              <a:lumMod val="65000"/>
            </a:schemeClr>
          </a:solidFill>
        </a:ln>
      </dgm:spPr>
      <dgm:t>
        <a:bodyPr/>
        <a:lstStyle/>
        <a:p>
          <a:endParaRPr lang="fr-CA" sz="900" b="0">
            <a:solidFill>
              <a:sysClr val="windowText" lastClr="000000"/>
            </a:solidFill>
          </a:endParaRPr>
        </a:p>
      </dgm:t>
    </dgm:pt>
    <dgm:pt modelId="{18BEE971-07DD-466E-87C2-39D906D27D62}" type="sibTrans" cxnId="{551AD251-E23A-4070-BCAE-AFEE55E16DC5}">
      <dgm:prSet/>
      <dgm:spPr/>
      <dgm:t>
        <a:bodyPr/>
        <a:lstStyle/>
        <a:p>
          <a:endParaRPr lang="fr-CA" sz="1000" b="0">
            <a:solidFill>
              <a:sysClr val="windowText" lastClr="000000"/>
            </a:solidFill>
          </a:endParaRPr>
        </a:p>
      </dgm:t>
    </dgm:pt>
    <dgm:pt modelId="{55745BC9-8D9C-4ABB-852F-8525FC7315C0}">
      <dgm:prSet phldrT="[Texte]" custT="1"/>
      <dgm:spPr>
        <a:solidFill>
          <a:srgbClr val="00703C"/>
        </a:solidFill>
        <a:ln>
          <a:solidFill>
            <a:schemeClr val="bg1">
              <a:lumMod val="65000"/>
            </a:schemeClr>
          </a:solidFill>
        </a:ln>
      </dgm:spPr>
      <dgm:t>
        <a:bodyPr/>
        <a:lstStyle/>
        <a:p>
          <a:r>
            <a:rPr lang="fr-CA" sz="900" b="0">
              <a:solidFill>
                <a:sysClr val="windowText" lastClr="000000"/>
              </a:solidFill>
            </a:rPr>
            <a:t>Différentiation</a:t>
          </a:r>
        </a:p>
      </dgm:t>
    </dgm:pt>
    <dgm:pt modelId="{6911BF24-94E6-43CB-BAF4-5D9D4367E8F9}" type="parTrans" cxnId="{81E4C61F-AB9D-49B7-9054-54131971717B}">
      <dgm:prSet/>
      <dgm:spPr>
        <a:ln>
          <a:solidFill>
            <a:schemeClr val="bg1">
              <a:lumMod val="65000"/>
            </a:schemeClr>
          </a:solidFill>
        </a:ln>
      </dgm:spPr>
      <dgm:t>
        <a:bodyPr/>
        <a:lstStyle/>
        <a:p>
          <a:endParaRPr lang="fr-CA" sz="900" b="0">
            <a:solidFill>
              <a:sysClr val="windowText" lastClr="000000"/>
            </a:solidFill>
          </a:endParaRPr>
        </a:p>
      </dgm:t>
    </dgm:pt>
    <dgm:pt modelId="{D5D56241-F642-4B3A-9729-38A848DDB08E}" type="sibTrans" cxnId="{81E4C61F-AB9D-49B7-9054-54131971717B}">
      <dgm:prSet/>
      <dgm:spPr/>
      <dgm:t>
        <a:bodyPr/>
        <a:lstStyle/>
        <a:p>
          <a:endParaRPr lang="fr-CA" sz="1000" b="0">
            <a:solidFill>
              <a:sysClr val="windowText" lastClr="000000"/>
            </a:solidFill>
          </a:endParaRPr>
        </a:p>
      </dgm:t>
    </dgm:pt>
    <dgm:pt modelId="{CEC7455D-9DE0-4ECD-8CF2-561AC69E0D22}">
      <dgm:prSet phldrT="[Texte]" custT="1"/>
      <dgm:spPr>
        <a:solidFill>
          <a:srgbClr val="0070C0"/>
        </a:solidFill>
        <a:ln>
          <a:solidFill>
            <a:schemeClr val="bg1">
              <a:lumMod val="65000"/>
            </a:schemeClr>
          </a:solidFill>
        </a:ln>
      </dgm:spPr>
      <dgm:t>
        <a:bodyPr/>
        <a:lstStyle/>
        <a:p>
          <a:r>
            <a:rPr lang="fr-CA" sz="900" b="0">
              <a:solidFill>
                <a:sysClr val="windowText" lastClr="000000"/>
              </a:solidFill>
            </a:rPr>
            <a:t>Focalisation</a:t>
          </a:r>
        </a:p>
      </dgm:t>
    </dgm:pt>
    <dgm:pt modelId="{6E5F547E-B4CF-416D-8875-3B13A66F6544}" type="parTrans" cxnId="{93A214C4-EEBB-402F-8F3F-FF0EB1C4F663}">
      <dgm:prSet/>
      <dgm:spPr>
        <a:ln>
          <a:solidFill>
            <a:schemeClr val="bg1">
              <a:lumMod val="65000"/>
            </a:schemeClr>
          </a:solidFill>
        </a:ln>
      </dgm:spPr>
      <dgm:t>
        <a:bodyPr/>
        <a:lstStyle/>
        <a:p>
          <a:endParaRPr lang="fr-CA" sz="900" b="0">
            <a:solidFill>
              <a:sysClr val="windowText" lastClr="000000"/>
            </a:solidFill>
          </a:endParaRPr>
        </a:p>
      </dgm:t>
    </dgm:pt>
    <dgm:pt modelId="{E382F66C-BD5D-40AE-83F0-04D4AE7754BC}" type="sibTrans" cxnId="{93A214C4-EEBB-402F-8F3F-FF0EB1C4F663}">
      <dgm:prSet/>
      <dgm:spPr/>
      <dgm:t>
        <a:bodyPr/>
        <a:lstStyle/>
        <a:p>
          <a:endParaRPr lang="fr-CA" sz="1000" b="0">
            <a:solidFill>
              <a:sysClr val="windowText" lastClr="000000"/>
            </a:solidFill>
          </a:endParaRPr>
        </a:p>
      </dgm:t>
    </dgm:pt>
    <dgm:pt modelId="{45E9AEA0-0B43-4A44-9963-2318960E78C3}">
      <dgm:prSet phldrT="[Texte]" custT="1"/>
      <dgm:spPr>
        <a:solidFill>
          <a:schemeClr val="bg1">
            <a:lumMod val="85000"/>
          </a:schemeClr>
        </a:solidFill>
        <a:ln>
          <a:solidFill>
            <a:schemeClr val="bg1">
              <a:lumMod val="65000"/>
            </a:schemeClr>
          </a:solidFill>
        </a:ln>
      </dgm:spPr>
      <dgm:t>
        <a:bodyPr/>
        <a:lstStyle/>
        <a:p>
          <a:r>
            <a:rPr lang="fr-CA" sz="900" b="0">
              <a:solidFill>
                <a:sysClr val="windowText" lastClr="000000"/>
              </a:solidFill>
            </a:rPr>
            <a:t>Non-applicable</a:t>
          </a:r>
        </a:p>
      </dgm:t>
    </dgm:pt>
    <dgm:pt modelId="{296F0649-4857-4005-A3BF-B36101B2296A}" type="parTrans" cxnId="{D7CFB055-7668-47CD-856C-F3C18D50177B}">
      <dgm:prSet/>
      <dgm:spPr>
        <a:ln>
          <a:solidFill>
            <a:schemeClr val="bg1">
              <a:lumMod val="65000"/>
            </a:schemeClr>
          </a:solidFill>
        </a:ln>
      </dgm:spPr>
      <dgm:t>
        <a:bodyPr/>
        <a:lstStyle/>
        <a:p>
          <a:endParaRPr lang="fr-CA" sz="900" b="0">
            <a:solidFill>
              <a:sysClr val="windowText" lastClr="000000"/>
            </a:solidFill>
          </a:endParaRPr>
        </a:p>
      </dgm:t>
    </dgm:pt>
    <dgm:pt modelId="{3C06DC85-21B3-492A-8974-0F9A622F4285}" type="sibTrans" cxnId="{D7CFB055-7668-47CD-856C-F3C18D50177B}">
      <dgm:prSet/>
      <dgm:spPr/>
      <dgm:t>
        <a:bodyPr/>
        <a:lstStyle/>
        <a:p>
          <a:endParaRPr lang="fr-CA" sz="1000" b="0">
            <a:solidFill>
              <a:sysClr val="windowText" lastClr="000000"/>
            </a:solidFill>
          </a:endParaRPr>
        </a:p>
      </dgm:t>
    </dgm:pt>
    <dgm:pt modelId="{5D1CB26D-C5CE-4E89-8422-0C8284E26AE6}">
      <dgm:prSet phldrT="[Texte]" custT="1"/>
      <dgm:spPr>
        <a:solidFill>
          <a:srgbClr val="00703C"/>
        </a:solidFill>
        <a:ln>
          <a:solidFill>
            <a:schemeClr val="bg1">
              <a:lumMod val="65000"/>
            </a:schemeClr>
          </a:solidFill>
        </a:ln>
      </dgm:spPr>
      <dgm:t>
        <a:bodyPr/>
        <a:lstStyle/>
        <a:p>
          <a:r>
            <a:rPr lang="fr-CA" sz="900" b="0">
              <a:solidFill>
                <a:sysClr val="windowText" lastClr="000000"/>
              </a:solidFill>
            </a:rPr>
            <a:t>Différentiation</a:t>
          </a:r>
        </a:p>
      </dgm:t>
    </dgm:pt>
    <dgm:pt modelId="{3847289A-A536-4A9C-9EB0-493F69407A7E}" type="parTrans" cxnId="{88F02B46-24B2-4005-B952-80096B2CE2C8}">
      <dgm:prSet/>
      <dgm:spPr>
        <a:ln>
          <a:solidFill>
            <a:schemeClr val="bg1">
              <a:lumMod val="65000"/>
            </a:schemeClr>
          </a:solidFill>
        </a:ln>
      </dgm:spPr>
      <dgm:t>
        <a:bodyPr/>
        <a:lstStyle/>
        <a:p>
          <a:endParaRPr lang="fr-CA" sz="900" b="0">
            <a:solidFill>
              <a:sysClr val="windowText" lastClr="000000"/>
            </a:solidFill>
          </a:endParaRPr>
        </a:p>
      </dgm:t>
    </dgm:pt>
    <dgm:pt modelId="{6ABE87AD-5369-421A-A5F1-A43545414676}" type="sibTrans" cxnId="{88F02B46-24B2-4005-B952-80096B2CE2C8}">
      <dgm:prSet/>
      <dgm:spPr/>
      <dgm:t>
        <a:bodyPr/>
        <a:lstStyle/>
        <a:p>
          <a:endParaRPr lang="fr-CA" sz="1000" b="0">
            <a:solidFill>
              <a:sysClr val="windowText" lastClr="000000"/>
            </a:solidFill>
          </a:endParaRPr>
        </a:p>
      </dgm:t>
    </dgm:pt>
    <dgm:pt modelId="{001FA769-D463-4D59-87AC-6B2DABEF81FB}" type="asst">
      <dgm:prSet phldrT="[Texte]" custT="1"/>
      <dgm:spPr>
        <a:solidFill>
          <a:srgbClr val="C4960C"/>
        </a:solidFill>
        <a:ln>
          <a:solidFill>
            <a:schemeClr val="bg1">
              <a:lumMod val="65000"/>
            </a:schemeClr>
          </a:solidFill>
        </a:ln>
      </dgm:spPr>
      <dgm:t>
        <a:bodyPr/>
        <a:lstStyle/>
        <a:p>
          <a:r>
            <a:rPr lang="fr-CA" sz="900" b="0">
              <a:solidFill>
                <a:sysClr val="windowText" lastClr="000000"/>
              </a:solidFill>
            </a:rPr>
            <a:t>Domination par les coûts</a:t>
          </a:r>
        </a:p>
      </dgm:t>
    </dgm:pt>
    <dgm:pt modelId="{DA94B280-D7E7-46BF-94BF-497A2A9DB85E}" type="parTrans" cxnId="{C5B91C34-BA3C-4867-9437-4C04C579BAEF}">
      <dgm:prSet/>
      <dgm:spPr>
        <a:ln>
          <a:solidFill>
            <a:schemeClr val="bg1">
              <a:lumMod val="65000"/>
            </a:schemeClr>
          </a:solidFill>
        </a:ln>
      </dgm:spPr>
      <dgm:t>
        <a:bodyPr/>
        <a:lstStyle/>
        <a:p>
          <a:endParaRPr lang="fr-CA" sz="900" b="0">
            <a:solidFill>
              <a:sysClr val="windowText" lastClr="000000"/>
            </a:solidFill>
          </a:endParaRPr>
        </a:p>
      </dgm:t>
    </dgm:pt>
    <dgm:pt modelId="{3B6460FD-40C9-4A08-99F7-E9605238168B}" type="sibTrans" cxnId="{C5B91C34-BA3C-4867-9437-4C04C579BAEF}">
      <dgm:prSet/>
      <dgm:spPr/>
      <dgm:t>
        <a:bodyPr/>
        <a:lstStyle/>
        <a:p>
          <a:endParaRPr lang="fr-CA" sz="1000" b="0">
            <a:solidFill>
              <a:sysClr val="windowText" lastClr="000000"/>
            </a:solidFill>
          </a:endParaRPr>
        </a:p>
      </dgm:t>
    </dgm:pt>
    <dgm:pt modelId="{898E0D73-B4EB-42BC-BAE3-208EF290347F}">
      <dgm:prSet phldrT="[Texte]" custT="1"/>
      <dgm:spPr>
        <a:solidFill>
          <a:srgbClr val="00703C"/>
        </a:solidFill>
        <a:ln>
          <a:solidFill>
            <a:schemeClr val="bg1">
              <a:lumMod val="65000"/>
            </a:schemeClr>
          </a:solidFill>
        </a:ln>
      </dgm:spPr>
      <dgm:t>
        <a:bodyPr/>
        <a:lstStyle/>
        <a:p>
          <a:r>
            <a:rPr lang="fr-CA" sz="900" b="0">
              <a:solidFill>
                <a:sysClr val="windowText" lastClr="000000"/>
              </a:solidFill>
            </a:rPr>
            <a:t>Focalisation</a:t>
          </a:r>
        </a:p>
      </dgm:t>
    </dgm:pt>
    <dgm:pt modelId="{9D9B2919-21CC-44F5-AB83-D9EBC0F2C02B}" type="parTrans" cxnId="{9188034D-CDD9-4665-B7A4-1F72557420D8}">
      <dgm:prSet/>
      <dgm:spPr/>
      <dgm:t>
        <a:bodyPr/>
        <a:lstStyle/>
        <a:p>
          <a:endParaRPr lang="fr-CA"/>
        </a:p>
      </dgm:t>
    </dgm:pt>
    <dgm:pt modelId="{5FBDA333-5B6F-482F-AAAC-AEAFA2E1F990}" type="sibTrans" cxnId="{9188034D-CDD9-4665-B7A4-1F72557420D8}">
      <dgm:prSet/>
      <dgm:spPr/>
      <dgm:t>
        <a:bodyPr/>
        <a:lstStyle/>
        <a:p>
          <a:endParaRPr lang="fr-CA"/>
        </a:p>
      </dgm:t>
    </dgm:pt>
    <dgm:pt modelId="{478ECFE1-E65D-4FA8-A0CB-918D34EEB240}" type="pres">
      <dgm:prSet presAssocID="{7F3042D8-C5E8-4AD0-8AA5-6212FC891A4F}" presName="hierChild1" presStyleCnt="0">
        <dgm:presLayoutVars>
          <dgm:orgChart val="1"/>
          <dgm:chPref val="1"/>
          <dgm:dir/>
          <dgm:animOne val="branch"/>
          <dgm:animLvl val="lvl"/>
          <dgm:resizeHandles/>
        </dgm:presLayoutVars>
      </dgm:prSet>
      <dgm:spPr/>
      <dgm:t>
        <a:bodyPr/>
        <a:lstStyle/>
        <a:p>
          <a:endParaRPr lang="fr-CA"/>
        </a:p>
      </dgm:t>
    </dgm:pt>
    <dgm:pt modelId="{FE95447D-8C9F-4E9D-8D52-2573C7243FDD}" type="pres">
      <dgm:prSet presAssocID="{4E391C62-2DC2-4747-81CC-9DD6E02C70C5}" presName="hierRoot1" presStyleCnt="0">
        <dgm:presLayoutVars>
          <dgm:hierBranch val="init"/>
        </dgm:presLayoutVars>
      </dgm:prSet>
      <dgm:spPr/>
    </dgm:pt>
    <dgm:pt modelId="{11F28598-2AFC-457E-B254-52FE9351CAF6}" type="pres">
      <dgm:prSet presAssocID="{4E391C62-2DC2-4747-81CC-9DD6E02C70C5}" presName="rootComposite1" presStyleCnt="0"/>
      <dgm:spPr/>
    </dgm:pt>
    <dgm:pt modelId="{F0B6F898-C2CE-4086-9801-56C045DA96FA}" type="pres">
      <dgm:prSet presAssocID="{4E391C62-2DC2-4747-81CC-9DD6E02C70C5}" presName="rootText1" presStyleLbl="node0" presStyleIdx="0" presStyleCnt="1" custScaleX="247428" custScaleY="122614" custLinFactNeighborX="51485" custLinFactNeighborY="-1775">
        <dgm:presLayoutVars>
          <dgm:chPref val="3"/>
        </dgm:presLayoutVars>
      </dgm:prSet>
      <dgm:spPr/>
      <dgm:t>
        <a:bodyPr/>
        <a:lstStyle/>
        <a:p>
          <a:endParaRPr lang="fr-CA"/>
        </a:p>
      </dgm:t>
    </dgm:pt>
    <dgm:pt modelId="{0AFAE519-94A3-4808-A12D-8C327BFC791D}" type="pres">
      <dgm:prSet presAssocID="{4E391C62-2DC2-4747-81CC-9DD6E02C70C5}" presName="rootConnector1" presStyleLbl="node1" presStyleIdx="0" presStyleCnt="0"/>
      <dgm:spPr/>
      <dgm:t>
        <a:bodyPr/>
        <a:lstStyle/>
        <a:p>
          <a:endParaRPr lang="fr-CA"/>
        </a:p>
      </dgm:t>
    </dgm:pt>
    <dgm:pt modelId="{1E66AE04-B440-4DBF-AA7B-624983FEBF09}" type="pres">
      <dgm:prSet presAssocID="{4E391C62-2DC2-4747-81CC-9DD6E02C70C5}" presName="hierChild2" presStyleCnt="0"/>
      <dgm:spPr/>
    </dgm:pt>
    <dgm:pt modelId="{40172A2D-3AB4-4113-A2D8-EBE0384173D4}" type="pres">
      <dgm:prSet presAssocID="{4E391C62-2DC2-4747-81CC-9DD6E02C70C5}" presName="hierChild3" presStyleCnt="0"/>
      <dgm:spPr/>
    </dgm:pt>
    <dgm:pt modelId="{C4179974-56D9-4C7F-947F-5BB845358754}" type="pres">
      <dgm:prSet presAssocID="{8782C248-EE5B-4A67-A69C-76B3FFB71913}" presName="Name111" presStyleLbl="parChTrans1D2" presStyleIdx="0" presStyleCnt="2" custSzX="554572" custSzY="530472"/>
      <dgm:spPr/>
      <dgm:t>
        <a:bodyPr/>
        <a:lstStyle/>
        <a:p>
          <a:endParaRPr lang="fr-CA"/>
        </a:p>
      </dgm:t>
    </dgm:pt>
    <dgm:pt modelId="{3A792DD8-1733-4CD3-8B70-ACB4DB920585}" type="pres">
      <dgm:prSet presAssocID="{85A81ECA-2DBE-4CC4-908D-FB6DE7E40782}" presName="hierRoot3" presStyleCnt="0">
        <dgm:presLayoutVars>
          <dgm:hierBranch val="init"/>
        </dgm:presLayoutVars>
      </dgm:prSet>
      <dgm:spPr/>
    </dgm:pt>
    <dgm:pt modelId="{B808F747-5CDD-4280-ADD5-E07B3EC8DC98}" type="pres">
      <dgm:prSet presAssocID="{85A81ECA-2DBE-4CC4-908D-FB6DE7E40782}" presName="rootComposite3" presStyleCnt="0"/>
      <dgm:spPr/>
    </dgm:pt>
    <dgm:pt modelId="{F02CC53F-F191-4DD6-865A-DD513A7BF9CF}" type="pres">
      <dgm:prSet presAssocID="{85A81ECA-2DBE-4CC4-908D-FB6DE7E40782}" presName="rootText3" presStyleLbl="asst1" presStyleIdx="0" presStyleCnt="3" custScaleX="270725" custScaleY="122614">
        <dgm:presLayoutVars>
          <dgm:chPref val="3"/>
        </dgm:presLayoutVars>
      </dgm:prSet>
      <dgm:spPr/>
      <dgm:t>
        <a:bodyPr/>
        <a:lstStyle/>
        <a:p>
          <a:endParaRPr lang="fr-CA"/>
        </a:p>
      </dgm:t>
    </dgm:pt>
    <dgm:pt modelId="{765FC16E-4076-4257-8F87-3B1980CE40CC}" type="pres">
      <dgm:prSet presAssocID="{85A81ECA-2DBE-4CC4-908D-FB6DE7E40782}" presName="rootConnector3" presStyleLbl="asst1" presStyleIdx="0" presStyleCnt="3"/>
      <dgm:spPr/>
      <dgm:t>
        <a:bodyPr/>
        <a:lstStyle/>
        <a:p>
          <a:endParaRPr lang="fr-CA"/>
        </a:p>
      </dgm:t>
    </dgm:pt>
    <dgm:pt modelId="{F365E5D8-B2EF-4DE5-BF58-E63F6FFDD7AD}" type="pres">
      <dgm:prSet presAssocID="{85A81ECA-2DBE-4CC4-908D-FB6DE7E40782}" presName="hierChild6" presStyleCnt="0"/>
      <dgm:spPr/>
    </dgm:pt>
    <dgm:pt modelId="{E695FB1C-828F-4AF3-A479-CF29C939DBEC}" type="pres">
      <dgm:prSet presAssocID="{85A81ECA-2DBE-4CC4-908D-FB6DE7E40782}" presName="hierChild7" presStyleCnt="0"/>
      <dgm:spPr/>
    </dgm:pt>
    <dgm:pt modelId="{77FEDE4A-12AE-4983-9595-21C098C51334}" type="pres">
      <dgm:prSet presAssocID="{DA94B280-D7E7-46BF-94BF-497A2A9DB85E}" presName="Name111" presStyleLbl="parChTrans1D3" presStyleIdx="0" presStyleCnt="4" custSzX="176101"/>
      <dgm:spPr/>
      <dgm:t>
        <a:bodyPr/>
        <a:lstStyle/>
        <a:p>
          <a:endParaRPr lang="fr-CA"/>
        </a:p>
      </dgm:t>
    </dgm:pt>
    <dgm:pt modelId="{50AA29D2-E5C7-4327-8108-A26CAF749783}" type="pres">
      <dgm:prSet presAssocID="{001FA769-D463-4D59-87AC-6B2DABEF81FB}" presName="hierRoot3" presStyleCnt="0">
        <dgm:presLayoutVars>
          <dgm:hierBranch val="init"/>
        </dgm:presLayoutVars>
      </dgm:prSet>
      <dgm:spPr/>
    </dgm:pt>
    <dgm:pt modelId="{8C7B1962-E453-44C8-80FD-65BBDCB43FAE}" type="pres">
      <dgm:prSet presAssocID="{001FA769-D463-4D59-87AC-6B2DABEF81FB}" presName="rootComposite3" presStyleCnt="0"/>
      <dgm:spPr/>
    </dgm:pt>
    <dgm:pt modelId="{C0B6C99F-7B7B-4D27-95C9-5E604F0DCF8B}" type="pres">
      <dgm:prSet presAssocID="{001FA769-D463-4D59-87AC-6B2DABEF81FB}" presName="rootText3" presStyleLbl="asst1" presStyleIdx="1" presStyleCnt="3" custScaleX="192587">
        <dgm:presLayoutVars>
          <dgm:chPref val="3"/>
        </dgm:presLayoutVars>
      </dgm:prSet>
      <dgm:spPr/>
      <dgm:t>
        <a:bodyPr/>
        <a:lstStyle/>
        <a:p>
          <a:endParaRPr lang="fr-CA"/>
        </a:p>
      </dgm:t>
    </dgm:pt>
    <dgm:pt modelId="{C6E48766-1565-43D3-ACF8-F2A38B2193D6}" type="pres">
      <dgm:prSet presAssocID="{001FA769-D463-4D59-87AC-6B2DABEF81FB}" presName="rootConnector3" presStyleLbl="asst1" presStyleIdx="1" presStyleCnt="3"/>
      <dgm:spPr/>
      <dgm:t>
        <a:bodyPr/>
        <a:lstStyle/>
        <a:p>
          <a:endParaRPr lang="fr-CA"/>
        </a:p>
      </dgm:t>
    </dgm:pt>
    <dgm:pt modelId="{F1168683-BCBE-4970-9E13-59F23AB982FA}" type="pres">
      <dgm:prSet presAssocID="{001FA769-D463-4D59-87AC-6B2DABEF81FB}" presName="hierChild6" presStyleCnt="0"/>
      <dgm:spPr/>
    </dgm:pt>
    <dgm:pt modelId="{3ADF12E0-1C89-4CD7-8EDA-2170ECB8B772}" type="pres">
      <dgm:prSet presAssocID="{001FA769-D463-4D59-87AC-6B2DABEF81FB}" presName="hierChild7" presStyleCnt="0"/>
      <dgm:spPr/>
    </dgm:pt>
    <dgm:pt modelId="{B8C05286-CC51-435C-99F7-BDF20AEBDA72}" type="pres">
      <dgm:prSet presAssocID="{3F18B6B5-D668-4319-AE52-040761A61F12}" presName="Name111" presStyleLbl="parChTrans1D2" presStyleIdx="1" presStyleCnt="2" custSzX="644641" custSzY="530472"/>
      <dgm:spPr/>
      <dgm:t>
        <a:bodyPr/>
        <a:lstStyle/>
        <a:p>
          <a:endParaRPr lang="fr-CA"/>
        </a:p>
      </dgm:t>
    </dgm:pt>
    <dgm:pt modelId="{9101E0A8-D499-4B7C-B77E-4D7D1CE7BFC5}" type="pres">
      <dgm:prSet presAssocID="{572ADB97-852B-4DBB-8821-32310C90D818}" presName="hierRoot3" presStyleCnt="0">
        <dgm:presLayoutVars>
          <dgm:hierBranch val="init"/>
        </dgm:presLayoutVars>
      </dgm:prSet>
      <dgm:spPr/>
    </dgm:pt>
    <dgm:pt modelId="{AFC4BABB-EA03-440F-934C-695B98F44763}" type="pres">
      <dgm:prSet presAssocID="{572ADB97-852B-4DBB-8821-32310C90D818}" presName="rootComposite3" presStyleCnt="0"/>
      <dgm:spPr/>
    </dgm:pt>
    <dgm:pt modelId="{BFFD506F-71FA-47C1-B598-06D26B66DEA6}" type="pres">
      <dgm:prSet presAssocID="{572ADB97-852B-4DBB-8821-32310C90D818}" presName="rootText3" presStyleLbl="asst1" presStyleIdx="2" presStyleCnt="3" custScaleX="490966" custScaleY="122614" custLinFactNeighborX="26789" custLinFactNeighborY="0">
        <dgm:presLayoutVars>
          <dgm:chPref val="3"/>
        </dgm:presLayoutVars>
      </dgm:prSet>
      <dgm:spPr/>
      <dgm:t>
        <a:bodyPr/>
        <a:lstStyle/>
        <a:p>
          <a:endParaRPr lang="fr-CA"/>
        </a:p>
      </dgm:t>
    </dgm:pt>
    <dgm:pt modelId="{75B8130E-EE6E-4AEA-9BD1-DAA1C60B1ADA}" type="pres">
      <dgm:prSet presAssocID="{572ADB97-852B-4DBB-8821-32310C90D818}" presName="rootConnector3" presStyleLbl="asst1" presStyleIdx="2" presStyleCnt="3"/>
      <dgm:spPr/>
      <dgm:t>
        <a:bodyPr/>
        <a:lstStyle/>
        <a:p>
          <a:endParaRPr lang="fr-CA"/>
        </a:p>
      </dgm:t>
    </dgm:pt>
    <dgm:pt modelId="{187A8D5F-FB22-4B14-9415-3C7B0EB882A7}" type="pres">
      <dgm:prSet presAssocID="{572ADB97-852B-4DBB-8821-32310C90D818}" presName="hierChild6" presStyleCnt="0"/>
      <dgm:spPr/>
    </dgm:pt>
    <dgm:pt modelId="{7B2732E5-2484-41E9-9CC7-9E72CB825B57}" type="pres">
      <dgm:prSet presAssocID="{7E34CD03-8084-42AC-8E7E-FD95E2AA7A9D}" presName="Name37" presStyleLbl="parChTrans1D3" presStyleIdx="1" presStyleCnt="4" custSzX="1577023" custSzY="530472"/>
      <dgm:spPr/>
      <dgm:t>
        <a:bodyPr/>
        <a:lstStyle/>
        <a:p>
          <a:endParaRPr lang="fr-CA"/>
        </a:p>
      </dgm:t>
    </dgm:pt>
    <dgm:pt modelId="{2C667CDA-39AB-4B84-9C7A-E800A8394771}" type="pres">
      <dgm:prSet presAssocID="{9F42FCBC-3440-4C67-8678-3390B7870BFD}" presName="hierRoot2" presStyleCnt="0">
        <dgm:presLayoutVars>
          <dgm:hierBranch val="init"/>
        </dgm:presLayoutVars>
      </dgm:prSet>
      <dgm:spPr/>
    </dgm:pt>
    <dgm:pt modelId="{12BDE00B-4FD9-4DB4-AD7B-E9EE7B3407F0}" type="pres">
      <dgm:prSet presAssocID="{9F42FCBC-3440-4C67-8678-3390B7870BFD}" presName="rootComposite" presStyleCnt="0"/>
      <dgm:spPr/>
    </dgm:pt>
    <dgm:pt modelId="{3D014A7C-9AA3-4045-8BB8-AC08CBD6DC16}" type="pres">
      <dgm:prSet presAssocID="{9F42FCBC-3440-4C67-8678-3390B7870BFD}" presName="rootText" presStyleLbl="node3" presStyleIdx="0" presStyleCnt="3" custScaleX="247428" custScaleY="122614">
        <dgm:presLayoutVars>
          <dgm:chPref val="3"/>
        </dgm:presLayoutVars>
      </dgm:prSet>
      <dgm:spPr/>
      <dgm:t>
        <a:bodyPr/>
        <a:lstStyle/>
        <a:p>
          <a:endParaRPr lang="fr-CA"/>
        </a:p>
      </dgm:t>
    </dgm:pt>
    <dgm:pt modelId="{25C102F9-369F-4A45-9CB0-5AF259812CF8}" type="pres">
      <dgm:prSet presAssocID="{9F42FCBC-3440-4C67-8678-3390B7870BFD}" presName="rootConnector" presStyleLbl="node3" presStyleIdx="0" presStyleCnt="3"/>
      <dgm:spPr/>
      <dgm:t>
        <a:bodyPr/>
        <a:lstStyle/>
        <a:p>
          <a:endParaRPr lang="fr-CA"/>
        </a:p>
      </dgm:t>
    </dgm:pt>
    <dgm:pt modelId="{E3D30141-F482-4BB9-A146-6668F9419F38}" type="pres">
      <dgm:prSet presAssocID="{9F42FCBC-3440-4C67-8678-3390B7870BFD}" presName="hierChild4" presStyleCnt="0"/>
      <dgm:spPr/>
    </dgm:pt>
    <dgm:pt modelId="{9ECF47F5-D483-41A1-913E-307DE812DCD4}" type="pres">
      <dgm:prSet presAssocID="{6911BF24-94E6-43CB-BAF4-5D9D4367E8F9}" presName="Name37" presStyleLbl="parChTrans1D4" presStyleIdx="0" presStyleCnt="5" custSzX="176101"/>
      <dgm:spPr/>
      <dgm:t>
        <a:bodyPr/>
        <a:lstStyle/>
        <a:p>
          <a:endParaRPr lang="fr-CA"/>
        </a:p>
      </dgm:t>
    </dgm:pt>
    <dgm:pt modelId="{6E77DC62-1DAD-4111-96C5-5818A2119AF4}" type="pres">
      <dgm:prSet presAssocID="{55745BC9-8D9C-4ABB-852F-8525FC7315C0}" presName="hierRoot2" presStyleCnt="0">
        <dgm:presLayoutVars>
          <dgm:hierBranch val="init"/>
        </dgm:presLayoutVars>
      </dgm:prSet>
      <dgm:spPr/>
    </dgm:pt>
    <dgm:pt modelId="{FF172634-8113-4D50-A8BB-B5FB00ABC7EE}" type="pres">
      <dgm:prSet presAssocID="{55745BC9-8D9C-4ABB-852F-8525FC7315C0}" presName="rootComposite" presStyleCnt="0"/>
      <dgm:spPr/>
    </dgm:pt>
    <dgm:pt modelId="{29427974-D314-484B-A425-03B2322FB6AA}" type="pres">
      <dgm:prSet presAssocID="{55745BC9-8D9C-4ABB-852F-8525FC7315C0}" presName="rootText" presStyleLbl="node4" presStyleIdx="0" presStyleCnt="5" custScaleX="221985" custScaleY="200401">
        <dgm:presLayoutVars>
          <dgm:chPref val="3"/>
        </dgm:presLayoutVars>
      </dgm:prSet>
      <dgm:spPr/>
      <dgm:t>
        <a:bodyPr/>
        <a:lstStyle/>
        <a:p>
          <a:endParaRPr lang="fr-CA"/>
        </a:p>
      </dgm:t>
    </dgm:pt>
    <dgm:pt modelId="{F5FF99F3-85B3-43F5-8984-686BD49C8522}" type="pres">
      <dgm:prSet presAssocID="{55745BC9-8D9C-4ABB-852F-8525FC7315C0}" presName="rootConnector" presStyleLbl="node4" presStyleIdx="0" presStyleCnt="5"/>
      <dgm:spPr/>
      <dgm:t>
        <a:bodyPr/>
        <a:lstStyle/>
        <a:p>
          <a:endParaRPr lang="fr-CA"/>
        </a:p>
      </dgm:t>
    </dgm:pt>
    <dgm:pt modelId="{696E37FD-C084-42F6-A6C0-22A8CC9541B5}" type="pres">
      <dgm:prSet presAssocID="{55745BC9-8D9C-4ABB-852F-8525FC7315C0}" presName="hierChild4" presStyleCnt="0"/>
      <dgm:spPr/>
    </dgm:pt>
    <dgm:pt modelId="{FBD17A2C-815E-466E-85E5-435B7FB7A307}" type="pres">
      <dgm:prSet presAssocID="{55745BC9-8D9C-4ABB-852F-8525FC7315C0}" presName="hierChild5" presStyleCnt="0"/>
      <dgm:spPr/>
    </dgm:pt>
    <dgm:pt modelId="{CE721697-D713-4E8C-A13B-AF7A1BACF03A}" type="pres">
      <dgm:prSet presAssocID="{9F42FCBC-3440-4C67-8678-3390B7870BFD}" presName="hierChild5" presStyleCnt="0"/>
      <dgm:spPr/>
    </dgm:pt>
    <dgm:pt modelId="{1F2CE9D4-320B-4306-8C04-5D70E05E1121}" type="pres">
      <dgm:prSet presAssocID="{0F393C73-51E9-43AE-9707-523462476083}" presName="Name37" presStyleLbl="parChTrans1D3" presStyleIdx="2" presStyleCnt="4" custSzX="239678" custSzY="2168749"/>
      <dgm:spPr/>
      <dgm:t>
        <a:bodyPr/>
        <a:lstStyle/>
        <a:p>
          <a:endParaRPr lang="fr-CA"/>
        </a:p>
      </dgm:t>
    </dgm:pt>
    <dgm:pt modelId="{4D8EC718-AAF4-4355-AED2-CEE64D41E47D}" type="pres">
      <dgm:prSet presAssocID="{586E7D0C-95FB-40A4-B0ED-D34C61FC39E6}" presName="hierRoot2" presStyleCnt="0">
        <dgm:presLayoutVars>
          <dgm:hierBranch val="init"/>
        </dgm:presLayoutVars>
      </dgm:prSet>
      <dgm:spPr/>
    </dgm:pt>
    <dgm:pt modelId="{EEF2958E-F63E-427D-86A3-B8EF9B925330}" type="pres">
      <dgm:prSet presAssocID="{586E7D0C-95FB-40A4-B0ED-D34C61FC39E6}" presName="rootComposite" presStyleCnt="0"/>
      <dgm:spPr/>
    </dgm:pt>
    <dgm:pt modelId="{1C4417BD-46A6-4D43-BC1D-60FA72967F1E}" type="pres">
      <dgm:prSet presAssocID="{586E7D0C-95FB-40A4-B0ED-D34C61FC39E6}" presName="rootText" presStyleLbl="node3" presStyleIdx="1" presStyleCnt="3" custScaleX="247428" custScaleY="122614">
        <dgm:presLayoutVars>
          <dgm:chPref val="3"/>
        </dgm:presLayoutVars>
      </dgm:prSet>
      <dgm:spPr/>
      <dgm:t>
        <a:bodyPr/>
        <a:lstStyle/>
        <a:p>
          <a:endParaRPr lang="fr-CA"/>
        </a:p>
      </dgm:t>
    </dgm:pt>
    <dgm:pt modelId="{9CC4D7D5-CDC2-4749-88D2-1E9F4A6871BA}" type="pres">
      <dgm:prSet presAssocID="{586E7D0C-95FB-40A4-B0ED-D34C61FC39E6}" presName="rootConnector" presStyleLbl="node3" presStyleIdx="1" presStyleCnt="3"/>
      <dgm:spPr/>
      <dgm:t>
        <a:bodyPr/>
        <a:lstStyle/>
        <a:p>
          <a:endParaRPr lang="fr-CA"/>
        </a:p>
      </dgm:t>
    </dgm:pt>
    <dgm:pt modelId="{8C9199E3-1400-41CD-B681-1D4CA18E60E9}" type="pres">
      <dgm:prSet presAssocID="{586E7D0C-95FB-40A4-B0ED-D34C61FC39E6}" presName="hierChild4" presStyleCnt="0"/>
      <dgm:spPr/>
    </dgm:pt>
    <dgm:pt modelId="{00319E7F-F8A1-43DA-9BAC-941750DED466}" type="pres">
      <dgm:prSet presAssocID="{3847289A-A536-4A9C-9EB0-493F69407A7E}" presName="Name37" presStyleLbl="parChTrans1D4" presStyleIdx="1" presStyleCnt="5" custSzX="176101"/>
      <dgm:spPr/>
      <dgm:t>
        <a:bodyPr/>
        <a:lstStyle/>
        <a:p>
          <a:endParaRPr lang="fr-CA"/>
        </a:p>
      </dgm:t>
    </dgm:pt>
    <dgm:pt modelId="{D3CD9A9F-EEB0-447E-85F2-215B16C3708E}" type="pres">
      <dgm:prSet presAssocID="{5D1CB26D-C5CE-4E89-8422-0C8284E26AE6}" presName="hierRoot2" presStyleCnt="0">
        <dgm:presLayoutVars>
          <dgm:hierBranch val="init"/>
        </dgm:presLayoutVars>
      </dgm:prSet>
      <dgm:spPr/>
    </dgm:pt>
    <dgm:pt modelId="{D831437E-7210-4367-8B70-F3AFBADB402B}" type="pres">
      <dgm:prSet presAssocID="{5D1CB26D-C5CE-4E89-8422-0C8284E26AE6}" presName="rootComposite" presStyleCnt="0"/>
      <dgm:spPr/>
    </dgm:pt>
    <dgm:pt modelId="{CAE49859-BC31-4772-B438-79069E0385D0}" type="pres">
      <dgm:prSet presAssocID="{5D1CB26D-C5CE-4E89-8422-0C8284E26AE6}" presName="rootText" presStyleLbl="node4" presStyleIdx="1" presStyleCnt="5" custScaleX="192587" custScaleY="117360">
        <dgm:presLayoutVars>
          <dgm:chPref val="3"/>
        </dgm:presLayoutVars>
      </dgm:prSet>
      <dgm:spPr/>
      <dgm:t>
        <a:bodyPr/>
        <a:lstStyle/>
        <a:p>
          <a:endParaRPr lang="fr-CA"/>
        </a:p>
      </dgm:t>
    </dgm:pt>
    <dgm:pt modelId="{9C10177F-0417-4CFB-8B56-5DF1BC9C93F9}" type="pres">
      <dgm:prSet presAssocID="{5D1CB26D-C5CE-4E89-8422-0C8284E26AE6}" presName="rootConnector" presStyleLbl="node4" presStyleIdx="1" presStyleCnt="5"/>
      <dgm:spPr/>
      <dgm:t>
        <a:bodyPr/>
        <a:lstStyle/>
        <a:p>
          <a:endParaRPr lang="fr-CA"/>
        </a:p>
      </dgm:t>
    </dgm:pt>
    <dgm:pt modelId="{27F268BB-09EB-4A72-9F16-8EC6315ECC74}" type="pres">
      <dgm:prSet presAssocID="{5D1CB26D-C5CE-4E89-8422-0C8284E26AE6}" presName="hierChild4" presStyleCnt="0"/>
      <dgm:spPr/>
    </dgm:pt>
    <dgm:pt modelId="{AC61DDCE-76F1-45A5-9E5B-D83CFEC107F5}" type="pres">
      <dgm:prSet presAssocID="{5D1CB26D-C5CE-4E89-8422-0C8284E26AE6}" presName="hierChild5" presStyleCnt="0"/>
      <dgm:spPr/>
    </dgm:pt>
    <dgm:pt modelId="{277D34DD-781C-403F-81B6-C2C40B6B74BF}" type="pres">
      <dgm:prSet presAssocID="{9D9B2919-21CC-44F5-AB83-D9EBC0F2C02B}" presName="Name37" presStyleLbl="parChTrans1D4" presStyleIdx="2" presStyleCnt="5"/>
      <dgm:spPr/>
      <dgm:t>
        <a:bodyPr/>
        <a:lstStyle/>
        <a:p>
          <a:endParaRPr lang="fr-CA"/>
        </a:p>
      </dgm:t>
    </dgm:pt>
    <dgm:pt modelId="{7999A159-8F06-49E6-943C-AEE9165FAD18}" type="pres">
      <dgm:prSet presAssocID="{898E0D73-B4EB-42BC-BAE3-208EF290347F}" presName="hierRoot2" presStyleCnt="0">
        <dgm:presLayoutVars>
          <dgm:hierBranch val="init"/>
        </dgm:presLayoutVars>
      </dgm:prSet>
      <dgm:spPr/>
    </dgm:pt>
    <dgm:pt modelId="{52F25D8D-77B3-4684-8F57-C85FC567480C}" type="pres">
      <dgm:prSet presAssocID="{898E0D73-B4EB-42BC-BAE3-208EF290347F}" presName="rootComposite" presStyleCnt="0"/>
      <dgm:spPr/>
    </dgm:pt>
    <dgm:pt modelId="{DAAB917D-984A-43E7-868F-3611B76D0F3C}" type="pres">
      <dgm:prSet presAssocID="{898E0D73-B4EB-42BC-BAE3-208EF290347F}" presName="rootText" presStyleLbl="node4" presStyleIdx="2" presStyleCnt="5" custScaleX="183560">
        <dgm:presLayoutVars>
          <dgm:chPref val="3"/>
        </dgm:presLayoutVars>
      </dgm:prSet>
      <dgm:spPr/>
      <dgm:t>
        <a:bodyPr/>
        <a:lstStyle/>
        <a:p>
          <a:endParaRPr lang="fr-CA"/>
        </a:p>
      </dgm:t>
    </dgm:pt>
    <dgm:pt modelId="{73FA8622-D99C-4C97-8507-054243722A44}" type="pres">
      <dgm:prSet presAssocID="{898E0D73-B4EB-42BC-BAE3-208EF290347F}" presName="rootConnector" presStyleLbl="node4" presStyleIdx="2" presStyleCnt="5"/>
      <dgm:spPr/>
      <dgm:t>
        <a:bodyPr/>
        <a:lstStyle/>
        <a:p>
          <a:endParaRPr lang="fr-CA"/>
        </a:p>
      </dgm:t>
    </dgm:pt>
    <dgm:pt modelId="{2E180378-F828-4C6E-A52C-454EF0B68D4F}" type="pres">
      <dgm:prSet presAssocID="{898E0D73-B4EB-42BC-BAE3-208EF290347F}" presName="hierChild4" presStyleCnt="0"/>
      <dgm:spPr/>
    </dgm:pt>
    <dgm:pt modelId="{D215CDCF-EFAC-4DB4-834A-E421DE4768D4}" type="pres">
      <dgm:prSet presAssocID="{898E0D73-B4EB-42BC-BAE3-208EF290347F}" presName="hierChild5" presStyleCnt="0"/>
      <dgm:spPr/>
    </dgm:pt>
    <dgm:pt modelId="{22FD5C20-C10F-44F7-AB6B-236E95D0E463}" type="pres">
      <dgm:prSet presAssocID="{586E7D0C-95FB-40A4-B0ED-D34C61FC39E6}" presName="hierChild5" presStyleCnt="0"/>
      <dgm:spPr/>
    </dgm:pt>
    <dgm:pt modelId="{7404406A-96A5-4937-B0E8-C9F1DA14F685}" type="pres">
      <dgm:prSet presAssocID="{23E2AD6A-0D9F-4383-88EB-AC4D36FC0DDD}" presName="Name37" presStyleLbl="parChTrans1D3" presStyleIdx="3" presStyleCnt="4" custSzX="1097667" custSzY="2987888"/>
      <dgm:spPr/>
      <dgm:t>
        <a:bodyPr/>
        <a:lstStyle/>
        <a:p>
          <a:endParaRPr lang="fr-CA"/>
        </a:p>
      </dgm:t>
    </dgm:pt>
    <dgm:pt modelId="{DA2C41F1-827C-4BEB-8EA1-81DE78AFD03F}" type="pres">
      <dgm:prSet presAssocID="{080F9D16-6E08-4CC2-9EA2-44EFCC7E202E}" presName="hierRoot2" presStyleCnt="0">
        <dgm:presLayoutVars>
          <dgm:hierBranch val="init"/>
        </dgm:presLayoutVars>
      </dgm:prSet>
      <dgm:spPr/>
    </dgm:pt>
    <dgm:pt modelId="{4B99C60E-0F79-4BD1-913E-37813347EF15}" type="pres">
      <dgm:prSet presAssocID="{080F9D16-6E08-4CC2-9EA2-44EFCC7E202E}" presName="rootComposite" presStyleCnt="0"/>
      <dgm:spPr/>
    </dgm:pt>
    <dgm:pt modelId="{5B77F60F-1745-4DF8-880A-FE3A39313938}" type="pres">
      <dgm:prSet presAssocID="{080F9D16-6E08-4CC2-9EA2-44EFCC7E202E}" presName="rootText" presStyleLbl="node3" presStyleIdx="2" presStyleCnt="3" custScaleX="247428" custScaleY="122614">
        <dgm:presLayoutVars>
          <dgm:chPref val="3"/>
        </dgm:presLayoutVars>
      </dgm:prSet>
      <dgm:spPr/>
      <dgm:t>
        <a:bodyPr/>
        <a:lstStyle/>
        <a:p>
          <a:endParaRPr lang="fr-CA"/>
        </a:p>
      </dgm:t>
    </dgm:pt>
    <dgm:pt modelId="{032D48BD-EF85-4C92-8DFE-887764877D9C}" type="pres">
      <dgm:prSet presAssocID="{080F9D16-6E08-4CC2-9EA2-44EFCC7E202E}" presName="rootConnector" presStyleLbl="node3" presStyleIdx="2" presStyleCnt="3"/>
      <dgm:spPr/>
      <dgm:t>
        <a:bodyPr/>
        <a:lstStyle/>
        <a:p>
          <a:endParaRPr lang="fr-CA"/>
        </a:p>
      </dgm:t>
    </dgm:pt>
    <dgm:pt modelId="{5805477D-3DE1-4313-97BF-55BA416D10EC}" type="pres">
      <dgm:prSet presAssocID="{080F9D16-6E08-4CC2-9EA2-44EFCC7E202E}" presName="hierChild4" presStyleCnt="0"/>
      <dgm:spPr/>
    </dgm:pt>
    <dgm:pt modelId="{F2BAD5EE-898D-418F-8952-6C26E4134B98}" type="pres">
      <dgm:prSet presAssocID="{6E5F547E-B4CF-416D-8875-3B13A66F6544}" presName="Name37" presStyleLbl="parChTrans1D4" presStyleIdx="3" presStyleCnt="5" custSzX="176101"/>
      <dgm:spPr/>
      <dgm:t>
        <a:bodyPr/>
        <a:lstStyle/>
        <a:p>
          <a:endParaRPr lang="fr-CA"/>
        </a:p>
      </dgm:t>
    </dgm:pt>
    <dgm:pt modelId="{9855A999-4207-4741-BC23-98297F9E17C6}" type="pres">
      <dgm:prSet presAssocID="{CEC7455D-9DE0-4ECD-8CF2-561AC69E0D22}" presName="hierRoot2" presStyleCnt="0">
        <dgm:presLayoutVars>
          <dgm:hierBranch val="init"/>
        </dgm:presLayoutVars>
      </dgm:prSet>
      <dgm:spPr/>
    </dgm:pt>
    <dgm:pt modelId="{AB8BB190-BF71-4778-841A-75C2A98F8E8A}" type="pres">
      <dgm:prSet presAssocID="{CEC7455D-9DE0-4ECD-8CF2-561AC69E0D22}" presName="rootComposite" presStyleCnt="0"/>
      <dgm:spPr/>
    </dgm:pt>
    <dgm:pt modelId="{CCA8BADF-A610-4BA9-847D-FB4C7C21079D}" type="pres">
      <dgm:prSet presAssocID="{CEC7455D-9DE0-4ECD-8CF2-561AC69E0D22}" presName="rootText" presStyleLbl="node4" presStyleIdx="3" presStyleCnt="5" custScaleX="226609" custScaleY="141899">
        <dgm:presLayoutVars>
          <dgm:chPref val="3"/>
        </dgm:presLayoutVars>
      </dgm:prSet>
      <dgm:spPr/>
      <dgm:t>
        <a:bodyPr/>
        <a:lstStyle/>
        <a:p>
          <a:endParaRPr lang="fr-CA"/>
        </a:p>
      </dgm:t>
    </dgm:pt>
    <dgm:pt modelId="{4EB48F29-DB14-480D-A0DD-E719993143D1}" type="pres">
      <dgm:prSet presAssocID="{CEC7455D-9DE0-4ECD-8CF2-561AC69E0D22}" presName="rootConnector" presStyleLbl="node4" presStyleIdx="3" presStyleCnt="5"/>
      <dgm:spPr/>
      <dgm:t>
        <a:bodyPr/>
        <a:lstStyle/>
        <a:p>
          <a:endParaRPr lang="fr-CA"/>
        </a:p>
      </dgm:t>
    </dgm:pt>
    <dgm:pt modelId="{EDCD60FB-58CB-4D7B-B28B-D11B91FFE643}" type="pres">
      <dgm:prSet presAssocID="{CEC7455D-9DE0-4ECD-8CF2-561AC69E0D22}" presName="hierChild4" presStyleCnt="0"/>
      <dgm:spPr/>
    </dgm:pt>
    <dgm:pt modelId="{8EBB0C64-1FA5-4131-B126-BAEF9572811D}" type="pres">
      <dgm:prSet presAssocID="{CEC7455D-9DE0-4ECD-8CF2-561AC69E0D22}" presName="hierChild5" presStyleCnt="0"/>
      <dgm:spPr/>
    </dgm:pt>
    <dgm:pt modelId="{F9E7EFE2-8542-412C-BD05-75E5677A02BD}" type="pres">
      <dgm:prSet presAssocID="{296F0649-4857-4005-A3BF-B36101B2296A}" presName="Name37" presStyleLbl="parChTrans1D4" presStyleIdx="4" presStyleCnt="5" custSzX="176101"/>
      <dgm:spPr/>
      <dgm:t>
        <a:bodyPr/>
        <a:lstStyle/>
        <a:p>
          <a:endParaRPr lang="fr-CA"/>
        </a:p>
      </dgm:t>
    </dgm:pt>
    <dgm:pt modelId="{7CD6F5D6-D09B-45B8-8685-1BE5E7A0B68B}" type="pres">
      <dgm:prSet presAssocID="{45E9AEA0-0B43-4A44-9963-2318960E78C3}" presName="hierRoot2" presStyleCnt="0">
        <dgm:presLayoutVars>
          <dgm:hierBranch val="init"/>
        </dgm:presLayoutVars>
      </dgm:prSet>
      <dgm:spPr/>
    </dgm:pt>
    <dgm:pt modelId="{554F733D-4C88-4D24-8EA4-F361F510FFD5}" type="pres">
      <dgm:prSet presAssocID="{45E9AEA0-0B43-4A44-9963-2318960E78C3}" presName="rootComposite" presStyleCnt="0"/>
      <dgm:spPr/>
    </dgm:pt>
    <dgm:pt modelId="{E05C42C4-F649-4085-B068-C5F23BBC45B1}" type="pres">
      <dgm:prSet presAssocID="{45E9AEA0-0B43-4A44-9963-2318960E78C3}" presName="rootText" presStyleLbl="node4" presStyleIdx="4" presStyleCnt="5" custScaleX="226609" custScaleY="197857">
        <dgm:presLayoutVars>
          <dgm:chPref val="3"/>
        </dgm:presLayoutVars>
      </dgm:prSet>
      <dgm:spPr/>
      <dgm:t>
        <a:bodyPr/>
        <a:lstStyle/>
        <a:p>
          <a:endParaRPr lang="fr-CA"/>
        </a:p>
      </dgm:t>
    </dgm:pt>
    <dgm:pt modelId="{F3952B46-EE62-4C20-AD06-E45462769ADC}" type="pres">
      <dgm:prSet presAssocID="{45E9AEA0-0B43-4A44-9963-2318960E78C3}" presName="rootConnector" presStyleLbl="node4" presStyleIdx="4" presStyleCnt="5"/>
      <dgm:spPr/>
      <dgm:t>
        <a:bodyPr/>
        <a:lstStyle/>
        <a:p>
          <a:endParaRPr lang="fr-CA"/>
        </a:p>
      </dgm:t>
    </dgm:pt>
    <dgm:pt modelId="{47426E51-2E3E-400F-ADF2-97916ECCB31B}" type="pres">
      <dgm:prSet presAssocID="{45E9AEA0-0B43-4A44-9963-2318960E78C3}" presName="hierChild4" presStyleCnt="0"/>
      <dgm:spPr/>
    </dgm:pt>
    <dgm:pt modelId="{C9F08D5C-2DF7-421F-A177-490FDB1D9258}" type="pres">
      <dgm:prSet presAssocID="{45E9AEA0-0B43-4A44-9963-2318960E78C3}" presName="hierChild5" presStyleCnt="0"/>
      <dgm:spPr/>
    </dgm:pt>
    <dgm:pt modelId="{D649A8F7-F8CB-4369-A930-EE64F39FFCF6}" type="pres">
      <dgm:prSet presAssocID="{080F9D16-6E08-4CC2-9EA2-44EFCC7E202E}" presName="hierChild5" presStyleCnt="0"/>
      <dgm:spPr/>
    </dgm:pt>
    <dgm:pt modelId="{C750A0BC-A912-4373-A585-CE49961DADFA}" type="pres">
      <dgm:prSet presAssocID="{572ADB97-852B-4DBB-8821-32310C90D818}" presName="hierChild7" presStyleCnt="0"/>
      <dgm:spPr/>
    </dgm:pt>
  </dgm:ptLst>
  <dgm:cxnLst>
    <dgm:cxn modelId="{F1B82A2E-8EFA-4366-B37E-E783B5B014E7}" type="presOf" srcId="{586E7D0C-95FB-40A4-B0ED-D34C61FC39E6}" destId="{1C4417BD-46A6-4D43-BC1D-60FA72967F1E}" srcOrd="0" destOrd="0" presId="urn:microsoft.com/office/officeart/2005/8/layout/orgChart1"/>
    <dgm:cxn modelId="{FEC011D7-419A-4DD1-91F8-C45521139CFE}" type="presOf" srcId="{23E2AD6A-0D9F-4383-88EB-AC4D36FC0DDD}" destId="{7404406A-96A5-4937-B0E8-C9F1DA14F685}" srcOrd="0" destOrd="0" presId="urn:microsoft.com/office/officeart/2005/8/layout/orgChart1"/>
    <dgm:cxn modelId="{B9DD9EF3-4F9E-4F44-8F98-B3DA46314EF8}" type="presOf" srcId="{45E9AEA0-0B43-4A44-9963-2318960E78C3}" destId="{E05C42C4-F649-4085-B068-C5F23BBC45B1}" srcOrd="0" destOrd="0" presId="urn:microsoft.com/office/officeart/2005/8/layout/orgChart1"/>
    <dgm:cxn modelId="{7149B8D8-47CB-4CB6-B7A1-147C9A4D1625}" type="presOf" srcId="{3F18B6B5-D668-4319-AE52-040761A61F12}" destId="{B8C05286-CC51-435C-99F7-BDF20AEBDA72}" srcOrd="0" destOrd="0" presId="urn:microsoft.com/office/officeart/2005/8/layout/orgChart1"/>
    <dgm:cxn modelId="{6D799207-1C4D-476C-B1D8-D3CCB4F22433}" type="presOf" srcId="{3847289A-A536-4A9C-9EB0-493F69407A7E}" destId="{00319E7F-F8A1-43DA-9BAC-941750DED466}" srcOrd="0" destOrd="0" presId="urn:microsoft.com/office/officeart/2005/8/layout/orgChart1"/>
    <dgm:cxn modelId="{9188034D-CDD9-4665-B7A4-1F72557420D8}" srcId="{586E7D0C-95FB-40A4-B0ED-D34C61FC39E6}" destId="{898E0D73-B4EB-42BC-BAE3-208EF290347F}" srcOrd="1" destOrd="0" parTransId="{9D9B2919-21CC-44F5-AB83-D9EBC0F2C02B}" sibTransId="{5FBDA333-5B6F-482F-AAAC-AEAFA2E1F990}"/>
    <dgm:cxn modelId="{374D51F3-0BAE-4DAD-80BC-83EBEA07A289}" type="presOf" srcId="{7E34CD03-8084-42AC-8E7E-FD95E2AA7A9D}" destId="{7B2732E5-2484-41E9-9CC7-9E72CB825B57}" srcOrd="0" destOrd="0" presId="urn:microsoft.com/office/officeart/2005/8/layout/orgChart1"/>
    <dgm:cxn modelId="{1BD7A482-06EE-45FE-9F01-EA84461475E9}" type="presOf" srcId="{080F9D16-6E08-4CC2-9EA2-44EFCC7E202E}" destId="{5B77F60F-1745-4DF8-880A-FE3A39313938}" srcOrd="0" destOrd="0" presId="urn:microsoft.com/office/officeart/2005/8/layout/orgChart1"/>
    <dgm:cxn modelId="{C5B91C34-BA3C-4867-9437-4C04C579BAEF}" srcId="{85A81ECA-2DBE-4CC4-908D-FB6DE7E40782}" destId="{001FA769-D463-4D59-87AC-6B2DABEF81FB}" srcOrd="0" destOrd="0" parTransId="{DA94B280-D7E7-46BF-94BF-497A2A9DB85E}" sibTransId="{3B6460FD-40C9-4A08-99F7-E9605238168B}"/>
    <dgm:cxn modelId="{1D0C43EA-40F2-4CD3-9B30-623E707D96E9}" type="presOf" srcId="{9F42FCBC-3440-4C67-8678-3390B7870BFD}" destId="{25C102F9-369F-4A45-9CB0-5AF259812CF8}" srcOrd="1" destOrd="0" presId="urn:microsoft.com/office/officeart/2005/8/layout/orgChart1"/>
    <dgm:cxn modelId="{551AD251-E23A-4070-BCAE-AFEE55E16DC5}" srcId="{572ADB97-852B-4DBB-8821-32310C90D818}" destId="{080F9D16-6E08-4CC2-9EA2-44EFCC7E202E}" srcOrd="2" destOrd="0" parTransId="{23E2AD6A-0D9F-4383-88EB-AC4D36FC0DDD}" sibTransId="{18BEE971-07DD-466E-87C2-39D906D27D62}"/>
    <dgm:cxn modelId="{837A243A-3386-41D4-B057-A934641DA340}" type="presOf" srcId="{001FA769-D463-4D59-87AC-6B2DABEF81FB}" destId="{C6E48766-1565-43D3-ACF8-F2A38B2193D6}" srcOrd="1" destOrd="0" presId="urn:microsoft.com/office/officeart/2005/8/layout/orgChart1"/>
    <dgm:cxn modelId="{221DA5BD-4AAF-4C4C-81F0-9B302797D568}" type="presOf" srcId="{898E0D73-B4EB-42BC-BAE3-208EF290347F}" destId="{73FA8622-D99C-4C97-8507-054243722A44}" srcOrd="1" destOrd="0" presId="urn:microsoft.com/office/officeart/2005/8/layout/orgChart1"/>
    <dgm:cxn modelId="{9A493A9D-D146-48C6-B82F-C0DCA060F182}" type="presOf" srcId="{CEC7455D-9DE0-4ECD-8CF2-561AC69E0D22}" destId="{CCA8BADF-A610-4BA9-847D-FB4C7C21079D}" srcOrd="0" destOrd="0" presId="urn:microsoft.com/office/officeart/2005/8/layout/orgChart1"/>
    <dgm:cxn modelId="{1032E8FB-C52C-44C7-AE34-94E282F5F0A8}" type="presOf" srcId="{572ADB97-852B-4DBB-8821-32310C90D818}" destId="{75B8130E-EE6E-4AEA-9BD1-DAA1C60B1ADA}" srcOrd="1" destOrd="0" presId="urn:microsoft.com/office/officeart/2005/8/layout/orgChart1"/>
    <dgm:cxn modelId="{93A214C4-EEBB-402F-8F3F-FF0EB1C4F663}" srcId="{080F9D16-6E08-4CC2-9EA2-44EFCC7E202E}" destId="{CEC7455D-9DE0-4ECD-8CF2-561AC69E0D22}" srcOrd="0" destOrd="0" parTransId="{6E5F547E-B4CF-416D-8875-3B13A66F6544}" sibTransId="{E382F66C-BD5D-40AE-83F0-04D4AE7754BC}"/>
    <dgm:cxn modelId="{046DE6F4-44FC-4456-B02C-37A325B28AEB}" type="presOf" srcId="{8782C248-EE5B-4A67-A69C-76B3FFB71913}" destId="{C4179974-56D9-4C7F-947F-5BB845358754}" srcOrd="0" destOrd="0" presId="urn:microsoft.com/office/officeart/2005/8/layout/orgChart1"/>
    <dgm:cxn modelId="{D6698334-ADA4-4233-85EA-58406508565D}" type="presOf" srcId="{080F9D16-6E08-4CC2-9EA2-44EFCC7E202E}" destId="{032D48BD-EF85-4C92-8DFE-887764877D9C}" srcOrd="1" destOrd="0" presId="urn:microsoft.com/office/officeart/2005/8/layout/orgChart1"/>
    <dgm:cxn modelId="{EFE6D4CF-76DC-461C-9D2D-3E2ED8EF945F}" type="presOf" srcId="{5D1CB26D-C5CE-4E89-8422-0C8284E26AE6}" destId="{9C10177F-0417-4CFB-8B56-5DF1BC9C93F9}" srcOrd="1" destOrd="0" presId="urn:microsoft.com/office/officeart/2005/8/layout/orgChart1"/>
    <dgm:cxn modelId="{E8F41556-852A-474B-B63A-8E4507A24D57}" type="presOf" srcId="{572ADB97-852B-4DBB-8821-32310C90D818}" destId="{BFFD506F-71FA-47C1-B598-06D26B66DEA6}" srcOrd="0" destOrd="0" presId="urn:microsoft.com/office/officeart/2005/8/layout/orgChart1"/>
    <dgm:cxn modelId="{8AB792C7-D57A-48E5-B0AB-E0DD27B98072}" srcId="{4E391C62-2DC2-4747-81CC-9DD6E02C70C5}" destId="{572ADB97-852B-4DBB-8821-32310C90D818}" srcOrd="1" destOrd="0" parTransId="{3F18B6B5-D668-4319-AE52-040761A61F12}" sibTransId="{86166288-0A60-436E-8A9F-92DEC15B7C6E}"/>
    <dgm:cxn modelId="{BEB4DBA0-D686-4056-822C-3CEAB437EEB6}" type="presOf" srcId="{001FA769-D463-4D59-87AC-6B2DABEF81FB}" destId="{C0B6C99F-7B7B-4D27-95C9-5E604F0DCF8B}" srcOrd="0" destOrd="0" presId="urn:microsoft.com/office/officeart/2005/8/layout/orgChart1"/>
    <dgm:cxn modelId="{88F02B46-24B2-4005-B952-80096B2CE2C8}" srcId="{586E7D0C-95FB-40A4-B0ED-D34C61FC39E6}" destId="{5D1CB26D-C5CE-4E89-8422-0C8284E26AE6}" srcOrd="0" destOrd="0" parTransId="{3847289A-A536-4A9C-9EB0-493F69407A7E}" sibTransId="{6ABE87AD-5369-421A-A5F1-A43545414676}"/>
    <dgm:cxn modelId="{C40DDC15-7B52-4BCF-9CC7-AB83944825F5}" type="presOf" srcId="{9D9B2919-21CC-44F5-AB83-D9EBC0F2C02B}" destId="{277D34DD-781C-403F-81B6-C2C40B6B74BF}" srcOrd="0" destOrd="0" presId="urn:microsoft.com/office/officeart/2005/8/layout/orgChart1"/>
    <dgm:cxn modelId="{C8667DCD-66B5-4D11-BC0F-45E6AD05D5D8}" type="presOf" srcId="{7F3042D8-C5E8-4AD0-8AA5-6212FC891A4F}" destId="{478ECFE1-E65D-4FA8-A0CB-918D34EEB240}" srcOrd="0" destOrd="0" presId="urn:microsoft.com/office/officeart/2005/8/layout/orgChart1"/>
    <dgm:cxn modelId="{AD76B084-2FE8-4D23-A3C0-2DA1E2E38DE4}" type="presOf" srcId="{586E7D0C-95FB-40A4-B0ED-D34C61FC39E6}" destId="{9CC4D7D5-CDC2-4749-88D2-1E9F4A6871BA}" srcOrd="1" destOrd="0" presId="urn:microsoft.com/office/officeart/2005/8/layout/orgChart1"/>
    <dgm:cxn modelId="{D7CFB055-7668-47CD-856C-F3C18D50177B}" srcId="{080F9D16-6E08-4CC2-9EA2-44EFCC7E202E}" destId="{45E9AEA0-0B43-4A44-9963-2318960E78C3}" srcOrd="1" destOrd="0" parTransId="{296F0649-4857-4005-A3BF-B36101B2296A}" sibTransId="{3C06DC85-21B3-492A-8974-0F9A622F4285}"/>
    <dgm:cxn modelId="{7CB0BA9C-6CD8-45AB-B491-A5676944D98D}" type="presOf" srcId="{55745BC9-8D9C-4ABB-852F-8525FC7315C0}" destId="{F5FF99F3-85B3-43F5-8984-686BD49C8522}" srcOrd="1" destOrd="0" presId="urn:microsoft.com/office/officeart/2005/8/layout/orgChart1"/>
    <dgm:cxn modelId="{C4650100-CC8A-4646-830D-07E4F13F1B0C}" type="presOf" srcId="{0F393C73-51E9-43AE-9707-523462476083}" destId="{1F2CE9D4-320B-4306-8C04-5D70E05E1121}" srcOrd="0" destOrd="0" presId="urn:microsoft.com/office/officeart/2005/8/layout/orgChart1"/>
    <dgm:cxn modelId="{C31481CD-F539-43BE-90D8-E77C75E9928B}" type="presOf" srcId="{85A81ECA-2DBE-4CC4-908D-FB6DE7E40782}" destId="{F02CC53F-F191-4DD6-865A-DD513A7BF9CF}" srcOrd="0" destOrd="0" presId="urn:microsoft.com/office/officeart/2005/8/layout/orgChart1"/>
    <dgm:cxn modelId="{8FD4EF13-74C1-4DC0-A893-7F91702795A1}" type="presOf" srcId="{55745BC9-8D9C-4ABB-852F-8525FC7315C0}" destId="{29427974-D314-484B-A425-03B2322FB6AA}" srcOrd="0" destOrd="0" presId="urn:microsoft.com/office/officeart/2005/8/layout/orgChart1"/>
    <dgm:cxn modelId="{44650C7A-9CAE-482C-A20A-5B53CC59FE07}" srcId="{7F3042D8-C5E8-4AD0-8AA5-6212FC891A4F}" destId="{4E391C62-2DC2-4747-81CC-9DD6E02C70C5}" srcOrd="0" destOrd="0" parTransId="{10936299-70BA-4F3E-A36E-B4DCC611F6C3}" sibTransId="{F6F7E5C7-E29E-4445-B054-03C8195BB8D2}"/>
    <dgm:cxn modelId="{81E4C61F-AB9D-49B7-9054-54131971717B}" srcId="{9F42FCBC-3440-4C67-8678-3390B7870BFD}" destId="{55745BC9-8D9C-4ABB-852F-8525FC7315C0}" srcOrd="0" destOrd="0" parTransId="{6911BF24-94E6-43CB-BAF4-5D9D4367E8F9}" sibTransId="{D5D56241-F642-4B3A-9729-38A848DDB08E}"/>
    <dgm:cxn modelId="{E962D9BD-A946-423F-B52E-9BD84E54D628}" type="presOf" srcId="{296F0649-4857-4005-A3BF-B36101B2296A}" destId="{F9E7EFE2-8542-412C-BD05-75E5677A02BD}" srcOrd="0" destOrd="0" presId="urn:microsoft.com/office/officeart/2005/8/layout/orgChart1"/>
    <dgm:cxn modelId="{FFF9AD09-2FE4-4DCA-B7EB-A67EEE6CAC2B}" type="presOf" srcId="{5D1CB26D-C5CE-4E89-8422-0C8284E26AE6}" destId="{CAE49859-BC31-4772-B438-79069E0385D0}" srcOrd="0" destOrd="0" presId="urn:microsoft.com/office/officeart/2005/8/layout/orgChart1"/>
    <dgm:cxn modelId="{8131DE45-D995-40ED-B96E-B0D47EAC6D6D}" type="presOf" srcId="{CEC7455D-9DE0-4ECD-8CF2-561AC69E0D22}" destId="{4EB48F29-DB14-480D-A0DD-E719993143D1}" srcOrd="1" destOrd="0" presId="urn:microsoft.com/office/officeart/2005/8/layout/orgChart1"/>
    <dgm:cxn modelId="{6047D312-F995-45CC-9F43-C73BA8D2BCD0}" srcId="{572ADB97-852B-4DBB-8821-32310C90D818}" destId="{9F42FCBC-3440-4C67-8678-3390B7870BFD}" srcOrd="0" destOrd="0" parTransId="{7E34CD03-8084-42AC-8E7E-FD95E2AA7A9D}" sibTransId="{B360DAF7-8A86-4957-91A5-2114546E5994}"/>
    <dgm:cxn modelId="{191EC78C-728C-4642-86DF-E7D6D6275EF6}" type="presOf" srcId="{45E9AEA0-0B43-4A44-9963-2318960E78C3}" destId="{F3952B46-EE62-4C20-AD06-E45462769ADC}" srcOrd="1" destOrd="0" presId="urn:microsoft.com/office/officeart/2005/8/layout/orgChart1"/>
    <dgm:cxn modelId="{89FEE940-8A3A-4BB5-9D46-6AA136DB0864}" srcId="{4E391C62-2DC2-4747-81CC-9DD6E02C70C5}" destId="{85A81ECA-2DBE-4CC4-908D-FB6DE7E40782}" srcOrd="0" destOrd="0" parTransId="{8782C248-EE5B-4A67-A69C-76B3FFB71913}" sibTransId="{5406D752-1B9E-4169-8F76-0E5937CC27F8}"/>
    <dgm:cxn modelId="{C464BCAB-9D3F-4501-9FC0-4ACB71CD5EA2}" type="presOf" srcId="{6911BF24-94E6-43CB-BAF4-5D9D4367E8F9}" destId="{9ECF47F5-D483-41A1-913E-307DE812DCD4}" srcOrd="0" destOrd="0" presId="urn:microsoft.com/office/officeart/2005/8/layout/orgChart1"/>
    <dgm:cxn modelId="{F8289D3A-53A5-4384-84F0-44FD12CEB236}" srcId="{572ADB97-852B-4DBB-8821-32310C90D818}" destId="{586E7D0C-95FB-40A4-B0ED-D34C61FC39E6}" srcOrd="1" destOrd="0" parTransId="{0F393C73-51E9-43AE-9707-523462476083}" sibTransId="{A2AECDA6-2F98-4215-99B4-9CA60F8F8403}"/>
    <dgm:cxn modelId="{15AF83F8-348F-4966-B71A-1CFF7414021E}" type="presOf" srcId="{9F42FCBC-3440-4C67-8678-3390B7870BFD}" destId="{3D014A7C-9AA3-4045-8BB8-AC08CBD6DC16}" srcOrd="0" destOrd="0" presId="urn:microsoft.com/office/officeart/2005/8/layout/orgChart1"/>
    <dgm:cxn modelId="{86A637A7-18AD-4E76-BBF4-72A775085F78}" type="presOf" srcId="{4E391C62-2DC2-4747-81CC-9DD6E02C70C5}" destId="{F0B6F898-C2CE-4086-9801-56C045DA96FA}" srcOrd="0" destOrd="0" presId="urn:microsoft.com/office/officeart/2005/8/layout/orgChart1"/>
    <dgm:cxn modelId="{BECF2BD8-80E8-4977-80F9-CD04DF00261B}" type="presOf" srcId="{85A81ECA-2DBE-4CC4-908D-FB6DE7E40782}" destId="{765FC16E-4076-4257-8F87-3B1980CE40CC}" srcOrd="1" destOrd="0" presId="urn:microsoft.com/office/officeart/2005/8/layout/orgChart1"/>
    <dgm:cxn modelId="{9805C587-573D-47F0-A6B0-7AA3D100DC71}" type="presOf" srcId="{4E391C62-2DC2-4747-81CC-9DD6E02C70C5}" destId="{0AFAE519-94A3-4808-A12D-8C327BFC791D}" srcOrd="1" destOrd="0" presId="urn:microsoft.com/office/officeart/2005/8/layout/orgChart1"/>
    <dgm:cxn modelId="{88688281-6684-496D-A5BB-44FF0079AA8B}" type="presOf" srcId="{6E5F547E-B4CF-416D-8875-3B13A66F6544}" destId="{F2BAD5EE-898D-418F-8952-6C26E4134B98}" srcOrd="0" destOrd="0" presId="urn:microsoft.com/office/officeart/2005/8/layout/orgChart1"/>
    <dgm:cxn modelId="{F5E0550B-4594-4369-810A-4BD1B63403DD}" type="presOf" srcId="{898E0D73-B4EB-42BC-BAE3-208EF290347F}" destId="{DAAB917D-984A-43E7-868F-3611B76D0F3C}" srcOrd="0" destOrd="0" presId="urn:microsoft.com/office/officeart/2005/8/layout/orgChart1"/>
    <dgm:cxn modelId="{E4CDB0B2-6A1A-4E49-8B99-31FC6395607C}" type="presOf" srcId="{DA94B280-D7E7-46BF-94BF-497A2A9DB85E}" destId="{77FEDE4A-12AE-4983-9595-21C098C51334}" srcOrd="0" destOrd="0" presId="urn:microsoft.com/office/officeart/2005/8/layout/orgChart1"/>
    <dgm:cxn modelId="{0AF23CCC-2BEB-495E-9BD9-4E369D2EA58D}" type="presParOf" srcId="{478ECFE1-E65D-4FA8-A0CB-918D34EEB240}" destId="{FE95447D-8C9F-4E9D-8D52-2573C7243FDD}" srcOrd="0" destOrd="0" presId="urn:microsoft.com/office/officeart/2005/8/layout/orgChart1"/>
    <dgm:cxn modelId="{5AF166FB-2C13-4440-9F92-341FF42129B2}" type="presParOf" srcId="{FE95447D-8C9F-4E9D-8D52-2573C7243FDD}" destId="{11F28598-2AFC-457E-B254-52FE9351CAF6}" srcOrd="0" destOrd="0" presId="urn:microsoft.com/office/officeart/2005/8/layout/orgChart1"/>
    <dgm:cxn modelId="{6691BFDD-4733-46C3-B8D0-7F6FA37CA101}" type="presParOf" srcId="{11F28598-2AFC-457E-B254-52FE9351CAF6}" destId="{F0B6F898-C2CE-4086-9801-56C045DA96FA}" srcOrd="0" destOrd="0" presId="urn:microsoft.com/office/officeart/2005/8/layout/orgChart1"/>
    <dgm:cxn modelId="{02DA0A63-1CA4-4633-A8A6-7F201E879BD3}" type="presParOf" srcId="{11F28598-2AFC-457E-B254-52FE9351CAF6}" destId="{0AFAE519-94A3-4808-A12D-8C327BFC791D}" srcOrd="1" destOrd="0" presId="urn:microsoft.com/office/officeart/2005/8/layout/orgChart1"/>
    <dgm:cxn modelId="{7E071DEA-AD32-459E-90F1-10206198B0C9}" type="presParOf" srcId="{FE95447D-8C9F-4E9D-8D52-2573C7243FDD}" destId="{1E66AE04-B440-4DBF-AA7B-624983FEBF09}" srcOrd="1" destOrd="0" presId="urn:microsoft.com/office/officeart/2005/8/layout/orgChart1"/>
    <dgm:cxn modelId="{AE04ED7B-D2F0-47C7-8CCC-9A82D1601E51}" type="presParOf" srcId="{FE95447D-8C9F-4E9D-8D52-2573C7243FDD}" destId="{40172A2D-3AB4-4113-A2D8-EBE0384173D4}" srcOrd="2" destOrd="0" presId="urn:microsoft.com/office/officeart/2005/8/layout/orgChart1"/>
    <dgm:cxn modelId="{8EE8AC09-D61C-4551-A8A6-C969ED6755F1}" type="presParOf" srcId="{40172A2D-3AB4-4113-A2D8-EBE0384173D4}" destId="{C4179974-56D9-4C7F-947F-5BB845358754}" srcOrd="0" destOrd="0" presId="urn:microsoft.com/office/officeart/2005/8/layout/orgChart1"/>
    <dgm:cxn modelId="{03503407-F5C6-4B7F-B5CE-3B3C33F9808E}" type="presParOf" srcId="{40172A2D-3AB4-4113-A2D8-EBE0384173D4}" destId="{3A792DD8-1733-4CD3-8B70-ACB4DB920585}" srcOrd="1" destOrd="0" presId="urn:microsoft.com/office/officeart/2005/8/layout/orgChart1"/>
    <dgm:cxn modelId="{5BD73981-227D-4618-B790-5ED4175754E9}" type="presParOf" srcId="{3A792DD8-1733-4CD3-8B70-ACB4DB920585}" destId="{B808F747-5CDD-4280-ADD5-E07B3EC8DC98}" srcOrd="0" destOrd="0" presId="urn:microsoft.com/office/officeart/2005/8/layout/orgChart1"/>
    <dgm:cxn modelId="{59FD1762-3633-4411-B7EF-C97A2E687DA8}" type="presParOf" srcId="{B808F747-5CDD-4280-ADD5-E07B3EC8DC98}" destId="{F02CC53F-F191-4DD6-865A-DD513A7BF9CF}" srcOrd="0" destOrd="0" presId="urn:microsoft.com/office/officeart/2005/8/layout/orgChart1"/>
    <dgm:cxn modelId="{C938765D-4C95-4CA8-95BC-E1514C573503}" type="presParOf" srcId="{B808F747-5CDD-4280-ADD5-E07B3EC8DC98}" destId="{765FC16E-4076-4257-8F87-3B1980CE40CC}" srcOrd="1" destOrd="0" presId="urn:microsoft.com/office/officeart/2005/8/layout/orgChart1"/>
    <dgm:cxn modelId="{9186B8AA-9F38-434F-BAEB-603B3D5B6AED}" type="presParOf" srcId="{3A792DD8-1733-4CD3-8B70-ACB4DB920585}" destId="{F365E5D8-B2EF-4DE5-BF58-E63F6FFDD7AD}" srcOrd="1" destOrd="0" presId="urn:microsoft.com/office/officeart/2005/8/layout/orgChart1"/>
    <dgm:cxn modelId="{912E492B-02F7-4949-B136-CC927DB8DC43}" type="presParOf" srcId="{3A792DD8-1733-4CD3-8B70-ACB4DB920585}" destId="{E695FB1C-828F-4AF3-A479-CF29C939DBEC}" srcOrd="2" destOrd="0" presId="urn:microsoft.com/office/officeart/2005/8/layout/orgChart1"/>
    <dgm:cxn modelId="{26948E58-8B08-4B95-ADE8-020597B922C9}" type="presParOf" srcId="{E695FB1C-828F-4AF3-A479-CF29C939DBEC}" destId="{77FEDE4A-12AE-4983-9595-21C098C51334}" srcOrd="0" destOrd="0" presId="urn:microsoft.com/office/officeart/2005/8/layout/orgChart1"/>
    <dgm:cxn modelId="{89F982F3-3997-4A83-B413-7F7B5513C230}" type="presParOf" srcId="{E695FB1C-828F-4AF3-A479-CF29C939DBEC}" destId="{50AA29D2-E5C7-4327-8108-A26CAF749783}" srcOrd="1" destOrd="0" presId="urn:microsoft.com/office/officeart/2005/8/layout/orgChart1"/>
    <dgm:cxn modelId="{1356CC1D-6EE1-465F-8830-51A81ABBE2EA}" type="presParOf" srcId="{50AA29D2-E5C7-4327-8108-A26CAF749783}" destId="{8C7B1962-E453-44C8-80FD-65BBDCB43FAE}" srcOrd="0" destOrd="0" presId="urn:microsoft.com/office/officeart/2005/8/layout/orgChart1"/>
    <dgm:cxn modelId="{717ACD80-7EAB-4F35-8CED-2AEB5E29F74F}" type="presParOf" srcId="{8C7B1962-E453-44C8-80FD-65BBDCB43FAE}" destId="{C0B6C99F-7B7B-4D27-95C9-5E604F0DCF8B}" srcOrd="0" destOrd="0" presId="urn:microsoft.com/office/officeart/2005/8/layout/orgChart1"/>
    <dgm:cxn modelId="{4EE72A5A-0272-4562-A874-8A5C8151C29D}" type="presParOf" srcId="{8C7B1962-E453-44C8-80FD-65BBDCB43FAE}" destId="{C6E48766-1565-43D3-ACF8-F2A38B2193D6}" srcOrd="1" destOrd="0" presId="urn:microsoft.com/office/officeart/2005/8/layout/orgChart1"/>
    <dgm:cxn modelId="{B9EE0906-BDFE-4322-9D08-7E40705963F0}" type="presParOf" srcId="{50AA29D2-E5C7-4327-8108-A26CAF749783}" destId="{F1168683-BCBE-4970-9E13-59F23AB982FA}" srcOrd="1" destOrd="0" presId="urn:microsoft.com/office/officeart/2005/8/layout/orgChart1"/>
    <dgm:cxn modelId="{90CEA2D1-A04C-4AAD-8493-37C2D53FFEFD}" type="presParOf" srcId="{50AA29D2-E5C7-4327-8108-A26CAF749783}" destId="{3ADF12E0-1C89-4CD7-8EDA-2170ECB8B772}" srcOrd="2" destOrd="0" presId="urn:microsoft.com/office/officeart/2005/8/layout/orgChart1"/>
    <dgm:cxn modelId="{426D4A92-F152-4697-8A63-4ADE36F09853}" type="presParOf" srcId="{40172A2D-3AB4-4113-A2D8-EBE0384173D4}" destId="{B8C05286-CC51-435C-99F7-BDF20AEBDA72}" srcOrd="2" destOrd="0" presId="urn:microsoft.com/office/officeart/2005/8/layout/orgChart1"/>
    <dgm:cxn modelId="{3079BBE5-44D7-4373-B817-3AF2B24DE28A}" type="presParOf" srcId="{40172A2D-3AB4-4113-A2D8-EBE0384173D4}" destId="{9101E0A8-D499-4B7C-B77E-4D7D1CE7BFC5}" srcOrd="3" destOrd="0" presId="urn:microsoft.com/office/officeart/2005/8/layout/orgChart1"/>
    <dgm:cxn modelId="{7DA277D4-EBA0-49A5-9BF3-8CCAE12036A1}" type="presParOf" srcId="{9101E0A8-D499-4B7C-B77E-4D7D1CE7BFC5}" destId="{AFC4BABB-EA03-440F-934C-695B98F44763}" srcOrd="0" destOrd="0" presId="urn:microsoft.com/office/officeart/2005/8/layout/orgChart1"/>
    <dgm:cxn modelId="{BEA79984-49D3-475D-B590-88A83B7EE74C}" type="presParOf" srcId="{AFC4BABB-EA03-440F-934C-695B98F44763}" destId="{BFFD506F-71FA-47C1-B598-06D26B66DEA6}" srcOrd="0" destOrd="0" presId="urn:microsoft.com/office/officeart/2005/8/layout/orgChart1"/>
    <dgm:cxn modelId="{3EE9A479-E5CD-4C25-ADCF-AB3297F1D56F}" type="presParOf" srcId="{AFC4BABB-EA03-440F-934C-695B98F44763}" destId="{75B8130E-EE6E-4AEA-9BD1-DAA1C60B1ADA}" srcOrd="1" destOrd="0" presId="urn:microsoft.com/office/officeart/2005/8/layout/orgChart1"/>
    <dgm:cxn modelId="{9CE2C487-097D-406A-B23E-225B898069BF}" type="presParOf" srcId="{9101E0A8-D499-4B7C-B77E-4D7D1CE7BFC5}" destId="{187A8D5F-FB22-4B14-9415-3C7B0EB882A7}" srcOrd="1" destOrd="0" presId="urn:microsoft.com/office/officeart/2005/8/layout/orgChart1"/>
    <dgm:cxn modelId="{2BC2E62A-B1A3-4B38-AB4F-F1705E4846B4}" type="presParOf" srcId="{187A8D5F-FB22-4B14-9415-3C7B0EB882A7}" destId="{7B2732E5-2484-41E9-9CC7-9E72CB825B57}" srcOrd="0" destOrd="0" presId="urn:microsoft.com/office/officeart/2005/8/layout/orgChart1"/>
    <dgm:cxn modelId="{ED1D81A7-5452-4B3C-B9F7-FFD952686B2F}" type="presParOf" srcId="{187A8D5F-FB22-4B14-9415-3C7B0EB882A7}" destId="{2C667CDA-39AB-4B84-9C7A-E800A8394771}" srcOrd="1" destOrd="0" presId="urn:microsoft.com/office/officeart/2005/8/layout/orgChart1"/>
    <dgm:cxn modelId="{3F07D001-F6B3-4D7B-8A0C-C2C05F873CAF}" type="presParOf" srcId="{2C667CDA-39AB-4B84-9C7A-E800A8394771}" destId="{12BDE00B-4FD9-4DB4-AD7B-E9EE7B3407F0}" srcOrd="0" destOrd="0" presId="urn:microsoft.com/office/officeart/2005/8/layout/orgChart1"/>
    <dgm:cxn modelId="{E403F43E-B1AD-4AC4-A3EC-578D5AE7D30F}" type="presParOf" srcId="{12BDE00B-4FD9-4DB4-AD7B-E9EE7B3407F0}" destId="{3D014A7C-9AA3-4045-8BB8-AC08CBD6DC16}" srcOrd="0" destOrd="0" presId="urn:microsoft.com/office/officeart/2005/8/layout/orgChart1"/>
    <dgm:cxn modelId="{0E648C95-8E15-44FD-9AD2-8E286C0FF6A0}" type="presParOf" srcId="{12BDE00B-4FD9-4DB4-AD7B-E9EE7B3407F0}" destId="{25C102F9-369F-4A45-9CB0-5AF259812CF8}" srcOrd="1" destOrd="0" presId="urn:microsoft.com/office/officeart/2005/8/layout/orgChart1"/>
    <dgm:cxn modelId="{05DC74DA-2CD9-4BB6-AA17-29E4626416E9}" type="presParOf" srcId="{2C667CDA-39AB-4B84-9C7A-E800A8394771}" destId="{E3D30141-F482-4BB9-A146-6668F9419F38}" srcOrd="1" destOrd="0" presId="urn:microsoft.com/office/officeart/2005/8/layout/orgChart1"/>
    <dgm:cxn modelId="{A7FF6B5E-D927-4833-B17F-7B59A24103BD}" type="presParOf" srcId="{E3D30141-F482-4BB9-A146-6668F9419F38}" destId="{9ECF47F5-D483-41A1-913E-307DE812DCD4}" srcOrd="0" destOrd="0" presId="urn:microsoft.com/office/officeart/2005/8/layout/orgChart1"/>
    <dgm:cxn modelId="{38C66AAE-E0A6-4F53-8964-DEB5652FB588}" type="presParOf" srcId="{E3D30141-F482-4BB9-A146-6668F9419F38}" destId="{6E77DC62-1DAD-4111-96C5-5818A2119AF4}" srcOrd="1" destOrd="0" presId="urn:microsoft.com/office/officeart/2005/8/layout/orgChart1"/>
    <dgm:cxn modelId="{67F637E3-C3C7-4EF7-B7F5-FED025429372}" type="presParOf" srcId="{6E77DC62-1DAD-4111-96C5-5818A2119AF4}" destId="{FF172634-8113-4D50-A8BB-B5FB00ABC7EE}" srcOrd="0" destOrd="0" presId="urn:microsoft.com/office/officeart/2005/8/layout/orgChart1"/>
    <dgm:cxn modelId="{1F6D8156-E09D-4D4B-AB5F-0E06A0517E42}" type="presParOf" srcId="{FF172634-8113-4D50-A8BB-B5FB00ABC7EE}" destId="{29427974-D314-484B-A425-03B2322FB6AA}" srcOrd="0" destOrd="0" presId="urn:microsoft.com/office/officeart/2005/8/layout/orgChart1"/>
    <dgm:cxn modelId="{78BE59E6-33B2-4DD6-9941-D99AF48932B0}" type="presParOf" srcId="{FF172634-8113-4D50-A8BB-B5FB00ABC7EE}" destId="{F5FF99F3-85B3-43F5-8984-686BD49C8522}" srcOrd="1" destOrd="0" presId="urn:microsoft.com/office/officeart/2005/8/layout/orgChart1"/>
    <dgm:cxn modelId="{409F1761-9C27-4863-A8CF-45E73D4943DD}" type="presParOf" srcId="{6E77DC62-1DAD-4111-96C5-5818A2119AF4}" destId="{696E37FD-C084-42F6-A6C0-22A8CC9541B5}" srcOrd="1" destOrd="0" presId="urn:microsoft.com/office/officeart/2005/8/layout/orgChart1"/>
    <dgm:cxn modelId="{8B7F2279-077D-4918-B46C-23A21BB0499D}" type="presParOf" srcId="{6E77DC62-1DAD-4111-96C5-5818A2119AF4}" destId="{FBD17A2C-815E-466E-85E5-435B7FB7A307}" srcOrd="2" destOrd="0" presId="urn:microsoft.com/office/officeart/2005/8/layout/orgChart1"/>
    <dgm:cxn modelId="{E3AB8A0C-4143-4F3A-8411-17A4AABB92C7}" type="presParOf" srcId="{2C667CDA-39AB-4B84-9C7A-E800A8394771}" destId="{CE721697-D713-4E8C-A13B-AF7A1BACF03A}" srcOrd="2" destOrd="0" presId="urn:microsoft.com/office/officeart/2005/8/layout/orgChart1"/>
    <dgm:cxn modelId="{55FA5D06-453C-4C04-9545-FE0C6408C216}" type="presParOf" srcId="{187A8D5F-FB22-4B14-9415-3C7B0EB882A7}" destId="{1F2CE9D4-320B-4306-8C04-5D70E05E1121}" srcOrd="2" destOrd="0" presId="urn:microsoft.com/office/officeart/2005/8/layout/orgChart1"/>
    <dgm:cxn modelId="{F87B785F-1D84-4B8F-87EB-BDF8CF358149}" type="presParOf" srcId="{187A8D5F-FB22-4B14-9415-3C7B0EB882A7}" destId="{4D8EC718-AAF4-4355-AED2-CEE64D41E47D}" srcOrd="3" destOrd="0" presId="urn:microsoft.com/office/officeart/2005/8/layout/orgChart1"/>
    <dgm:cxn modelId="{EA82EA1F-8DCA-416E-BECB-3397D871E7D2}" type="presParOf" srcId="{4D8EC718-AAF4-4355-AED2-CEE64D41E47D}" destId="{EEF2958E-F63E-427D-86A3-B8EF9B925330}" srcOrd="0" destOrd="0" presId="urn:microsoft.com/office/officeart/2005/8/layout/orgChart1"/>
    <dgm:cxn modelId="{EAF1D842-FCE2-4702-BBF4-C2638C369DCB}" type="presParOf" srcId="{EEF2958E-F63E-427D-86A3-B8EF9B925330}" destId="{1C4417BD-46A6-4D43-BC1D-60FA72967F1E}" srcOrd="0" destOrd="0" presId="urn:microsoft.com/office/officeart/2005/8/layout/orgChart1"/>
    <dgm:cxn modelId="{38C2EC37-F562-4622-8EE3-629105DC4A8C}" type="presParOf" srcId="{EEF2958E-F63E-427D-86A3-B8EF9B925330}" destId="{9CC4D7D5-CDC2-4749-88D2-1E9F4A6871BA}" srcOrd="1" destOrd="0" presId="urn:microsoft.com/office/officeart/2005/8/layout/orgChart1"/>
    <dgm:cxn modelId="{82BE7D5E-7D4F-43DF-8DE1-6D4FD8700607}" type="presParOf" srcId="{4D8EC718-AAF4-4355-AED2-CEE64D41E47D}" destId="{8C9199E3-1400-41CD-B681-1D4CA18E60E9}" srcOrd="1" destOrd="0" presId="urn:microsoft.com/office/officeart/2005/8/layout/orgChart1"/>
    <dgm:cxn modelId="{06C614BB-074D-40CB-92C2-9CEC5C9F1310}" type="presParOf" srcId="{8C9199E3-1400-41CD-B681-1D4CA18E60E9}" destId="{00319E7F-F8A1-43DA-9BAC-941750DED466}" srcOrd="0" destOrd="0" presId="urn:microsoft.com/office/officeart/2005/8/layout/orgChart1"/>
    <dgm:cxn modelId="{B7FCCFB4-F029-42C3-AC45-FFB041FACD9F}" type="presParOf" srcId="{8C9199E3-1400-41CD-B681-1D4CA18E60E9}" destId="{D3CD9A9F-EEB0-447E-85F2-215B16C3708E}" srcOrd="1" destOrd="0" presId="urn:microsoft.com/office/officeart/2005/8/layout/orgChart1"/>
    <dgm:cxn modelId="{9A6FD991-4395-45F4-9B12-34CC9A0AAACA}" type="presParOf" srcId="{D3CD9A9F-EEB0-447E-85F2-215B16C3708E}" destId="{D831437E-7210-4367-8B70-F3AFBADB402B}" srcOrd="0" destOrd="0" presId="urn:microsoft.com/office/officeart/2005/8/layout/orgChart1"/>
    <dgm:cxn modelId="{2A3D1DC1-E7DD-4BC3-91E6-6FBFA9C57A73}" type="presParOf" srcId="{D831437E-7210-4367-8B70-F3AFBADB402B}" destId="{CAE49859-BC31-4772-B438-79069E0385D0}" srcOrd="0" destOrd="0" presId="urn:microsoft.com/office/officeart/2005/8/layout/orgChart1"/>
    <dgm:cxn modelId="{1D22BFAA-5478-4280-BA31-4A1450A6F2E6}" type="presParOf" srcId="{D831437E-7210-4367-8B70-F3AFBADB402B}" destId="{9C10177F-0417-4CFB-8B56-5DF1BC9C93F9}" srcOrd="1" destOrd="0" presId="urn:microsoft.com/office/officeart/2005/8/layout/orgChart1"/>
    <dgm:cxn modelId="{01B4AD55-74C3-48E8-B812-281914E43007}" type="presParOf" srcId="{D3CD9A9F-EEB0-447E-85F2-215B16C3708E}" destId="{27F268BB-09EB-4A72-9F16-8EC6315ECC74}" srcOrd="1" destOrd="0" presId="urn:microsoft.com/office/officeart/2005/8/layout/orgChart1"/>
    <dgm:cxn modelId="{728216CC-E661-4761-B8FA-71E5BF02A1D0}" type="presParOf" srcId="{D3CD9A9F-EEB0-447E-85F2-215B16C3708E}" destId="{AC61DDCE-76F1-45A5-9E5B-D83CFEC107F5}" srcOrd="2" destOrd="0" presId="urn:microsoft.com/office/officeart/2005/8/layout/orgChart1"/>
    <dgm:cxn modelId="{41E23330-59F9-45CC-8A59-F174DE9E10EF}" type="presParOf" srcId="{8C9199E3-1400-41CD-B681-1D4CA18E60E9}" destId="{277D34DD-781C-403F-81B6-C2C40B6B74BF}" srcOrd="2" destOrd="0" presId="urn:microsoft.com/office/officeart/2005/8/layout/orgChart1"/>
    <dgm:cxn modelId="{6A9A7701-0E71-45C1-84C1-416AC1E88BBE}" type="presParOf" srcId="{8C9199E3-1400-41CD-B681-1D4CA18E60E9}" destId="{7999A159-8F06-49E6-943C-AEE9165FAD18}" srcOrd="3" destOrd="0" presId="urn:microsoft.com/office/officeart/2005/8/layout/orgChart1"/>
    <dgm:cxn modelId="{4C322BF5-4F5C-419F-997B-6E02B8AE882F}" type="presParOf" srcId="{7999A159-8F06-49E6-943C-AEE9165FAD18}" destId="{52F25D8D-77B3-4684-8F57-C85FC567480C}" srcOrd="0" destOrd="0" presId="urn:microsoft.com/office/officeart/2005/8/layout/orgChart1"/>
    <dgm:cxn modelId="{26859DAF-C334-431F-BD81-B0487B3BB48F}" type="presParOf" srcId="{52F25D8D-77B3-4684-8F57-C85FC567480C}" destId="{DAAB917D-984A-43E7-868F-3611B76D0F3C}" srcOrd="0" destOrd="0" presId="urn:microsoft.com/office/officeart/2005/8/layout/orgChart1"/>
    <dgm:cxn modelId="{53BDD849-676D-4E80-8BA1-7A5C32777128}" type="presParOf" srcId="{52F25D8D-77B3-4684-8F57-C85FC567480C}" destId="{73FA8622-D99C-4C97-8507-054243722A44}" srcOrd="1" destOrd="0" presId="urn:microsoft.com/office/officeart/2005/8/layout/orgChart1"/>
    <dgm:cxn modelId="{8277791F-1937-466D-9FF5-2D3B58C78AA5}" type="presParOf" srcId="{7999A159-8F06-49E6-943C-AEE9165FAD18}" destId="{2E180378-F828-4C6E-A52C-454EF0B68D4F}" srcOrd="1" destOrd="0" presId="urn:microsoft.com/office/officeart/2005/8/layout/orgChart1"/>
    <dgm:cxn modelId="{7A04A214-503B-4FF1-A4FD-9F8C7B819254}" type="presParOf" srcId="{7999A159-8F06-49E6-943C-AEE9165FAD18}" destId="{D215CDCF-EFAC-4DB4-834A-E421DE4768D4}" srcOrd="2" destOrd="0" presId="urn:microsoft.com/office/officeart/2005/8/layout/orgChart1"/>
    <dgm:cxn modelId="{EA83BDE8-ADC4-476C-9FFC-D937D59602F5}" type="presParOf" srcId="{4D8EC718-AAF4-4355-AED2-CEE64D41E47D}" destId="{22FD5C20-C10F-44F7-AB6B-236E95D0E463}" srcOrd="2" destOrd="0" presId="urn:microsoft.com/office/officeart/2005/8/layout/orgChart1"/>
    <dgm:cxn modelId="{ADB698A0-92E2-4338-BC3D-E9D9BE0FCD45}" type="presParOf" srcId="{187A8D5F-FB22-4B14-9415-3C7B0EB882A7}" destId="{7404406A-96A5-4937-B0E8-C9F1DA14F685}" srcOrd="4" destOrd="0" presId="urn:microsoft.com/office/officeart/2005/8/layout/orgChart1"/>
    <dgm:cxn modelId="{B53D20E3-8805-46BC-924E-AB423A3BF900}" type="presParOf" srcId="{187A8D5F-FB22-4B14-9415-3C7B0EB882A7}" destId="{DA2C41F1-827C-4BEB-8EA1-81DE78AFD03F}" srcOrd="5" destOrd="0" presId="urn:microsoft.com/office/officeart/2005/8/layout/orgChart1"/>
    <dgm:cxn modelId="{2A6FD609-F1C4-4AA3-875E-A653CDD42A46}" type="presParOf" srcId="{DA2C41F1-827C-4BEB-8EA1-81DE78AFD03F}" destId="{4B99C60E-0F79-4BD1-913E-37813347EF15}" srcOrd="0" destOrd="0" presId="urn:microsoft.com/office/officeart/2005/8/layout/orgChart1"/>
    <dgm:cxn modelId="{7CBCC8CA-5D03-458B-A1C2-E10FFB523C9D}" type="presParOf" srcId="{4B99C60E-0F79-4BD1-913E-37813347EF15}" destId="{5B77F60F-1745-4DF8-880A-FE3A39313938}" srcOrd="0" destOrd="0" presId="urn:microsoft.com/office/officeart/2005/8/layout/orgChart1"/>
    <dgm:cxn modelId="{3E798500-6FA1-44DE-ACD7-4BC0AC6A0BD7}" type="presParOf" srcId="{4B99C60E-0F79-4BD1-913E-37813347EF15}" destId="{032D48BD-EF85-4C92-8DFE-887764877D9C}" srcOrd="1" destOrd="0" presId="urn:microsoft.com/office/officeart/2005/8/layout/orgChart1"/>
    <dgm:cxn modelId="{904089E2-3CBF-4FAB-8389-F2FE1B9F2854}" type="presParOf" srcId="{DA2C41F1-827C-4BEB-8EA1-81DE78AFD03F}" destId="{5805477D-3DE1-4313-97BF-55BA416D10EC}" srcOrd="1" destOrd="0" presId="urn:microsoft.com/office/officeart/2005/8/layout/orgChart1"/>
    <dgm:cxn modelId="{78650224-E453-4305-A8D3-617188672300}" type="presParOf" srcId="{5805477D-3DE1-4313-97BF-55BA416D10EC}" destId="{F2BAD5EE-898D-418F-8952-6C26E4134B98}" srcOrd="0" destOrd="0" presId="urn:microsoft.com/office/officeart/2005/8/layout/orgChart1"/>
    <dgm:cxn modelId="{D5D8E44C-8F7F-41F0-A394-6DF4310DC178}" type="presParOf" srcId="{5805477D-3DE1-4313-97BF-55BA416D10EC}" destId="{9855A999-4207-4741-BC23-98297F9E17C6}" srcOrd="1" destOrd="0" presId="urn:microsoft.com/office/officeart/2005/8/layout/orgChart1"/>
    <dgm:cxn modelId="{EBADEBBA-E7D0-4657-9147-DDF3E92D6567}" type="presParOf" srcId="{9855A999-4207-4741-BC23-98297F9E17C6}" destId="{AB8BB190-BF71-4778-841A-75C2A98F8E8A}" srcOrd="0" destOrd="0" presId="urn:microsoft.com/office/officeart/2005/8/layout/orgChart1"/>
    <dgm:cxn modelId="{233FCF9F-E7AD-49F9-A719-AE74B5668504}" type="presParOf" srcId="{AB8BB190-BF71-4778-841A-75C2A98F8E8A}" destId="{CCA8BADF-A610-4BA9-847D-FB4C7C21079D}" srcOrd="0" destOrd="0" presId="urn:microsoft.com/office/officeart/2005/8/layout/orgChart1"/>
    <dgm:cxn modelId="{6C94D8BB-B209-4AAB-A747-79BAAB99F338}" type="presParOf" srcId="{AB8BB190-BF71-4778-841A-75C2A98F8E8A}" destId="{4EB48F29-DB14-480D-A0DD-E719993143D1}" srcOrd="1" destOrd="0" presId="urn:microsoft.com/office/officeart/2005/8/layout/orgChart1"/>
    <dgm:cxn modelId="{A366AE76-C394-4ED1-82FF-E8F3AD283F30}" type="presParOf" srcId="{9855A999-4207-4741-BC23-98297F9E17C6}" destId="{EDCD60FB-58CB-4D7B-B28B-D11B91FFE643}" srcOrd="1" destOrd="0" presId="urn:microsoft.com/office/officeart/2005/8/layout/orgChart1"/>
    <dgm:cxn modelId="{40487942-36EB-499C-B717-F7C4BFB901CF}" type="presParOf" srcId="{9855A999-4207-4741-BC23-98297F9E17C6}" destId="{8EBB0C64-1FA5-4131-B126-BAEF9572811D}" srcOrd="2" destOrd="0" presId="urn:microsoft.com/office/officeart/2005/8/layout/orgChart1"/>
    <dgm:cxn modelId="{F0C07A66-CC3B-4F32-B350-4643FCAFB1BB}" type="presParOf" srcId="{5805477D-3DE1-4313-97BF-55BA416D10EC}" destId="{F9E7EFE2-8542-412C-BD05-75E5677A02BD}" srcOrd="2" destOrd="0" presId="urn:microsoft.com/office/officeart/2005/8/layout/orgChart1"/>
    <dgm:cxn modelId="{57078EE7-0011-42D3-96FA-C08BE89C508E}" type="presParOf" srcId="{5805477D-3DE1-4313-97BF-55BA416D10EC}" destId="{7CD6F5D6-D09B-45B8-8685-1BE5E7A0B68B}" srcOrd="3" destOrd="0" presId="urn:microsoft.com/office/officeart/2005/8/layout/orgChart1"/>
    <dgm:cxn modelId="{0AD606A3-FC6F-49A7-97F8-1F68418D463B}" type="presParOf" srcId="{7CD6F5D6-D09B-45B8-8685-1BE5E7A0B68B}" destId="{554F733D-4C88-4D24-8EA4-F361F510FFD5}" srcOrd="0" destOrd="0" presId="urn:microsoft.com/office/officeart/2005/8/layout/orgChart1"/>
    <dgm:cxn modelId="{AB18A256-43CE-4B4F-B1D6-E3B28D409A2C}" type="presParOf" srcId="{554F733D-4C88-4D24-8EA4-F361F510FFD5}" destId="{E05C42C4-F649-4085-B068-C5F23BBC45B1}" srcOrd="0" destOrd="0" presId="urn:microsoft.com/office/officeart/2005/8/layout/orgChart1"/>
    <dgm:cxn modelId="{1D1E3A42-FAFE-4881-B6B7-53CD7E0E0605}" type="presParOf" srcId="{554F733D-4C88-4D24-8EA4-F361F510FFD5}" destId="{F3952B46-EE62-4C20-AD06-E45462769ADC}" srcOrd="1" destOrd="0" presId="urn:microsoft.com/office/officeart/2005/8/layout/orgChart1"/>
    <dgm:cxn modelId="{7581CC65-9C0D-4A03-97ED-8E5193FE0B6C}" type="presParOf" srcId="{7CD6F5D6-D09B-45B8-8685-1BE5E7A0B68B}" destId="{47426E51-2E3E-400F-ADF2-97916ECCB31B}" srcOrd="1" destOrd="0" presId="urn:microsoft.com/office/officeart/2005/8/layout/orgChart1"/>
    <dgm:cxn modelId="{E77816CE-7844-43E5-A139-B530BC97896E}" type="presParOf" srcId="{7CD6F5D6-D09B-45B8-8685-1BE5E7A0B68B}" destId="{C9F08D5C-2DF7-421F-A177-490FDB1D9258}" srcOrd="2" destOrd="0" presId="urn:microsoft.com/office/officeart/2005/8/layout/orgChart1"/>
    <dgm:cxn modelId="{C60204D1-C10B-47D7-90BA-E5692A1F3596}" type="presParOf" srcId="{DA2C41F1-827C-4BEB-8EA1-81DE78AFD03F}" destId="{D649A8F7-F8CB-4369-A930-EE64F39FFCF6}" srcOrd="2" destOrd="0" presId="urn:microsoft.com/office/officeart/2005/8/layout/orgChart1"/>
    <dgm:cxn modelId="{C3101484-17A1-44FF-A8A5-9FED291B3AE9}" type="presParOf" srcId="{9101E0A8-D499-4B7C-B77E-4D7D1CE7BFC5}" destId="{C750A0BC-A912-4373-A585-CE49961DADFA}" srcOrd="2" destOrd="0" presId="urn:microsoft.com/office/officeart/2005/8/layout/orgChart1"/>
  </dgm:cxnLst>
  <dgm:bg/>
  <dgm:whole/>
  <dgm:extLst>
    <a:ext uri="http://schemas.microsoft.com/office/drawing/2008/diagram">
      <dsp:dataModelExt xmlns:dsp="http://schemas.microsoft.com/office/drawing/2008/diagram" xmlns="" relId="rId5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ADB1E2C-D8AB-4FC6-90FD-8B55EE23365F}" type="doc">
      <dgm:prSet loTypeId="urn:microsoft.com/office/officeart/2005/8/layout/matrix2" loCatId="matrix" qsTypeId="urn:microsoft.com/office/officeart/2005/8/quickstyle/simple1" qsCatId="simple" csTypeId="urn:microsoft.com/office/officeart/2005/8/colors/accent1_2" csCatId="accent1" phldr="1"/>
      <dgm:spPr/>
      <dgm:t>
        <a:bodyPr/>
        <a:lstStyle/>
        <a:p>
          <a:endParaRPr lang="fr-CA"/>
        </a:p>
      </dgm:t>
    </dgm:pt>
    <dgm:pt modelId="{BDD7A9D9-5AFD-4758-9A5C-9EAEE212A1C4}">
      <dgm:prSet phldrT="[Texte]" custT="1"/>
      <dgm:spPr>
        <a:solidFill>
          <a:srgbClr val="00703C"/>
        </a:solidFill>
      </dgm:spPr>
      <dgm:t>
        <a:bodyPr/>
        <a:lstStyle/>
        <a:p>
          <a:r>
            <a:rPr lang="fr-CA" sz="1200"/>
            <a:t>Distribution du savoir</a:t>
          </a:r>
        </a:p>
      </dgm:t>
    </dgm:pt>
    <dgm:pt modelId="{C3A74E0B-8E1F-46CA-9087-AF675E22DB4C}" type="parTrans" cxnId="{D533548E-4384-42B3-A269-AD0E5489FE9E}">
      <dgm:prSet/>
      <dgm:spPr/>
      <dgm:t>
        <a:bodyPr/>
        <a:lstStyle/>
        <a:p>
          <a:endParaRPr lang="fr-CA"/>
        </a:p>
      </dgm:t>
    </dgm:pt>
    <dgm:pt modelId="{51C3D282-DC50-45E5-A13F-6C0DBEC11075}" type="sibTrans" cxnId="{D533548E-4384-42B3-A269-AD0E5489FE9E}">
      <dgm:prSet/>
      <dgm:spPr/>
      <dgm:t>
        <a:bodyPr/>
        <a:lstStyle/>
        <a:p>
          <a:endParaRPr lang="fr-CA"/>
        </a:p>
      </dgm:t>
    </dgm:pt>
    <dgm:pt modelId="{499C67A8-F684-4D5A-ABF1-AD64116B0CCC}">
      <dgm:prSet phldrT="[Texte]" custT="1"/>
      <dgm:spPr>
        <a:solidFill>
          <a:srgbClr val="00703C"/>
        </a:solidFill>
      </dgm:spPr>
      <dgm:t>
        <a:bodyPr/>
        <a:lstStyle/>
        <a:p>
          <a:r>
            <a:rPr lang="fr-CA" sz="1200"/>
            <a:t>Production du savoir</a:t>
          </a:r>
        </a:p>
      </dgm:t>
    </dgm:pt>
    <dgm:pt modelId="{E2CF4159-393D-4091-92C3-12B3E2D3DCE9}" type="parTrans" cxnId="{504195F4-B38A-45D5-8EC8-45C32B76C761}">
      <dgm:prSet/>
      <dgm:spPr/>
      <dgm:t>
        <a:bodyPr/>
        <a:lstStyle/>
        <a:p>
          <a:endParaRPr lang="fr-CA"/>
        </a:p>
      </dgm:t>
    </dgm:pt>
    <dgm:pt modelId="{2929F611-7533-4C25-865A-D452D5B706B5}" type="sibTrans" cxnId="{504195F4-B38A-45D5-8EC8-45C32B76C761}">
      <dgm:prSet/>
      <dgm:spPr/>
      <dgm:t>
        <a:bodyPr/>
        <a:lstStyle/>
        <a:p>
          <a:endParaRPr lang="fr-CA"/>
        </a:p>
      </dgm:t>
    </dgm:pt>
    <dgm:pt modelId="{3E9E42E6-677B-4F69-862D-C619F5F88351}">
      <dgm:prSet phldrT="[Texte]" custT="1"/>
      <dgm:spPr>
        <a:solidFill>
          <a:srgbClr val="00703C"/>
        </a:solidFill>
      </dgm:spPr>
      <dgm:t>
        <a:bodyPr/>
        <a:lstStyle/>
        <a:p>
          <a:r>
            <a:rPr lang="fr-CA" sz="1200"/>
            <a:t>Presse-Universitaire</a:t>
          </a:r>
        </a:p>
      </dgm:t>
    </dgm:pt>
    <dgm:pt modelId="{5E7C08D0-0F6F-4971-8AD9-10BBA70B2F09}" type="parTrans" cxnId="{695F5709-3F8D-4BBF-BB3D-B7378A7A31B7}">
      <dgm:prSet/>
      <dgm:spPr/>
      <dgm:t>
        <a:bodyPr/>
        <a:lstStyle/>
        <a:p>
          <a:endParaRPr lang="fr-CA"/>
        </a:p>
      </dgm:t>
    </dgm:pt>
    <dgm:pt modelId="{1BDB0F01-F563-4A44-A1C5-C7D65E3EDE39}" type="sibTrans" cxnId="{695F5709-3F8D-4BBF-BB3D-B7378A7A31B7}">
      <dgm:prSet/>
      <dgm:spPr/>
      <dgm:t>
        <a:bodyPr/>
        <a:lstStyle/>
        <a:p>
          <a:endParaRPr lang="fr-CA"/>
        </a:p>
      </dgm:t>
    </dgm:pt>
    <dgm:pt modelId="{A2EC74E6-004B-426E-9F81-C0AAC17D31C5}">
      <dgm:prSet custT="1"/>
      <dgm:spPr>
        <a:solidFill>
          <a:srgbClr val="00703C"/>
        </a:solidFill>
      </dgm:spPr>
      <dgm:t>
        <a:bodyPr/>
        <a:lstStyle/>
        <a:p>
          <a:r>
            <a:rPr lang="fr-CA" sz="1200" baseline="0"/>
            <a:t>Cours en ligne</a:t>
          </a:r>
        </a:p>
      </dgm:t>
    </dgm:pt>
    <dgm:pt modelId="{74B4857B-36FB-408A-853F-AF8D9B47022D}" type="parTrans" cxnId="{CDE979AE-B2C8-414C-B1B6-59FA0B19EA1D}">
      <dgm:prSet/>
      <dgm:spPr/>
      <dgm:t>
        <a:bodyPr/>
        <a:lstStyle/>
        <a:p>
          <a:endParaRPr lang="fr-CA"/>
        </a:p>
      </dgm:t>
    </dgm:pt>
    <dgm:pt modelId="{43BB744E-D0C6-4E81-BB20-758316540435}" type="sibTrans" cxnId="{CDE979AE-B2C8-414C-B1B6-59FA0B19EA1D}">
      <dgm:prSet/>
      <dgm:spPr/>
      <dgm:t>
        <a:bodyPr/>
        <a:lstStyle/>
        <a:p>
          <a:endParaRPr lang="fr-CA"/>
        </a:p>
      </dgm:t>
    </dgm:pt>
    <dgm:pt modelId="{E3451BC4-1964-404F-8BCB-E40A853C97C1}" type="pres">
      <dgm:prSet presAssocID="{4ADB1E2C-D8AB-4FC6-90FD-8B55EE23365F}" presName="matrix" presStyleCnt="0">
        <dgm:presLayoutVars>
          <dgm:chMax val="1"/>
          <dgm:dir/>
          <dgm:resizeHandles val="exact"/>
        </dgm:presLayoutVars>
      </dgm:prSet>
      <dgm:spPr/>
      <dgm:t>
        <a:bodyPr/>
        <a:lstStyle/>
        <a:p>
          <a:endParaRPr lang="fr-CA"/>
        </a:p>
      </dgm:t>
    </dgm:pt>
    <dgm:pt modelId="{382AA43B-2DB2-4673-A319-5D8020318D96}" type="pres">
      <dgm:prSet presAssocID="{4ADB1E2C-D8AB-4FC6-90FD-8B55EE23365F}" presName="axisShape" presStyleLbl="bgShp" presStyleIdx="0" presStyleCnt="1"/>
      <dgm:spPr>
        <a:solidFill>
          <a:srgbClr val="C4960C"/>
        </a:solidFill>
      </dgm:spPr>
      <dgm:t>
        <a:bodyPr/>
        <a:lstStyle/>
        <a:p>
          <a:endParaRPr lang="fr-CA"/>
        </a:p>
      </dgm:t>
    </dgm:pt>
    <dgm:pt modelId="{67E64AE8-D95E-475F-8CE0-D4064A0E7CCA}" type="pres">
      <dgm:prSet presAssocID="{4ADB1E2C-D8AB-4FC6-90FD-8B55EE23365F}" presName="rect1" presStyleLbl="node1" presStyleIdx="0" presStyleCnt="4" custScaleX="68238" custScaleY="58890" custLinFactNeighborX="58049" custLinFactNeighborY="55096">
        <dgm:presLayoutVars>
          <dgm:chMax val="0"/>
          <dgm:chPref val="0"/>
          <dgm:bulletEnabled val="1"/>
        </dgm:presLayoutVars>
      </dgm:prSet>
      <dgm:spPr/>
      <dgm:t>
        <a:bodyPr/>
        <a:lstStyle/>
        <a:p>
          <a:endParaRPr lang="fr-CA"/>
        </a:p>
      </dgm:t>
    </dgm:pt>
    <dgm:pt modelId="{200F5747-0FF2-41BA-82C3-7EC415260868}" type="pres">
      <dgm:prSet presAssocID="{4ADB1E2C-D8AB-4FC6-90FD-8B55EE23365F}" presName="rect2" presStyleLbl="node1" presStyleIdx="1" presStyleCnt="4" custScaleX="66898" custScaleY="56814" custLinFactY="27324" custLinFactNeighborX="-58780" custLinFactNeighborY="100000">
        <dgm:presLayoutVars>
          <dgm:chMax val="0"/>
          <dgm:chPref val="0"/>
          <dgm:bulletEnabled val="1"/>
        </dgm:presLayoutVars>
      </dgm:prSet>
      <dgm:spPr/>
      <dgm:t>
        <a:bodyPr/>
        <a:lstStyle/>
        <a:p>
          <a:endParaRPr lang="fr-CA"/>
        </a:p>
      </dgm:t>
    </dgm:pt>
    <dgm:pt modelId="{E13C412D-63B8-454F-89E6-03784BE54BE5}" type="pres">
      <dgm:prSet presAssocID="{4ADB1E2C-D8AB-4FC6-90FD-8B55EE23365F}" presName="rect3" presStyleLbl="node1" presStyleIdx="2" presStyleCnt="4" custScaleX="66338" custScaleY="55663" custLinFactX="30980" custLinFactNeighborX="100000" custLinFactNeighborY="-60159">
        <dgm:presLayoutVars>
          <dgm:chMax val="0"/>
          <dgm:chPref val="0"/>
          <dgm:bulletEnabled val="1"/>
        </dgm:presLayoutVars>
      </dgm:prSet>
      <dgm:spPr/>
      <dgm:t>
        <a:bodyPr/>
        <a:lstStyle/>
        <a:p>
          <a:endParaRPr lang="fr-CA"/>
        </a:p>
      </dgm:t>
    </dgm:pt>
    <dgm:pt modelId="{70B0FEA8-ABDC-4E9A-A6EA-37B934F69BB6}" type="pres">
      <dgm:prSet presAssocID="{4ADB1E2C-D8AB-4FC6-90FD-8B55EE23365F}" presName="rect4" presStyleLbl="node1" presStyleIdx="3" presStyleCnt="4" custScaleX="60895" custScaleY="57219" custLinFactX="-27917" custLinFactNeighborX="-100000" custLinFactNeighborY="-60024">
        <dgm:presLayoutVars>
          <dgm:chMax val="0"/>
          <dgm:chPref val="0"/>
          <dgm:bulletEnabled val="1"/>
        </dgm:presLayoutVars>
      </dgm:prSet>
      <dgm:spPr/>
      <dgm:t>
        <a:bodyPr/>
        <a:lstStyle/>
        <a:p>
          <a:endParaRPr lang="fr-CA"/>
        </a:p>
      </dgm:t>
    </dgm:pt>
  </dgm:ptLst>
  <dgm:cxnLst>
    <dgm:cxn modelId="{E65C594E-5CDA-4E2C-BFF6-F24B131A7B23}" type="presOf" srcId="{BDD7A9D9-5AFD-4758-9A5C-9EAEE212A1C4}" destId="{67E64AE8-D95E-475F-8CE0-D4064A0E7CCA}" srcOrd="0" destOrd="0" presId="urn:microsoft.com/office/officeart/2005/8/layout/matrix2"/>
    <dgm:cxn modelId="{D533548E-4384-42B3-A269-AD0E5489FE9E}" srcId="{4ADB1E2C-D8AB-4FC6-90FD-8B55EE23365F}" destId="{BDD7A9D9-5AFD-4758-9A5C-9EAEE212A1C4}" srcOrd="0" destOrd="0" parTransId="{C3A74E0B-8E1F-46CA-9087-AF675E22DB4C}" sibTransId="{51C3D282-DC50-45E5-A13F-6C0DBEC11075}"/>
    <dgm:cxn modelId="{695F5709-3F8D-4BBF-BB3D-B7378A7A31B7}" srcId="{4ADB1E2C-D8AB-4FC6-90FD-8B55EE23365F}" destId="{3E9E42E6-677B-4F69-862D-C619F5F88351}" srcOrd="2" destOrd="0" parTransId="{5E7C08D0-0F6F-4971-8AD9-10BBA70B2F09}" sibTransId="{1BDB0F01-F563-4A44-A1C5-C7D65E3EDE39}"/>
    <dgm:cxn modelId="{CDE979AE-B2C8-414C-B1B6-59FA0B19EA1D}" srcId="{4ADB1E2C-D8AB-4FC6-90FD-8B55EE23365F}" destId="{A2EC74E6-004B-426E-9F81-C0AAC17D31C5}" srcOrd="3" destOrd="0" parTransId="{74B4857B-36FB-408A-853F-AF8D9B47022D}" sibTransId="{43BB744E-D0C6-4E81-BB20-758316540435}"/>
    <dgm:cxn modelId="{504195F4-B38A-45D5-8EC8-45C32B76C761}" srcId="{4ADB1E2C-D8AB-4FC6-90FD-8B55EE23365F}" destId="{499C67A8-F684-4D5A-ABF1-AD64116B0CCC}" srcOrd="1" destOrd="0" parTransId="{E2CF4159-393D-4091-92C3-12B3E2D3DCE9}" sibTransId="{2929F611-7533-4C25-865A-D452D5B706B5}"/>
    <dgm:cxn modelId="{339FB978-0A6A-4189-BFF6-D1E57913BC61}" type="presOf" srcId="{3E9E42E6-677B-4F69-862D-C619F5F88351}" destId="{E13C412D-63B8-454F-89E6-03784BE54BE5}" srcOrd="0" destOrd="0" presId="urn:microsoft.com/office/officeart/2005/8/layout/matrix2"/>
    <dgm:cxn modelId="{DDF994F1-BF10-4DEE-93CB-5F19EC9FB7CB}" type="presOf" srcId="{499C67A8-F684-4D5A-ABF1-AD64116B0CCC}" destId="{200F5747-0FF2-41BA-82C3-7EC415260868}" srcOrd="0" destOrd="0" presId="urn:microsoft.com/office/officeart/2005/8/layout/matrix2"/>
    <dgm:cxn modelId="{C84063FC-0784-4221-873D-004362CF3BBC}" type="presOf" srcId="{A2EC74E6-004B-426E-9F81-C0AAC17D31C5}" destId="{70B0FEA8-ABDC-4E9A-A6EA-37B934F69BB6}" srcOrd="0" destOrd="0" presId="urn:microsoft.com/office/officeart/2005/8/layout/matrix2"/>
    <dgm:cxn modelId="{37EBE98A-4659-4A17-8101-5BD563046782}" type="presOf" srcId="{4ADB1E2C-D8AB-4FC6-90FD-8B55EE23365F}" destId="{E3451BC4-1964-404F-8BCB-E40A853C97C1}" srcOrd="0" destOrd="0" presId="urn:microsoft.com/office/officeart/2005/8/layout/matrix2"/>
    <dgm:cxn modelId="{EDBD9E3C-DDC2-4B07-B50D-F8B9A1895B5A}" type="presParOf" srcId="{E3451BC4-1964-404F-8BCB-E40A853C97C1}" destId="{382AA43B-2DB2-4673-A319-5D8020318D96}" srcOrd="0" destOrd="0" presId="urn:microsoft.com/office/officeart/2005/8/layout/matrix2"/>
    <dgm:cxn modelId="{5A1EEEA5-359E-48B1-A120-E6C082B7A12A}" type="presParOf" srcId="{E3451BC4-1964-404F-8BCB-E40A853C97C1}" destId="{67E64AE8-D95E-475F-8CE0-D4064A0E7CCA}" srcOrd="1" destOrd="0" presId="urn:microsoft.com/office/officeart/2005/8/layout/matrix2"/>
    <dgm:cxn modelId="{B1418D5E-E06D-4F89-9052-9F37DCB7E8A9}" type="presParOf" srcId="{E3451BC4-1964-404F-8BCB-E40A853C97C1}" destId="{200F5747-0FF2-41BA-82C3-7EC415260868}" srcOrd="2" destOrd="0" presId="urn:microsoft.com/office/officeart/2005/8/layout/matrix2"/>
    <dgm:cxn modelId="{9304B071-C37A-4DCD-B494-19120268F08E}" type="presParOf" srcId="{E3451BC4-1964-404F-8BCB-E40A853C97C1}" destId="{E13C412D-63B8-454F-89E6-03784BE54BE5}" srcOrd="3" destOrd="0" presId="urn:microsoft.com/office/officeart/2005/8/layout/matrix2"/>
    <dgm:cxn modelId="{9B019C19-5EE9-4754-AED5-3328D92958EE}" type="presParOf" srcId="{E3451BC4-1964-404F-8BCB-E40A853C97C1}" destId="{70B0FEA8-ABDC-4E9A-A6EA-37B934F69BB6}" srcOrd="4" destOrd="0" presId="urn:microsoft.com/office/officeart/2005/8/layout/matrix2"/>
  </dgm:cxnLst>
  <dgm:bg/>
  <dgm:whole/>
  <dgm:extLst>
    <a:ext uri="http://schemas.microsoft.com/office/drawing/2008/diagram">
      <dsp:dataModelExt xmlns:dsp="http://schemas.microsoft.com/office/drawing/2008/diagram" xmlns="" relId="rId6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F3042D8-C5E8-4AD0-8AA5-6212FC891A4F}"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fr-CA"/>
        </a:p>
      </dgm:t>
    </dgm:pt>
    <dgm:pt modelId="{4E391C62-2DC2-4747-81CC-9DD6E02C70C5}">
      <dgm:prSet phldrT="[Texte]" custT="1"/>
      <dgm:spPr>
        <a:solidFill>
          <a:schemeClr val="bg1">
            <a:lumMod val="95000"/>
          </a:schemeClr>
        </a:solidFill>
        <a:ln>
          <a:solidFill>
            <a:schemeClr val="bg1">
              <a:lumMod val="75000"/>
            </a:schemeClr>
          </a:solidFill>
        </a:ln>
      </dgm:spPr>
      <dgm:t>
        <a:bodyPr/>
        <a:lstStyle/>
        <a:p>
          <a:r>
            <a:rPr lang="fr-CA" sz="1100" b="0">
              <a:solidFill>
                <a:sysClr val="windowText" lastClr="000000"/>
              </a:solidFill>
            </a:rPr>
            <a:t>UQTR</a:t>
          </a:r>
        </a:p>
      </dgm:t>
    </dgm:pt>
    <dgm:pt modelId="{10936299-70BA-4F3E-A36E-B4DCC611F6C3}" type="parTrans" cxnId="{44650C7A-9CAE-482C-A20A-5B53CC59FE07}">
      <dgm:prSet/>
      <dgm:spPr/>
      <dgm:t>
        <a:bodyPr/>
        <a:lstStyle/>
        <a:p>
          <a:endParaRPr lang="fr-CA" sz="1400"/>
        </a:p>
      </dgm:t>
    </dgm:pt>
    <dgm:pt modelId="{F6F7E5C7-E29E-4445-B054-03C8195BB8D2}" type="sibTrans" cxnId="{44650C7A-9CAE-482C-A20A-5B53CC59FE07}">
      <dgm:prSet/>
      <dgm:spPr/>
      <dgm:t>
        <a:bodyPr/>
        <a:lstStyle/>
        <a:p>
          <a:endParaRPr lang="fr-CA" sz="1400"/>
        </a:p>
      </dgm:t>
    </dgm:pt>
    <dgm:pt modelId="{85A81ECA-2DBE-4CC4-908D-FB6DE7E40782}" type="asst">
      <dgm:prSet phldrT="[Texte]" custT="1"/>
      <dgm:spPr>
        <a:solidFill>
          <a:schemeClr val="bg1">
            <a:lumMod val="95000"/>
          </a:schemeClr>
        </a:solidFill>
        <a:ln>
          <a:solidFill>
            <a:schemeClr val="bg1">
              <a:lumMod val="75000"/>
            </a:schemeClr>
          </a:solidFill>
        </a:ln>
      </dgm:spPr>
      <dgm:t>
        <a:bodyPr/>
        <a:lstStyle/>
        <a:p>
          <a:r>
            <a:rPr lang="fr-CA" sz="1100" b="0">
              <a:solidFill>
                <a:sysClr val="windowText" lastClr="000000"/>
              </a:solidFill>
            </a:rPr>
            <a:t>Éducation universitaire</a:t>
          </a:r>
        </a:p>
      </dgm:t>
    </dgm:pt>
    <dgm:pt modelId="{8782C248-EE5B-4A67-A69C-76B3FFB71913}" type="parTrans" cxnId="{89FEE940-8A3A-4BB5-9D46-6AA136DB0864}">
      <dgm:prSet/>
      <dgm:spPr>
        <a:solidFill>
          <a:schemeClr val="bg1">
            <a:lumMod val="95000"/>
          </a:schemeClr>
        </a:solidFill>
        <a:ln>
          <a:solidFill>
            <a:schemeClr val="bg1">
              <a:lumMod val="75000"/>
            </a:schemeClr>
          </a:solidFill>
        </a:ln>
      </dgm:spPr>
      <dgm:t>
        <a:bodyPr/>
        <a:lstStyle/>
        <a:p>
          <a:endParaRPr lang="fr-CA" sz="1100" b="0">
            <a:solidFill>
              <a:sysClr val="windowText" lastClr="000000"/>
            </a:solidFill>
          </a:endParaRPr>
        </a:p>
      </dgm:t>
    </dgm:pt>
    <dgm:pt modelId="{5406D752-1B9E-4169-8F76-0E5937CC27F8}" type="sibTrans" cxnId="{89FEE940-8A3A-4BB5-9D46-6AA136DB0864}">
      <dgm:prSet/>
      <dgm:spPr/>
      <dgm:t>
        <a:bodyPr/>
        <a:lstStyle/>
        <a:p>
          <a:endParaRPr lang="fr-CA" sz="1400"/>
        </a:p>
      </dgm:t>
    </dgm:pt>
    <dgm:pt modelId="{9F42FCBC-3440-4C67-8678-3390B7870BFD}">
      <dgm:prSet phldrT="[Texte]" custT="1"/>
      <dgm:spPr>
        <a:solidFill>
          <a:srgbClr val="0070C0"/>
        </a:solidFill>
        <a:ln>
          <a:solidFill>
            <a:schemeClr val="bg1">
              <a:lumMod val="75000"/>
            </a:schemeClr>
          </a:solidFill>
        </a:ln>
      </dgm:spPr>
      <dgm:t>
        <a:bodyPr/>
        <a:lstStyle/>
        <a:p>
          <a:r>
            <a:rPr lang="fr-CA" sz="1100" b="0">
              <a:solidFill>
                <a:sysClr val="windowText" lastClr="000000"/>
              </a:solidFill>
            </a:rPr>
            <a:t>Vie culturelle, sociale et sportive</a:t>
          </a:r>
        </a:p>
      </dgm:t>
    </dgm:pt>
    <dgm:pt modelId="{7E34CD03-8084-42AC-8E7E-FD95E2AA7A9D}" type="parTrans" cxnId="{6047D312-F995-45CC-9F43-C73BA8D2BCD0}">
      <dgm:prSet/>
      <dgm:spPr>
        <a:solidFill>
          <a:schemeClr val="bg1">
            <a:lumMod val="95000"/>
          </a:schemeClr>
        </a:solidFill>
        <a:ln>
          <a:solidFill>
            <a:schemeClr val="bg1">
              <a:lumMod val="75000"/>
            </a:schemeClr>
          </a:solidFill>
        </a:ln>
      </dgm:spPr>
      <dgm:t>
        <a:bodyPr/>
        <a:lstStyle/>
        <a:p>
          <a:endParaRPr lang="fr-CA" sz="1100" b="0">
            <a:solidFill>
              <a:sysClr val="windowText" lastClr="000000"/>
            </a:solidFill>
          </a:endParaRPr>
        </a:p>
      </dgm:t>
    </dgm:pt>
    <dgm:pt modelId="{B360DAF7-8A86-4957-91A5-2114546E5994}" type="sibTrans" cxnId="{6047D312-F995-45CC-9F43-C73BA8D2BCD0}">
      <dgm:prSet/>
      <dgm:spPr/>
      <dgm:t>
        <a:bodyPr/>
        <a:lstStyle/>
        <a:p>
          <a:endParaRPr lang="fr-CA" sz="1400"/>
        </a:p>
      </dgm:t>
    </dgm:pt>
    <dgm:pt modelId="{86E09C26-7FCB-4BE8-B13E-139AF9ABBDC1}">
      <dgm:prSet phldrT="[Texte]" custT="1"/>
      <dgm:spPr>
        <a:solidFill>
          <a:srgbClr val="0070C0"/>
        </a:solidFill>
        <a:ln>
          <a:solidFill>
            <a:schemeClr val="bg1">
              <a:lumMod val="75000"/>
            </a:schemeClr>
          </a:solidFill>
        </a:ln>
      </dgm:spPr>
      <dgm:t>
        <a:bodyPr/>
        <a:lstStyle/>
        <a:p>
          <a:r>
            <a:rPr lang="fr-CA" sz="1100" b="0">
              <a:solidFill>
                <a:sysClr val="windowText" lastClr="000000"/>
              </a:solidFill>
            </a:rPr>
            <a:t>Médias d'information</a:t>
          </a:r>
        </a:p>
      </dgm:t>
    </dgm:pt>
    <dgm:pt modelId="{70DADE75-8E03-4A61-B9A7-67A84360B64C}" type="parTrans" cxnId="{F60E5FD5-FAE2-4FBC-AF41-22FF2DA79D56}">
      <dgm:prSet/>
      <dgm:spPr>
        <a:solidFill>
          <a:schemeClr val="bg1">
            <a:lumMod val="95000"/>
          </a:schemeClr>
        </a:solidFill>
        <a:ln>
          <a:solidFill>
            <a:schemeClr val="bg1">
              <a:lumMod val="75000"/>
            </a:schemeClr>
          </a:solidFill>
        </a:ln>
      </dgm:spPr>
      <dgm:t>
        <a:bodyPr/>
        <a:lstStyle/>
        <a:p>
          <a:endParaRPr lang="fr-CA" sz="1100" b="0">
            <a:solidFill>
              <a:sysClr val="windowText" lastClr="000000"/>
            </a:solidFill>
          </a:endParaRPr>
        </a:p>
      </dgm:t>
    </dgm:pt>
    <dgm:pt modelId="{7EC3A280-F88F-4B7C-A562-F76C086A8EC4}" type="sibTrans" cxnId="{F60E5FD5-FAE2-4FBC-AF41-22FF2DA79D56}">
      <dgm:prSet/>
      <dgm:spPr/>
      <dgm:t>
        <a:bodyPr/>
        <a:lstStyle/>
        <a:p>
          <a:endParaRPr lang="fr-CA" sz="1400"/>
        </a:p>
      </dgm:t>
    </dgm:pt>
    <dgm:pt modelId="{586E7D0C-95FB-40A4-B0ED-D34C61FC39E6}">
      <dgm:prSet phldrT="[Texte]" custT="1"/>
      <dgm:spPr>
        <a:solidFill>
          <a:srgbClr val="0070C0"/>
        </a:solidFill>
        <a:ln>
          <a:solidFill>
            <a:schemeClr val="bg1">
              <a:lumMod val="75000"/>
            </a:schemeClr>
          </a:solidFill>
        </a:ln>
      </dgm:spPr>
      <dgm:t>
        <a:bodyPr/>
        <a:lstStyle/>
        <a:p>
          <a:r>
            <a:rPr lang="fr-CA" sz="1100" b="0">
              <a:solidFill>
                <a:sysClr val="windowText" lastClr="000000"/>
              </a:solidFill>
            </a:rPr>
            <a:t>Cliniques de santé universitaires</a:t>
          </a:r>
        </a:p>
      </dgm:t>
    </dgm:pt>
    <dgm:pt modelId="{0F393C73-51E9-43AE-9707-523462476083}" type="parTrans" cxnId="{F8289D3A-53A5-4384-84F0-44FD12CEB236}">
      <dgm:prSet/>
      <dgm:spPr>
        <a:solidFill>
          <a:schemeClr val="bg1">
            <a:lumMod val="95000"/>
          </a:schemeClr>
        </a:solidFill>
        <a:ln>
          <a:solidFill>
            <a:schemeClr val="bg1">
              <a:lumMod val="75000"/>
            </a:schemeClr>
          </a:solidFill>
        </a:ln>
      </dgm:spPr>
      <dgm:t>
        <a:bodyPr/>
        <a:lstStyle/>
        <a:p>
          <a:endParaRPr lang="fr-CA" sz="1100" b="0">
            <a:solidFill>
              <a:sysClr val="windowText" lastClr="000000"/>
            </a:solidFill>
          </a:endParaRPr>
        </a:p>
      </dgm:t>
    </dgm:pt>
    <dgm:pt modelId="{A2AECDA6-2F98-4215-99B4-9CA60F8F8403}" type="sibTrans" cxnId="{F8289D3A-53A5-4384-84F0-44FD12CEB236}">
      <dgm:prSet/>
      <dgm:spPr/>
      <dgm:t>
        <a:bodyPr/>
        <a:lstStyle/>
        <a:p>
          <a:endParaRPr lang="fr-CA" sz="1400"/>
        </a:p>
      </dgm:t>
    </dgm:pt>
    <dgm:pt modelId="{572ADB97-852B-4DBB-8821-32310C90D818}" type="asst">
      <dgm:prSet phldrT="[Texte]" custT="1"/>
      <dgm:spPr>
        <a:solidFill>
          <a:schemeClr val="bg1">
            <a:lumMod val="95000"/>
          </a:schemeClr>
        </a:solidFill>
        <a:ln>
          <a:solidFill>
            <a:schemeClr val="bg1">
              <a:lumMod val="75000"/>
            </a:schemeClr>
          </a:solidFill>
        </a:ln>
      </dgm:spPr>
      <dgm:t>
        <a:bodyPr/>
        <a:lstStyle/>
        <a:p>
          <a:r>
            <a:rPr lang="fr-CA" sz="1100" b="0">
              <a:solidFill>
                <a:sysClr val="windowText" lastClr="000000"/>
              </a:solidFill>
            </a:rPr>
            <a:t>Services à la communauté</a:t>
          </a:r>
          <a:br>
            <a:rPr lang="fr-CA" sz="1100" b="0">
              <a:solidFill>
                <a:sysClr val="windowText" lastClr="000000"/>
              </a:solidFill>
            </a:rPr>
          </a:br>
          <a:r>
            <a:rPr lang="fr-CA" sz="1100" b="0">
              <a:solidFill>
                <a:sysClr val="windowText" lastClr="000000"/>
              </a:solidFill>
            </a:rPr>
            <a:t>par domaines</a:t>
          </a:r>
        </a:p>
      </dgm:t>
    </dgm:pt>
    <dgm:pt modelId="{3F18B6B5-D668-4319-AE52-040761A61F12}" type="parTrans" cxnId="{8AB792C7-D57A-48E5-B0AB-E0DD27B98072}">
      <dgm:prSet/>
      <dgm:spPr>
        <a:solidFill>
          <a:schemeClr val="bg1">
            <a:lumMod val="95000"/>
          </a:schemeClr>
        </a:solidFill>
        <a:ln>
          <a:solidFill>
            <a:schemeClr val="bg1">
              <a:lumMod val="75000"/>
            </a:schemeClr>
          </a:solidFill>
        </a:ln>
      </dgm:spPr>
      <dgm:t>
        <a:bodyPr/>
        <a:lstStyle/>
        <a:p>
          <a:endParaRPr lang="fr-CA" sz="1100" b="0">
            <a:solidFill>
              <a:sysClr val="windowText" lastClr="000000"/>
            </a:solidFill>
          </a:endParaRPr>
        </a:p>
      </dgm:t>
    </dgm:pt>
    <dgm:pt modelId="{86166288-0A60-436E-8A9F-92DEC15B7C6E}" type="sibTrans" cxnId="{8AB792C7-D57A-48E5-B0AB-E0DD27B98072}">
      <dgm:prSet/>
      <dgm:spPr/>
      <dgm:t>
        <a:bodyPr/>
        <a:lstStyle/>
        <a:p>
          <a:endParaRPr lang="fr-CA" sz="1400"/>
        </a:p>
      </dgm:t>
    </dgm:pt>
    <dgm:pt modelId="{080F9D16-6E08-4CC2-9EA2-44EFCC7E202E}">
      <dgm:prSet phldrT="[Texte]" custT="1"/>
      <dgm:spPr>
        <a:solidFill>
          <a:srgbClr val="0070C0"/>
        </a:solidFill>
        <a:ln>
          <a:solidFill>
            <a:schemeClr val="bg1">
              <a:lumMod val="75000"/>
            </a:schemeClr>
          </a:solidFill>
        </a:ln>
      </dgm:spPr>
      <dgm:t>
        <a:bodyPr/>
        <a:lstStyle/>
        <a:p>
          <a:r>
            <a:rPr lang="fr-CA" sz="1100" b="0">
              <a:solidFill>
                <a:sysClr val="windowText" lastClr="000000"/>
              </a:solidFill>
            </a:rPr>
            <a:t>Services et unités en lien avec l'UQTR</a:t>
          </a:r>
        </a:p>
      </dgm:t>
    </dgm:pt>
    <dgm:pt modelId="{23E2AD6A-0D9F-4383-88EB-AC4D36FC0DDD}" type="parTrans" cxnId="{551AD251-E23A-4070-BCAE-AFEE55E16DC5}">
      <dgm:prSet/>
      <dgm:spPr>
        <a:solidFill>
          <a:schemeClr val="bg1">
            <a:lumMod val="95000"/>
          </a:schemeClr>
        </a:solidFill>
        <a:ln>
          <a:solidFill>
            <a:schemeClr val="bg1">
              <a:lumMod val="75000"/>
            </a:schemeClr>
          </a:solidFill>
        </a:ln>
      </dgm:spPr>
      <dgm:t>
        <a:bodyPr/>
        <a:lstStyle/>
        <a:p>
          <a:endParaRPr lang="fr-CA" sz="1100" b="0">
            <a:solidFill>
              <a:sysClr val="windowText" lastClr="000000"/>
            </a:solidFill>
          </a:endParaRPr>
        </a:p>
      </dgm:t>
    </dgm:pt>
    <dgm:pt modelId="{18BEE971-07DD-466E-87C2-39D906D27D62}" type="sibTrans" cxnId="{551AD251-E23A-4070-BCAE-AFEE55E16DC5}">
      <dgm:prSet/>
      <dgm:spPr/>
      <dgm:t>
        <a:bodyPr/>
        <a:lstStyle/>
        <a:p>
          <a:endParaRPr lang="fr-CA"/>
        </a:p>
      </dgm:t>
    </dgm:pt>
    <dgm:pt modelId="{EA732AB1-4D3D-485E-96CB-4AB2B91DD7A2}" type="asst">
      <dgm:prSet phldrT="[Texte]" custT="1"/>
      <dgm:spPr>
        <a:solidFill>
          <a:srgbClr val="0070C0"/>
        </a:solidFill>
        <a:ln>
          <a:solidFill>
            <a:schemeClr val="bg1">
              <a:lumMod val="75000"/>
            </a:schemeClr>
          </a:solidFill>
        </a:ln>
      </dgm:spPr>
      <dgm:t>
        <a:bodyPr/>
        <a:lstStyle/>
        <a:p>
          <a:r>
            <a:rPr lang="fr-CA" sz="1100" b="0">
              <a:solidFill>
                <a:sysClr val="windowText" lastClr="000000"/>
              </a:solidFill>
            </a:rPr>
            <a:t>Chargés de cours</a:t>
          </a:r>
        </a:p>
      </dgm:t>
    </dgm:pt>
    <dgm:pt modelId="{C6E4E629-DFC0-4B68-9194-9BBCBA631857}" type="parTrans" cxnId="{54878174-4255-410C-856E-5B4732D71BD8}">
      <dgm:prSet/>
      <dgm:spPr>
        <a:ln>
          <a:solidFill>
            <a:schemeClr val="bg1">
              <a:lumMod val="75000"/>
            </a:schemeClr>
          </a:solidFill>
        </a:ln>
      </dgm:spPr>
      <dgm:t>
        <a:bodyPr/>
        <a:lstStyle/>
        <a:p>
          <a:endParaRPr lang="fr-CA" sz="1100" b="0"/>
        </a:p>
      </dgm:t>
    </dgm:pt>
    <dgm:pt modelId="{4D225BF0-FBDF-4D10-ADFE-FE21BEB96521}" type="sibTrans" cxnId="{54878174-4255-410C-856E-5B4732D71BD8}">
      <dgm:prSet/>
      <dgm:spPr/>
      <dgm:t>
        <a:bodyPr/>
        <a:lstStyle/>
        <a:p>
          <a:endParaRPr lang="fr-CA"/>
        </a:p>
      </dgm:t>
    </dgm:pt>
    <dgm:pt modelId="{D2FE42CC-1631-4A80-8D37-5338C1C727EA}" type="asst">
      <dgm:prSet phldrT="[Texte]" custT="1"/>
      <dgm:spPr>
        <a:solidFill>
          <a:srgbClr val="00703C"/>
        </a:solidFill>
        <a:ln>
          <a:solidFill>
            <a:schemeClr val="bg1">
              <a:lumMod val="75000"/>
            </a:schemeClr>
          </a:solidFill>
        </a:ln>
      </dgm:spPr>
      <dgm:t>
        <a:bodyPr/>
        <a:lstStyle/>
        <a:p>
          <a:r>
            <a:rPr lang="fr-CA" sz="1100" b="0">
              <a:solidFill>
                <a:schemeClr val="tx1"/>
              </a:solidFill>
            </a:rPr>
            <a:t>Professorat et recherche</a:t>
          </a:r>
        </a:p>
      </dgm:t>
    </dgm:pt>
    <dgm:pt modelId="{331EDA3A-6EDB-468D-BF18-811113C05848}" type="parTrans" cxnId="{807AE180-AFDA-4747-8384-454B03B4C936}">
      <dgm:prSet/>
      <dgm:spPr>
        <a:ln>
          <a:solidFill>
            <a:schemeClr val="bg1">
              <a:lumMod val="75000"/>
            </a:schemeClr>
          </a:solidFill>
        </a:ln>
      </dgm:spPr>
      <dgm:t>
        <a:bodyPr/>
        <a:lstStyle/>
        <a:p>
          <a:endParaRPr lang="fr-CA" sz="1100" b="0"/>
        </a:p>
      </dgm:t>
    </dgm:pt>
    <dgm:pt modelId="{A5640B48-ED1F-4C23-AFCD-576680B2C7A2}" type="sibTrans" cxnId="{807AE180-AFDA-4747-8384-454B03B4C936}">
      <dgm:prSet/>
      <dgm:spPr/>
      <dgm:t>
        <a:bodyPr/>
        <a:lstStyle/>
        <a:p>
          <a:endParaRPr lang="fr-CA"/>
        </a:p>
      </dgm:t>
    </dgm:pt>
    <dgm:pt modelId="{A59D2CF5-B3CB-4434-8278-6A5099A0C327}" type="asst">
      <dgm:prSet phldrT="[Texte]" custT="1"/>
      <dgm:spPr>
        <a:solidFill>
          <a:srgbClr val="00703C"/>
        </a:solidFill>
        <a:ln>
          <a:solidFill>
            <a:schemeClr val="bg1">
              <a:lumMod val="75000"/>
            </a:schemeClr>
          </a:solidFill>
        </a:ln>
      </dgm:spPr>
      <dgm:t>
        <a:bodyPr/>
        <a:lstStyle/>
        <a:p>
          <a:r>
            <a:rPr lang="fr-CA" sz="1100" b="0">
              <a:solidFill>
                <a:sysClr val="windowText" lastClr="000000"/>
              </a:solidFill>
            </a:rPr>
            <a:t>Cours en ligne</a:t>
          </a:r>
        </a:p>
      </dgm:t>
    </dgm:pt>
    <dgm:pt modelId="{D33F6302-2F70-4B18-A425-A6F577FFD99F}" type="parTrans" cxnId="{328EDE1A-7C7C-4859-B330-65F73DE1A00B}">
      <dgm:prSet/>
      <dgm:spPr>
        <a:ln>
          <a:solidFill>
            <a:schemeClr val="bg1">
              <a:lumMod val="75000"/>
            </a:schemeClr>
          </a:solidFill>
        </a:ln>
      </dgm:spPr>
      <dgm:t>
        <a:bodyPr/>
        <a:lstStyle/>
        <a:p>
          <a:endParaRPr lang="fr-CA" sz="1100" b="0"/>
        </a:p>
      </dgm:t>
    </dgm:pt>
    <dgm:pt modelId="{621912F2-11CF-4E6E-A48A-39AD05BA06B9}" type="sibTrans" cxnId="{328EDE1A-7C7C-4859-B330-65F73DE1A00B}">
      <dgm:prSet/>
      <dgm:spPr/>
      <dgm:t>
        <a:bodyPr/>
        <a:lstStyle/>
        <a:p>
          <a:endParaRPr lang="fr-CA"/>
        </a:p>
      </dgm:t>
    </dgm:pt>
    <dgm:pt modelId="{29C8773F-A53F-4E3B-921E-CF40D115C07B}">
      <dgm:prSet phldrT="[Texte]" custT="1"/>
      <dgm:spPr>
        <a:solidFill>
          <a:srgbClr val="C4960C"/>
        </a:solidFill>
        <a:ln>
          <a:solidFill>
            <a:schemeClr val="bg1">
              <a:lumMod val="75000"/>
            </a:schemeClr>
          </a:solidFill>
        </a:ln>
      </dgm:spPr>
      <dgm:t>
        <a:bodyPr/>
        <a:lstStyle/>
        <a:p>
          <a:r>
            <a:rPr lang="fr-CA" sz="1100" b="0">
              <a:solidFill>
                <a:sysClr val="windowText" lastClr="000000"/>
              </a:solidFill>
            </a:rPr>
            <a:t>Maintenance</a:t>
          </a:r>
        </a:p>
      </dgm:t>
    </dgm:pt>
    <dgm:pt modelId="{B142F489-97F4-412E-A2A0-0A1BA2C4DDB4}" type="parTrans" cxnId="{22D4C229-A30D-4102-B5E8-E86A9B408531}">
      <dgm:prSet/>
      <dgm:spPr>
        <a:ln>
          <a:solidFill>
            <a:schemeClr val="bg1">
              <a:lumMod val="75000"/>
            </a:schemeClr>
          </a:solidFill>
        </a:ln>
      </dgm:spPr>
      <dgm:t>
        <a:bodyPr/>
        <a:lstStyle/>
        <a:p>
          <a:endParaRPr lang="fr-CA"/>
        </a:p>
      </dgm:t>
    </dgm:pt>
    <dgm:pt modelId="{F07CF5C8-A379-4959-BB6D-8F1649779E24}" type="sibTrans" cxnId="{22D4C229-A30D-4102-B5E8-E86A9B408531}">
      <dgm:prSet/>
      <dgm:spPr/>
      <dgm:t>
        <a:bodyPr/>
        <a:lstStyle/>
        <a:p>
          <a:endParaRPr lang="fr-CA"/>
        </a:p>
      </dgm:t>
    </dgm:pt>
    <dgm:pt modelId="{D77539A6-5BBE-4D68-8A73-A309A2326777}">
      <dgm:prSet phldrT="[Texte]" custT="1"/>
      <dgm:spPr>
        <a:solidFill>
          <a:srgbClr val="00703C"/>
        </a:solidFill>
        <a:ln>
          <a:solidFill>
            <a:schemeClr val="bg1">
              <a:lumMod val="75000"/>
            </a:schemeClr>
          </a:solidFill>
        </a:ln>
      </dgm:spPr>
      <dgm:t>
        <a:bodyPr/>
        <a:lstStyle/>
        <a:p>
          <a:r>
            <a:rPr lang="fr-CA" sz="1100" b="0">
              <a:solidFill>
                <a:sysClr val="windowText" lastClr="000000"/>
              </a:solidFill>
            </a:rPr>
            <a:t>Services administratifs</a:t>
          </a:r>
        </a:p>
      </dgm:t>
    </dgm:pt>
    <dgm:pt modelId="{A070FF03-2866-4363-A8AE-993983726253}" type="parTrans" cxnId="{CA725994-2BFE-4815-86C7-5D0F8E28C3D8}">
      <dgm:prSet/>
      <dgm:spPr>
        <a:ln>
          <a:solidFill>
            <a:schemeClr val="bg1">
              <a:lumMod val="75000"/>
            </a:schemeClr>
          </a:solidFill>
        </a:ln>
      </dgm:spPr>
      <dgm:t>
        <a:bodyPr/>
        <a:lstStyle/>
        <a:p>
          <a:endParaRPr lang="fr-CA"/>
        </a:p>
      </dgm:t>
    </dgm:pt>
    <dgm:pt modelId="{28BB3DE1-434A-4CAE-910D-60BB80BD7DE4}" type="sibTrans" cxnId="{CA725994-2BFE-4815-86C7-5D0F8E28C3D8}">
      <dgm:prSet/>
      <dgm:spPr/>
      <dgm:t>
        <a:bodyPr/>
        <a:lstStyle/>
        <a:p>
          <a:endParaRPr lang="fr-CA"/>
        </a:p>
      </dgm:t>
    </dgm:pt>
    <dgm:pt modelId="{598CBAB9-3D19-493F-A1E9-3853CCF0CE18}">
      <dgm:prSet phldrT="[Texte]" custT="1"/>
      <dgm:spPr>
        <a:solidFill>
          <a:srgbClr val="C4960C"/>
        </a:solidFill>
        <a:ln>
          <a:solidFill>
            <a:schemeClr val="bg1">
              <a:lumMod val="75000"/>
            </a:schemeClr>
          </a:solidFill>
        </a:ln>
      </dgm:spPr>
      <dgm:t>
        <a:bodyPr/>
        <a:lstStyle/>
        <a:p>
          <a:r>
            <a:rPr lang="fr-CA" sz="1100" b="0">
              <a:solidFill>
                <a:sysClr val="windowText" lastClr="000000"/>
              </a:solidFill>
            </a:rPr>
            <a:t>Sécurité</a:t>
          </a:r>
        </a:p>
      </dgm:t>
    </dgm:pt>
    <dgm:pt modelId="{F3ADC4AE-2544-4EBB-89CD-188751C99A89}" type="parTrans" cxnId="{E33FCFF0-F6F7-4269-9557-6B2EE97B6DC5}">
      <dgm:prSet/>
      <dgm:spPr/>
      <dgm:t>
        <a:bodyPr/>
        <a:lstStyle/>
        <a:p>
          <a:endParaRPr lang="fr-CA"/>
        </a:p>
      </dgm:t>
    </dgm:pt>
    <dgm:pt modelId="{41FF673B-506C-4154-B241-E791DDB624F9}" type="sibTrans" cxnId="{E33FCFF0-F6F7-4269-9557-6B2EE97B6DC5}">
      <dgm:prSet/>
      <dgm:spPr/>
      <dgm:t>
        <a:bodyPr/>
        <a:lstStyle/>
        <a:p>
          <a:endParaRPr lang="fr-CA"/>
        </a:p>
      </dgm:t>
    </dgm:pt>
    <dgm:pt modelId="{478ECFE1-E65D-4FA8-A0CB-918D34EEB240}" type="pres">
      <dgm:prSet presAssocID="{7F3042D8-C5E8-4AD0-8AA5-6212FC891A4F}" presName="hierChild1" presStyleCnt="0">
        <dgm:presLayoutVars>
          <dgm:orgChart val="1"/>
          <dgm:chPref val="1"/>
          <dgm:dir/>
          <dgm:animOne val="branch"/>
          <dgm:animLvl val="lvl"/>
          <dgm:resizeHandles/>
        </dgm:presLayoutVars>
      </dgm:prSet>
      <dgm:spPr/>
      <dgm:t>
        <a:bodyPr/>
        <a:lstStyle/>
        <a:p>
          <a:endParaRPr lang="fr-CA"/>
        </a:p>
      </dgm:t>
    </dgm:pt>
    <dgm:pt modelId="{FE95447D-8C9F-4E9D-8D52-2573C7243FDD}" type="pres">
      <dgm:prSet presAssocID="{4E391C62-2DC2-4747-81CC-9DD6E02C70C5}" presName="hierRoot1" presStyleCnt="0">
        <dgm:presLayoutVars>
          <dgm:hierBranch val="init"/>
        </dgm:presLayoutVars>
      </dgm:prSet>
      <dgm:spPr/>
    </dgm:pt>
    <dgm:pt modelId="{11F28598-2AFC-457E-B254-52FE9351CAF6}" type="pres">
      <dgm:prSet presAssocID="{4E391C62-2DC2-4747-81CC-9DD6E02C70C5}" presName="rootComposite1" presStyleCnt="0"/>
      <dgm:spPr/>
    </dgm:pt>
    <dgm:pt modelId="{F0B6F898-C2CE-4086-9801-56C045DA96FA}" type="pres">
      <dgm:prSet presAssocID="{4E391C62-2DC2-4747-81CC-9DD6E02C70C5}" presName="rootText1" presStyleLbl="node0" presStyleIdx="0" presStyleCnt="1" custScaleX="128476" custScaleY="122614">
        <dgm:presLayoutVars>
          <dgm:chPref val="3"/>
        </dgm:presLayoutVars>
      </dgm:prSet>
      <dgm:spPr/>
      <dgm:t>
        <a:bodyPr/>
        <a:lstStyle/>
        <a:p>
          <a:endParaRPr lang="fr-CA"/>
        </a:p>
      </dgm:t>
    </dgm:pt>
    <dgm:pt modelId="{0AFAE519-94A3-4808-A12D-8C327BFC791D}" type="pres">
      <dgm:prSet presAssocID="{4E391C62-2DC2-4747-81CC-9DD6E02C70C5}" presName="rootConnector1" presStyleLbl="node1" presStyleIdx="0" presStyleCnt="0"/>
      <dgm:spPr/>
      <dgm:t>
        <a:bodyPr/>
        <a:lstStyle/>
        <a:p>
          <a:endParaRPr lang="fr-CA"/>
        </a:p>
      </dgm:t>
    </dgm:pt>
    <dgm:pt modelId="{1E66AE04-B440-4DBF-AA7B-624983FEBF09}" type="pres">
      <dgm:prSet presAssocID="{4E391C62-2DC2-4747-81CC-9DD6E02C70C5}" presName="hierChild2" presStyleCnt="0"/>
      <dgm:spPr/>
    </dgm:pt>
    <dgm:pt modelId="{75D0F590-B358-47E3-B694-695FD4B9761B}" type="pres">
      <dgm:prSet presAssocID="{B142F489-97F4-412E-A2A0-0A1BA2C4DDB4}" presName="Name37" presStyleLbl="parChTrans1D2" presStyleIdx="0" presStyleCnt="5"/>
      <dgm:spPr/>
      <dgm:t>
        <a:bodyPr/>
        <a:lstStyle/>
        <a:p>
          <a:endParaRPr lang="fr-CA"/>
        </a:p>
      </dgm:t>
    </dgm:pt>
    <dgm:pt modelId="{2361009B-AD0A-4AB9-B849-1D44F3FD96A5}" type="pres">
      <dgm:prSet presAssocID="{29C8773F-A53F-4E3B-921E-CF40D115C07B}" presName="hierRoot2" presStyleCnt="0">
        <dgm:presLayoutVars>
          <dgm:hierBranch val="init"/>
        </dgm:presLayoutVars>
      </dgm:prSet>
      <dgm:spPr/>
    </dgm:pt>
    <dgm:pt modelId="{DDE9582E-FAD3-448B-B26F-C341505C177F}" type="pres">
      <dgm:prSet presAssocID="{29C8773F-A53F-4E3B-921E-CF40D115C07B}" presName="rootComposite" presStyleCnt="0"/>
      <dgm:spPr/>
    </dgm:pt>
    <dgm:pt modelId="{DB60AC2A-C1F0-46FB-B786-B4D10E7D0ADA}" type="pres">
      <dgm:prSet presAssocID="{29C8773F-A53F-4E3B-921E-CF40D115C07B}" presName="rootText" presStyleLbl="node2" presStyleIdx="0" presStyleCnt="3" custScaleX="121237">
        <dgm:presLayoutVars>
          <dgm:chPref val="3"/>
        </dgm:presLayoutVars>
      </dgm:prSet>
      <dgm:spPr/>
      <dgm:t>
        <a:bodyPr/>
        <a:lstStyle/>
        <a:p>
          <a:endParaRPr lang="fr-CA"/>
        </a:p>
      </dgm:t>
    </dgm:pt>
    <dgm:pt modelId="{8B4B74C1-89CD-43D3-8CA1-D27FDDCA404A}" type="pres">
      <dgm:prSet presAssocID="{29C8773F-A53F-4E3B-921E-CF40D115C07B}" presName="rootConnector" presStyleLbl="node2" presStyleIdx="0" presStyleCnt="3"/>
      <dgm:spPr/>
      <dgm:t>
        <a:bodyPr/>
        <a:lstStyle/>
        <a:p>
          <a:endParaRPr lang="fr-CA"/>
        </a:p>
      </dgm:t>
    </dgm:pt>
    <dgm:pt modelId="{568B0008-7532-4F3F-8A5C-FE007C460F44}" type="pres">
      <dgm:prSet presAssocID="{29C8773F-A53F-4E3B-921E-CF40D115C07B}" presName="hierChild4" presStyleCnt="0"/>
      <dgm:spPr/>
    </dgm:pt>
    <dgm:pt modelId="{153DB9FB-B98C-4053-93C8-3D5004A7B06A}" type="pres">
      <dgm:prSet presAssocID="{29C8773F-A53F-4E3B-921E-CF40D115C07B}" presName="hierChild5" presStyleCnt="0"/>
      <dgm:spPr/>
    </dgm:pt>
    <dgm:pt modelId="{A9B9B840-731C-4AA7-B187-E63AA5466DC2}" type="pres">
      <dgm:prSet presAssocID="{F3ADC4AE-2544-4EBB-89CD-188751C99A89}" presName="Name37" presStyleLbl="parChTrans1D2" presStyleIdx="1" presStyleCnt="5"/>
      <dgm:spPr/>
      <dgm:t>
        <a:bodyPr/>
        <a:lstStyle/>
        <a:p>
          <a:endParaRPr lang="fr-CA"/>
        </a:p>
      </dgm:t>
    </dgm:pt>
    <dgm:pt modelId="{F697B1BE-DE58-415F-B74B-26D2CBE6C24B}" type="pres">
      <dgm:prSet presAssocID="{598CBAB9-3D19-493F-A1E9-3853CCF0CE18}" presName="hierRoot2" presStyleCnt="0">
        <dgm:presLayoutVars>
          <dgm:hierBranch val="init"/>
        </dgm:presLayoutVars>
      </dgm:prSet>
      <dgm:spPr/>
    </dgm:pt>
    <dgm:pt modelId="{50E7B95B-B3BB-4F8D-B692-E605462BD566}" type="pres">
      <dgm:prSet presAssocID="{598CBAB9-3D19-493F-A1E9-3853CCF0CE18}" presName="rootComposite" presStyleCnt="0"/>
      <dgm:spPr/>
    </dgm:pt>
    <dgm:pt modelId="{D966EA06-956D-48ED-AE3F-B8AF43C5242F}" type="pres">
      <dgm:prSet presAssocID="{598CBAB9-3D19-493F-A1E9-3853CCF0CE18}" presName="rootText" presStyleLbl="node2" presStyleIdx="1" presStyleCnt="3">
        <dgm:presLayoutVars>
          <dgm:chPref val="3"/>
        </dgm:presLayoutVars>
      </dgm:prSet>
      <dgm:spPr/>
      <dgm:t>
        <a:bodyPr/>
        <a:lstStyle/>
        <a:p>
          <a:endParaRPr lang="fr-CA"/>
        </a:p>
      </dgm:t>
    </dgm:pt>
    <dgm:pt modelId="{5BD9F653-171B-463E-88EC-08B7A11DD48D}" type="pres">
      <dgm:prSet presAssocID="{598CBAB9-3D19-493F-A1E9-3853CCF0CE18}" presName="rootConnector" presStyleLbl="node2" presStyleIdx="1" presStyleCnt="3"/>
      <dgm:spPr/>
      <dgm:t>
        <a:bodyPr/>
        <a:lstStyle/>
        <a:p>
          <a:endParaRPr lang="fr-CA"/>
        </a:p>
      </dgm:t>
    </dgm:pt>
    <dgm:pt modelId="{2E928ACA-CBB2-4F64-81F2-095188FE7B20}" type="pres">
      <dgm:prSet presAssocID="{598CBAB9-3D19-493F-A1E9-3853CCF0CE18}" presName="hierChild4" presStyleCnt="0"/>
      <dgm:spPr/>
    </dgm:pt>
    <dgm:pt modelId="{70FE3DFB-9BC0-4724-A8C4-192E162F29FE}" type="pres">
      <dgm:prSet presAssocID="{598CBAB9-3D19-493F-A1E9-3853CCF0CE18}" presName="hierChild5" presStyleCnt="0"/>
      <dgm:spPr/>
    </dgm:pt>
    <dgm:pt modelId="{2AE4223F-223F-45D4-9717-D0B34237AE7B}" type="pres">
      <dgm:prSet presAssocID="{A070FF03-2866-4363-A8AE-993983726253}" presName="Name37" presStyleLbl="parChTrans1D2" presStyleIdx="2" presStyleCnt="5"/>
      <dgm:spPr/>
      <dgm:t>
        <a:bodyPr/>
        <a:lstStyle/>
        <a:p>
          <a:endParaRPr lang="fr-CA"/>
        </a:p>
      </dgm:t>
    </dgm:pt>
    <dgm:pt modelId="{F4EC8479-084E-4DD7-9A88-2E5ED3FDC4CD}" type="pres">
      <dgm:prSet presAssocID="{D77539A6-5BBE-4D68-8A73-A309A2326777}" presName="hierRoot2" presStyleCnt="0">
        <dgm:presLayoutVars>
          <dgm:hierBranch val="init"/>
        </dgm:presLayoutVars>
      </dgm:prSet>
      <dgm:spPr/>
    </dgm:pt>
    <dgm:pt modelId="{22C99986-EE5D-4A77-A636-942753D7DFFA}" type="pres">
      <dgm:prSet presAssocID="{D77539A6-5BBE-4D68-8A73-A309A2326777}" presName="rootComposite" presStyleCnt="0"/>
      <dgm:spPr/>
    </dgm:pt>
    <dgm:pt modelId="{3C411877-C8D9-4C1C-8CBD-D692A78D5551}" type="pres">
      <dgm:prSet presAssocID="{D77539A6-5BBE-4D68-8A73-A309A2326777}" presName="rootText" presStyleLbl="node2" presStyleIdx="2" presStyleCnt="3" custScaleX="135381" custScaleY="122379">
        <dgm:presLayoutVars>
          <dgm:chPref val="3"/>
        </dgm:presLayoutVars>
      </dgm:prSet>
      <dgm:spPr/>
      <dgm:t>
        <a:bodyPr/>
        <a:lstStyle/>
        <a:p>
          <a:endParaRPr lang="fr-CA"/>
        </a:p>
      </dgm:t>
    </dgm:pt>
    <dgm:pt modelId="{9DAA1245-749C-4664-B445-6B956D134601}" type="pres">
      <dgm:prSet presAssocID="{D77539A6-5BBE-4D68-8A73-A309A2326777}" presName="rootConnector" presStyleLbl="node2" presStyleIdx="2" presStyleCnt="3"/>
      <dgm:spPr/>
      <dgm:t>
        <a:bodyPr/>
        <a:lstStyle/>
        <a:p>
          <a:endParaRPr lang="fr-CA"/>
        </a:p>
      </dgm:t>
    </dgm:pt>
    <dgm:pt modelId="{5A401349-6C2F-489B-9286-9020DB3038AE}" type="pres">
      <dgm:prSet presAssocID="{D77539A6-5BBE-4D68-8A73-A309A2326777}" presName="hierChild4" presStyleCnt="0"/>
      <dgm:spPr/>
    </dgm:pt>
    <dgm:pt modelId="{09822253-9177-4058-BF33-0EE16D9B63C7}" type="pres">
      <dgm:prSet presAssocID="{D77539A6-5BBE-4D68-8A73-A309A2326777}" presName="hierChild5" presStyleCnt="0"/>
      <dgm:spPr/>
    </dgm:pt>
    <dgm:pt modelId="{40172A2D-3AB4-4113-A2D8-EBE0384173D4}" type="pres">
      <dgm:prSet presAssocID="{4E391C62-2DC2-4747-81CC-9DD6E02C70C5}" presName="hierChild3" presStyleCnt="0"/>
      <dgm:spPr/>
    </dgm:pt>
    <dgm:pt modelId="{C4179974-56D9-4C7F-947F-5BB845358754}" type="pres">
      <dgm:prSet presAssocID="{8782C248-EE5B-4A67-A69C-76B3FFB71913}" presName="Name111" presStyleLbl="parChTrans1D2" presStyleIdx="3" presStyleCnt="5" custSzX="858303" custSzY="530472"/>
      <dgm:spPr/>
      <dgm:t>
        <a:bodyPr/>
        <a:lstStyle/>
        <a:p>
          <a:endParaRPr lang="fr-CA"/>
        </a:p>
      </dgm:t>
    </dgm:pt>
    <dgm:pt modelId="{3A792DD8-1733-4CD3-8B70-ACB4DB920585}" type="pres">
      <dgm:prSet presAssocID="{85A81ECA-2DBE-4CC4-908D-FB6DE7E40782}" presName="hierRoot3" presStyleCnt="0">
        <dgm:presLayoutVars>
          <dgm:hierBranch val="init"/>
        </dgm:presLayoutVars>
      </dgm:prSet>
      <dgm:spPr/>
    </dgm:pt>
    <dgm:pt modelId="{B808F747-5CDD-4280-ADD5-E07B3EC8DC98}" type="pres">
      <dgm:prSet presAssocID="{85A81ECA-2DBE-4CC4-908D-FB6DE7E40782}" presName="rootComposite3" presStyleCnt="0"/>
      <dgm:spPr/>
    </dgm:pt>
    <dgm:pt modelId="{F02CC53F-F191-4DD6-865A-DD513A7BF9CF}" type="pres">
      <dgm:prSet presAssocID="{85A81ECA-2DBE-4CC4-908D-FB6DE7E40782}" presName="rootText3" presStyleLbl="asst1" presStyleIdx="0" presStyleCnt="5" custScaleX="140573" custScaleY="122614">
        <dgm:presLayoutVars>
          <dgm:chPref val="3"/>
        </dgm:presLayoutVars>
      </dgm:prSet>
      <dgm:spPr/>
      <dgm:t>
        <a:bodyPr/>
        <a:lstStyle/>
        <a:p>
          <a:endParaRPr lang="fr-CA"/>
        </a:p>
      </dgm:t>
    </dgm:pt>
    <dgm:pt modelId="{765FC16E-4076-4257-8F87-3B1980CE40CC}" type="pres">
      <dgm:prSet presAssocID="{85A81ECA-2DBE-4CC4-908D-FB6DE7E40782}" presName="rootConnector3" presStyleLbl="asst1" presStyleIdx="0" presStyleCnt="5"/>
      <dgm:spPr/>
      <dgm:t>
        <a:bodyPr/>
        <a:lstStyle/>
        <a:p>
          <a:endParaRPr lang="fr-CA"/>
        </a:p>
      </dgm:t>
    </dgm:pt>
    <dgm:pt modelId="{F365E5D8-B2EF-4DE5-BF58-E63F6FFDD7AD}" type="pres">
      <dgm:prSet presAssocID="{85A81ECA-2DBE-4CC4-908D-FB6DE7E40782}" presName="hierChild6" presStyleCnt="0"/>
      <dgm:spPr/>
    </dgm:pt>
    <dgm:pt modelId="{E695FB1C-828F-4AF3-A479-CF29C939DBEC}" type="pres">
      <dgm:prSet presAssocID="{85A81ECA-2DBE-4CC4-908D-FB6DE7E40782}" presName="hierChild7" presStyleCnt="0"/>
      <dgm:spPr/>
    </dgm:pt>
    <dgm:pt modelId="{4CA09E3D-2054-496B-9C07-DF89C0537A07}" type="pres">
      <dgm:prSet presAssocID="{C6E4E629-DFC0-4B68-9194-9BBCBA631857}" presName="Name111" presStyleLbl="parChTrans1D3" presStyleIdx="0" presStyleCnt="7"/>
      <dgm:spPr/>
      <dgm:t>
        <a:bodyPr/>
        <a:lstStyle/>
        <a:p>
          <a:endParaRPr lang="fr-CA"/>
        </a:p>
      </dgm:t>
    </dgm:pt>
    <dgm:pt modelId="{BBA59F6B-EA1E-46B6-A036-BD7EEB85E7EB}" type="pres">
      <dgm:prSet presAssocID="{EA732AB1-4D3D-485E-96CB-4AB2B91DD7A2}" presName="hierRoot3" presStyleCnt="0">
        <dgm:presLayoutVars>
          <dgm:hierBranch val="init"/>
        </dgm:presLayoutVars>
      </dgm:prSet>
      <dgm:spPr/>
    </dgm:pt>
    <dgm:pt modelId="{C8E81FAF-D993-42E4-8316-4D66DC262BE8}" type="pres">
      <dgm:prSet presAssocID="{EA732AB1-4D3D-485E-96CB-4AB2B91DD7A2}" presName="rootComposite3" presStyleCnt="0"/>
      <dgm:spPr/>
    </dgm:pt>
    <dgm:pt modelId="{9F9742A3-CFD2-4FA5-850E-206EC3D24F9A}" type="pres">
      <dgm:prSet presAssocID="{EA732AB1-4D3D-485E-96CB-4AB2B91DD7A2}" presName="rootText3" presStyleLbl="asst1" presStyleIdx="1" presStyleCnt="5">
        <dgm:presLayoutVars>
          <dgm:chPref val="3"/>
        </dgm:presLayoutVars>
      </dgm:prSet>
      <dgm:spPr/>
      <dgm:t>
        <a:bodyPr/>
        <a:lstStyle/>
        <a:p>
          <a:endParaRPr lang="fr-CA"/>
        </a:p>
      </dgm:t>
    </dgm:pt>
    <dgm:pt modelId="{A6AD0552-5BE2-4E21-84E7-C38A05DC6843}" type="pres">
      <dgm:prSet presAssocID="{EA732AB1-4D3D-485E-96CB-4AB2B91DD7A2}" presName="rootConnector3" presStyleLbl="asst1" presStyleIdx="1" presStyleCnt="5"/>
      <dgm:spPr/>
      <dgm:t>
        <a:bodyPr/>
        <a:lstStyle/>
        <a:p>
          <a:endParaRPr lang="fr-CA"/>
        </a:p>
      </dgm:t>
    </dgm:pt>
    <dgm:pt modelId="{1A44BC85-6305-4D36-9CEE-0D8C88218ED6}" type="pres">
      <dgm:prSet presAssocID="{EA732AB1-4D3D-485E-96CB-4AB2B91DD7A2}" presName="hierChild6" presStyleCnt="0"/>
      <dgm:spPr/>
    </dgm:pt>
    <dgm:pt modelId="{08B4A11E-992E-4D79-BA4D-21D3593E4446}" type="pres">
      <dgm:prSet presAssocID="{EA732AB1-4D3D-485E-96CB-4AB2B91DD7A2}" presName="hierChild7" presStyleCnt="0"/>
      <dgm:spPr/>
    </dgm:pt>
    <dgm:pt modelId="{F237E681-F190-48D4-9628-8B6EE7C5CA31}" type="pres">
      <dgm:prSet presAssocID="{331EDA3A-6EDB-468D-BF18-811113C05848}" presName="Name111" presStyleLbl="parChTrans1D3" presStyleIdx="1" presStyleCnt="7"/>
      <dgm:spPr/>
      <dgm:t>
        <a:bodyPr/>
        <a:lstStyle/>
        <a:p>
          <a:endParaRPr lang="fr-CA"/>
        </a:p>
      </dgm:t>
    </dgm:pt>
    <dgm:pt modelId="{B937362A-1DAB-4548-96AC-1A7E204D551F}" type="pres">
      <dgm:prSet presAssocID="{D2FE42CC-1631-4A80-8D37-5338C1C727EA}" presName="hierRoot3" presStyleCnt="0">
        <dgm:presLayoutVars>
          <dgm:hierBranch val="init"/>
        </dgm:presLayoutVars>
      </dgm:prSet>
      <dgm:spPr/>
    </dgm:pt>
    <dgm:pt modelId="{323B9A42-576F-4BE0-A320-61720F5764CB}" type="pres">
      <dgm:prSet presAssocID="{D2FE42CC-1631-4A80-8D37-5338C1C727EA}" presName="rootComposite3" presStyleCnt="0"/>
      <dgm:spPr/>
    </dgm:pt>
    <dgm:pt modelId="{47FE9582-55A8-49D5-9F32-0081E125DCAF}" type="pres">
      <dgm:prSet presAssocID="{D2FE42CC-1631-4A80-8D37-5338C1C727EA}" presName="rootText3" presStyleLbl="asst1" presStyleIdx="2" presStyleCnt="5" custScaleX="118186" custScaleY="140491">
        <dgm:presLayoutVars>
          <dgm:chPref val="3"/>
        </dgm:presLayoutVars>
      </dgm:prSet>
      <dgm:spPr/>
      <dgm:t>
        <a:bodyPr/>
        <a:lstStyle/>
        <a:p>
          <a:endParaRPr lang="fr-CA"/>
        </a:p>
      </dgm:t>
    </dgm:pt>
    <dgm:pt modelId="{91881117-C95F-4684-B1EC-44C48266EC7C}" type="pres">
      <dgm:prSet presAssocID="{D2FE42CC-1631-4A80-8D37-5338C1C727EA}" presName="rootConnector3" presStyleLbl="asst1" presStyleIdx="2" presStyleCnt="5"/>
      <dgm:spPr/>
      <dgm:t>
        <a:bodyPr/>
        <a:lstStyle/>
        <a:p>
          <a:endParaRPr lang="fr-CA"/>
        </a:p>
      </dgm:t>
    </dgm:pt>
    <dgm:pt modelId="{8EC3279B-122A-49F0-A8F7-B289D42C8443}" type="pres">
      <dgm:prSet presAssocID="{D2FE42CC-1631-4A80-8D37-5338C1C727EA}" presName="hierChild6" presStyleCnt="0"/>
      <dgm:spPr/>
    </dgm:pt>
    <dgm:pt modelId="{3DB59B8C-DCA2-4F99-BAAF-5063A1187181}" type="pres">
      <dgm:prSet presAssocID="{D2FE42CC-1631-4A80-8D37-5338C1C727EA}" presName="hierChild7" presStyleCnt="0"/>
      <dgm:spPr/>
    </dgm:pt>
    <dgm:pt modelId="{ED1A57F4-21A7-447D-8C89-2A181F835109}" type="pres">
      <dgm:prSet presAssocID="{D33F6302-2F70-4B18-A425-A6F577FFD99F}" presName="Name111" presStyleLbl="parChTrans1D3" presStyleIdx="2" presStyleCnt="7"/>
      <dgm:spPr/>
      <dgm:t>
        <a:bodyPr/>
        <a:lstStyle/>
        <a:p>
          <a:endParaRPr lang="fr-CA"/>
        </a:p>
      </dgm:t>
    </dgm:pt>
    <dgm:pt modelId="{D77442E0-C8D6-47F4-A57C-5373921BA5CA}" type="pres">
      <dgm:prSet presAssocID="{A59D2CF5-B3CB-4434-8278-6A5099A0C327}" presName="hierRoot3" presStyleCnt="0">
        <dgm:presLayoutVars>
          <dgm:hierBranch val="init"/>
        </dgm:presLayoutVars>
      </dgm:prSet>
      <dgm:spPr/>
    </dgm:pt>
    <dgm:pt modelId="{15E8DBE9-45F1-410B-90C8-49DACE5600E5}" type="pres">
      <dgm:prSet presAssocID="{A59D2CF5-B3CB-4434-8278-6A5099A0C327}" presName="rootComposite3" presStyleCnt="0"/>
      <dgm:spPr/>
    </dgm:pt>
    <dgm:pt modelId="{C0E85A03-CFB0-4746-9305-18E46ED1A85F}" type="pres">
      <dgm:prSet presAssocID="{A59D2CF5-B3CB-4434-8278-6A5099A0C327}" presName="rootText3" presStyleLbl="asst1" presStyleIdx="3" presStyleCnt="5">
        <dgm:presLayoutVars>
          <dgm:chPref val="3"/>
        </dgm:presLayoutVars>
      </dgm:prSet>
      <dgm:spPr/>
      <dgm:t>
        <a:bodyPr/>
        <a:lstStyle/>
        <a:p>
          <a:endParaRPr lang="fr-CA"/>
        </a:p>
      </dgm:t>
    </dgm:pt>
    <dgm:pt modelId="{748F107B-CE94-4104-842C-3FDA624BD1AF}" type="pres">
      <dgm:prSet presAssocID="{A59D2CF5-B3CB-4434-8278-6A5099A0C327}" presName="rootConnector3" presStyleLbl="asst1" presStyleIdx="3" presStyleCnt="5"/>
      <dgm:spPr/>
      <dgm:t>
        <a:bodyPr/>
        <a:lstStyle/>
        <a:p>
          <a:endParaRPr lang="fr-CA"/>
        </a:p>
      </dgm:t>
    </dgm:pt>
    <dgm:pt modelId="{F36B5D0E-E1EB-4F13-88AE-5E05AF5E247A}" type="pres">
      <dgm:prSet presAssocID="{A59D2CF5-B3CB-4434-8278-6A5099A0C327}" presName="hierChild6" presStyleCnt="0"/>
      <dgm:spPr/>
    </dgm:pt>
    <dgm:pt modelId="{79A558E7-9FB8-4837-9C86-243A425E1492}" type="pres">
      <dgm:prSet presAssocID="{A59D2CF5-B3CB-4434-8278-6A5099A0C327}" presName="hierChild7" presStyleCnt="0"/>
      <dgm:spPr/>
    </dgm:pt>
    <dgm:pt modelId="{B8C05286-CC51-435C-99F7-BDF20AEBDA72}" type="pres">
      <dgm:prSet presAssocID="{3F18B6B5-D668-4319-AE52-040761A61F12}" presName="Name111" presStyleLbl="parChTrans1D2" presStyleIdx="4" presStyleCnt="5" custSzX="126932" custSzY="530472"/>
      <dgm:spPr/>
      <dgm:t>
        <a:bodyPr/>
        <a:lstStyle/>
        <a:p>
          <a:endParaRPr lang="fr-CA"/>
        </a:p>
      </dgm:t>
    </dgm:pt>
    <dgm:pt modelId="{9101E0A8-D499-4B7C-B77E-4D7D1CE7BFC5}" type="pres">
      <dgm:prSet presAssocID="{572ADB97-852B-4DBB-8821-32310C90D818}" presName="hierRoot3" presStyleCnt="0">
        <dgm:presLayoutVars>
          <dgm:hierBranch val="init"/>
        </dgm:presLayoutVars>
      </dgm:prSet>
      <dgm:spPr/>
    </dgm:pt>
    <dgm:pt modelId="{AFC4BABB-EA03-440F-934C-695B98F44763}" type="pres">
      <dgm:prSet presAssocID="{572ADB97-852B-4DBB-8821-32310C90D818}" presName="rootComposite3" presStyleCnt="0"/>
      <dgm:spPr/>
    </dgm:pt>
    <dgm:pt modelId="{BFFD506F-71FA-47C1-B598-06D26B66DEA6}" type="pres">
      <dgm:prSet presAssocID="{572ADB97-852B-4DBB-8821-32310C90D818}" presName="rootText3" presStyleLbl="asst1" presStyleIdx="4" presStyleCnt="5" custScaleX="203056" custScaleY="180430" custLinFactNeighborX="26789" custLinFactNeighborY="0">
        <dgm:presLayoutVars>
          <dgm:chPref val="3"/>
        </dgm:presLayoutVars>
      </dgm:prSet>
      <dgm:spPr/>
      <dgm:t>
        <a:bodyPr/>
        <a:lstStyle/>
        <a:p>
          <a:endParaRPr lang="fr-CA"/>
        </a:p>
      </dgm:t>
    </dgm:pt>
    <dgm:pt modelId="{75B8130E-EE6E-4AEA-9BD1-DAA1C60B1ADA}" type="pres">
      <dgm:prSet presAssocID="{572ADB97-852B-4DBB-8821-32310C90D818}" presName="rootConnector3" presStyleLbl="asst1" presStyleIdx="4" presStyleCnt="5"/>
      <dgm:spPr/>
      <dgm:t>
        <a:bodyPr/>
        <a:lstStyle/>
        <a:p>
          <a:endParaRPr lang="fr-CA"/>
        </a:p>
      </dgm:t>
    </dgm:pt>
    <dgm:pt modelId="{187A8D5F-FB22-4B14-9415-3C7B0EB882A7}" type="pres">
      <dgm:prSet presAssocID="{572ADB97-852B-4DBB-8821-32310C90D818}" presName="hierChild6" presStyleCnt="0"/>
      <dgm:spPr/>
    </dgm:pt>
    <dgm:pt modelId="{7B2732E5-2484-41E9-9CC7-9E72CB825B57}" type="pres">
      <dgm:prSet presAssocID="{7E34CD03-8084-42AC-8E7E-FD95E2AA7A9D}" presName="Name37" presStyleLbl="parChTrans1D3" presStyleIdx="3" presStyleCnt="7" custSzX="181331" custSzY="530472"/>
      <dgm:spPr/>
      <dgm:t>
        <a:bodyPr/>
        <a:lstStyle/>
        <a:p>
          <a:endParaRPr lang="fr-CA"/>
        </a:p>
      </dgm:t>
    </dgm:pt>
    <dgm:pt modelId="{2C667CDA-39AB-4B84-9C7A-E800A8394771}" type="pres">
      <dgm:prSet presAssocID="{9F42FCBC-3440-4C67-8678-3390B7870BFD}" presName="hierRoot2" presStyleCnt="0">
        <dgm:presLayoutVars>
          <dgm:hierBranch val="init"/>
        </dgm:presLayoutVars>
      </dgm:prSet>
      <dgm:spPr/>
    </dgm:pt>
    <dgm:pt modelId="{12BDE00B-4FD9-4DB4-AD7B-E9EE7B3407F0}" type="pres">
      <dgm:prSet presAssocID="{9F42FCBC-3440-4C67-8678-3390B7870BFD}" presName="rootComposite" presStyleCnt="0"/>
      <dgm:spPr/>
    </dgm:pt>
    <dgm:pt modelId="{3D014A7C-9AA3-4045-8BB8-AC08CBD6DC16}" type="pres">
      <dgm:prSet presAssocID="{9F42FCBC-3440-4C67-8678-3390B7870BFD}" presName="rootText" presStyleLbl="node3" presStyleIdx="0" presStyleCnt="4" custScaleX="162958" custScaleY="122614" custLinFactNeighborX="16056" custLinFactNeighborY="281">
        <dgm:presLayoutVars>
          <dgm:chPref val="3"/>
        </dgm:presLayoutVars>
      </dgm:prSet>
      <dgm:spPr/>
      <dgm:t>
        <a:bodyPr/>
        <a:lstStyle/>
        <a:p>
          <a:endParaRPr lang="fr-CA"/>
        </a:p>
      </dgm:t>
    </dgm:pt>
    <dgm:pt modelId="{25C102F9-369F-4A45-9CB0-5AF259812CF8}" type="pres">
      <dgm:prSet presAssocID="{9F42FCBC-3440-4C67-8678-3390B7870BFD}" presName="rootConnector" presStyleLbl="node3" presStyleIdx="0" presStyleCnt="4"/>
      <dgm:spPr/>
      <dgm:t>
        <a:bodyPr/>
        <a:lstStyle/>
        <a:p>
          <a:endParaRPr lang="fr-CA"/>
        </a:p>
      </dgm:t>
    </dgm:pt>
    <dgm:pt modelId="{E3D30141-F482-4BB9-A146-6668F9419F38}" type="pres">
      <dgm:prSet presAssocID="{9F42FCBC-3440-4C67-8678-3390B7870BFD}" presName="hierChild4" presStyleCnt="0"/>
      <dgm:spPr/>
    </dgm:pt>
    <dgm:pt modelId="{CE721697-D713-4E8C-A13B-AF7A1BACF03A}" type="pres">
      <dgm:prSet presAssocID="{9F42FCBC-3440-4C67-8678-3390B7870BFD}" presName="hierChild5" presStyleCnt="0"/>
      <dgm:spPr/>
    </dgm:pt>
    <dgm:pt modelId="{92AAF338-71BD-4F9A-97A0-5EB05BBF3E79}" type="pres">
      <dgm:prSet presAssocID="{70DADE75-8E03-4A61-B9A7-67A84360B64C}" presName="Name37" presStyleLbl="parChTrans1D3" presStyleIdx="4" presStyleCnt="7" custSzX="181331" custSzY="1349611"/>
      <dgm:spPr/>
      <dgm:t>
        <a:bodyPr/>
        <a:lstStyle/>
        <a:p>
          <a:endParaRPr lang="fr-CA"/>
        </a:p>
      </dgm:t>
    </dgm:pt>
    <dgm:pt modelId="{5F5F1F8F-D9DA-444E-9E5E-A099F633F1BA}" type="pres">
      <dgm:prSet presAssocID="{86E09C26-7FCB-4BE8-B13E-139AF9ABBDC1}" presName="hierRoot2" presStyleCnt="0">
        <dgm:presLayoutVars>
          <dgm:hierBranch val="init"/>
        </dgm:presLayoutVars>
      </dgm:prSet>
      <dgm:spPr/>
    </dgm:pt>
    <dgm:pt modelId="{DD17C746-793A-44B9-A94C-0C7149409B4B}" type="pres">
      <dgm:prSet presAssocID="{86E09C26-7FCB-4BE8-B13E-139AF9ABBDC1}" presName="rootComposite" presStyleCnt="0"/>
      <dgm:spPr/>
    </dgm:pt>
    <dgm:pt modelId="{A3420F93-208E-470D-B2B1-DA08642CA247}" type="pres">
      <dgm:prSet presAssocID="{86E09C26-7FCB-4BE8-B13E-139AF9ABBDC1}" presName="rootText" presStyleLbl="node3" presStyleIdx="1" presStyleCnt="4" custScaleX="128476" custScaleY="122614" custLinFactNeighborX="16056" custLinFactNeighborY="281">
        <dgm:presLayoutVars>
          <dgm:chPref val="3"/>
        </dgm:presLayoutVars>
      </dgm:prSet>
      <dgm:spPr/>
      <dgm:t>
        <a:bodyPr/>
        <a:lstStyle/>
        <a:p>
          <a:endParaRPr lang="fr-CA"/>
        </a:p>
      </dgm:t>
    </dgm:pt>
    <dgm:pt modelId="{EB1C5502-EDCC-4613-8B01-08BBBDC6C084}" type="pres">
      <dgm:prSet presAssocID="{86E09C26-7FCB-4BE8-B13E-139AF9ABBDC1}" presName="rootConnector" presStyleLbl="node3" presStyleIdx="1" presStyleCnt="4"/>
      <dgm:spPr/>
      <dgm:t>
        <a:bodyPr/>
        <a:lstStyle/>
        <a:p>
          <a:endParaRPr lang="fr-CA"/>
        </a:p>
      </dgm:t>
    </dgm:pt>
    <dgm:pt modelId="{B33C6CDA-647E-4304-9C0B-D51C55E8DCC5}" type="pres">
      <dgm:prSet presAssocID="{86E09C26-7FCB-4BE8-B13E-139AF9ABBDC1}" presName="hierChild4" presStyleCnt="0"/>
      <dgm:spPr/>
    </dgm:pt>
    <dgm:pt modelId="{99472673-6AD8-439E-86B7-3E7EFD68FD59}" type="pres">
      <dgm:prSet presAssocID="{86E09C26-7FCB-4BE8-B13E-139AF9ABBDC1}" presName="hierChild5" presStyleCnt="0"/>
      <dgm:spPr/>
    </dgm:pt>
    <dgm:pt modelId="{1F2CE9D4-320B-4306-8C04-5D70E05E1121}" type="pres">
      <dgm:prSet presAssocID="{0F393C73-51E9-43AE-9707-523462476083}" presName="Name37" presStyleLbl="parChTrans1D3" presStyleIdx="5" presStyleCnt="7" custSzX="181331" custSzY="2168749"/>
      <dgm:spPr/>
      <dgm:t>
        <a:bodyPr/>
        <a:lstStyle/>
        <a:p>
          <a:endParaRPr lang="fr-CA"/>
        </a:p>
      </dgm:t>
    </dgm:pt>
    <dgm:pt modelId="{4D8EC718-AAF4-4355-AED2-CEE64D41E47D}" type="pres">
      <dgm:prSet presAssocID="{586E7D0C-95FB-40A4-B0ED-D34C61FC39E6}" presName="hierRoot2" presStyleCnt="0">
        <dgm:presLayoutVars>
          <dgm:hierBranch val="init"/>
        </dgm:presLayoutVars>
      </dgm:prSet>
      <dgm:spPr/>
    </dgm:pt>
    <dgm:pt modelId="{EEF2958E-F63E-427D-86A3-B8EF9B925330}" type="pres">
      <dgm:prSet presAssocID="{586E7D0C-95FB-40A4-B0ED-D34C61FC39E6}" presName="rootComposite" presStyleCnt="0"/>
      <dgm:spPr/>
    </dgm:pt>
    <dgm:pt modelId="{1C4417BD-46A6-4D43-BC1D-60FA72967F1E}" type="pres">
      <dgm:prSet presAssocID="{586E7D0C-95FB-40A4-B0ED-D34C61FC39E6}" presName="rootText" presStyleLbl="node3" presStyleIdx="2" presStyleCnt="4" custScaleX="194662" custScaleY="122614" custLinFactNeighborX="16056" custLinFactNeighborY="281">
        <dgm:presLayoutVars>
          <dgm:chPref val="3"/>
        </dgm:presLayoutVars>
      </dgm:prSet>
      <dgm:spPr/>
      <dgm:t>
        <a:bodyPr/>
        <a:lstStyle/>
        <a:p>
          <a:endParaRPr lang="fr-CA"/>
        </a:p>
      </dgm:t>
    </dgm:pt>
    <dgm:pt modelId="{9CC4D7D5-CDC2-4749-88D2-1E9F4A6871BA}" type="pres">
      <dgm:prSet presAssocID="{586E7D0C-95FB-40A4-B0ED-D34C61FC39E6}" presName="rootConnector" presStyleLbl="node3" presStyleIdx="2" presStyleCnt="4"/>
      <dgm:spPr/>
      <dgm:t>
        <a:bodyPr/>
        <a:lstStyle/>
        <a:p>
          <a:endParaRPr lang="fr-CA"/>
        </a:p>
      </dgm:t>
    </dgm:pt>
    <dgm:pt modelId="{8C9199E3-1400-41CD-B681-1D4CA18E60E9}" type="pres">
      <dgm:prSet presAssocID="{586E7D0C-95FB-40A4-B0ED-D34C61FC39E6}" presName="hierChild4" presStyleCnt="0"/>
      <dgm:spPr/>
    </dgm:pt>
    <dgm:pt modelId="{22FD5C20-C10F-44F7-AB6B-236E95D0E463}" type="pres">
      <dgm:prSet presAssocID="{586E7D0C-95FB-40A4-B0ED-D34C61FC39E6}" presName="hierChild5" presStyleCnt="0"/>
      <dgm:spPr/>
    </dgm:pt>
    <dgm:pt modelId="{7404406A-96A5-4937-B0E8-C9F1DA14F685}" type="pres">
      <dgm:prSet presAssocID="{23E2AD6A-0D9F-4383-88EB-AC4D36FC0DDD}" presName="Name37" presStyleLbl="parChTrans1D3" presStyleIdx="6" presStyleCnt="7" custSzX="181331" custSzY="2987888"/>
      <dgm:spPr/>
      <dgm:t>
        <a:bodyPr/>
        <a:lstStyle/>
        <a:p>
          <a:endParaRPr lang="fr-CA"/>
        </a:p>
      </dgm:t>
    </dgm:pt>
    <dgm:pt modelId="{DA2C41F1-827C-4BEB-8EA1-81DE78AFD03F}" type="pres">
      <dgm:prSet presAssocID="{080F9D16-6E08-4CC2-9EA2-44EFCC7E202E}" presName="hierRoot2" presStyleCnt="0">
        <dgm:presLayoutVars>
          <dgm:hierBranch val="init"/>
        </dgm:presLayoutVars>
      </dgm:prSet>
      <dgm:spPr/>
    </dgm:pt>
    <dgm:pt modelId="{4B99C60E-0F79-4BD1-913E-37813347EF15}" type="pres">
      <dgm:prSet presAssocID="{080F9D16-6E08-4CC2-9EA2-44EFCC7E202E}" presName="rootComposite" presStyleCnt="0"/>
      <dgm:spPr/>
    </dgm:pt>
    <dgm:pt modelId="{5B77F60F-1745-4DF8-880A-FE3A39313938}" type="pres">
      <dgm:prSet presAssocID="{080F9D16-6E08-4CC2-9EA2-44EFCC7E202E}" presName="rootText" presStyleLbl="node3" presStyleIdx="3" presStyleCnt="4" custScaleX="179142" custScaleY="122614" custLinFactNeighborX="16056" custLinFactNeighborY="281">
        <dgm:presLayoutVars>
          <dgm:chPref val="3"/>
        </dgm:presLayoutVars>
      </dgm:prSet>
      <dgm:spPr/>
      <dgm:t>
        <a:bodyPr/>
        <a:lstStyle/>
        <a:p>
          <a:endParaRPr lang="fr-CA"/>
        </a:p>
      </dgm:t>
    </dgm:pt>
    <dgm:pt modelId="{032D48BD-EF85-4C92-8DFE-887764877D9C}" type="pres">
      <dgm:prSet presAssocID="{080F9D16-6E08-4CC2-9EA2-44EFCC7E202E}" presName="rootConnector" presStyleLbl="node3" presStyleIdx="3" presStyleCnt="4"/>
      <dgm:spPr/>
      <dgm:t>
        <a:bodyPr/>
        <a:lstStyle/>
        <a:p>
          <a:endParaRPr lang="fr-CA"/>
        </a:p>
      </dgm:t>
    </dgm:pt>
    <dgm:pt modelId="{5805477D-3DE1-4313-97BF-55BA416D10EC}" type="pres">
      <dgm:prSet presAssocID="{080F9D16-6E08-4CC2-9EA2-44EFCC7E202E}" presName="hierChild4" presStyleCnt="0"/>
      <dgm:spPr/>
    </dgm:pt>
    <dgm:pt modelId="{D649A8F7-F8CB-4369-A930-EE64F39FFCF6}" type="pres">
      <dgm:prSet presAssocID="{080F9D16-6E08-4CC2-9EA2-44EFCC7E202E}" presName="hierChild5" presStyleCnt="0"/>
      <dgm:spPr/>
    </dgm:pt>
    <dgm:pt modelId="{C750A0BC-A912-4373-A585-CE49961DADFA}" type="pres">
      <dgm:prSet presAssocID="{572ADB97-852B-4DBB-8821-32310C90D818}" presName="hierChild7" presStyleCnt="0"/>
      <dgm:spPr/>
    </dgm:pt>
  </dgm:ptLst>
  <dgm:cxnLst>
    <dgm:cxn modelId="{CB72DF34-5C66-426E-82E7-7AEA51C286CF}" type="presOf" srcId="{0F393C73-51E9-43AE-9707-523462476083}" destId="{1F2CE9D4-320B-4306-8C04-5D70E05E1121}" srcOrd="0" destOrd="0" presId="urn:microsoft.com/office/officeart/2005/8/layout/orgChart1"/>
    <dgm:cxn modelId="{F8289D3A-53A5-4384-84F0-44FD12CEB236}" srcId="{572ADB97-852B-4DBB-8821-32310C90D818}" destId="{586E7D0C-95FB-40A4-B0ED-D34C61FC39E6}" srcOrd="2" destOrd="0" parTransId="{0F393C73-51E9-43AE-9707-523462476083}" sibTransId="{A2AECDA6-2F98-4215-99B4-9CA60F8F8403}"/>
    <dgm:cxn modelId="{C6F5AB4E-69F1-4302-AA35-140A0290B7DF}" type="presOf" srcId="{4E391C62-2DC2-4747-81CC-9DD6E02C70C5}" destId="{0AFAE519-94A3-4808-A12D-8C327BFC791D}" srcOrd="1" destOrd="0" presId="urn:microsoft.com/office/officeart/2005/8/layout/orgChart1"/>
    <dgm:cxn modelId="{48DABF71-95D2-45D9-88EF-06ABB575FC48}" type="presOf" srcId="{EA732AB1-4D3D-485E-96CB-4AB2B91DD7A2}" destId="{A6AD0552-5BE2-4E21-84E7-C38A05DC6843}" srcOrd="1" destOrd="0" presId="urn:microsoft.com/office/officeart/2005/8/layout/orgChart1"/>
    <dgm:cxn modelId="{D0A6A86B-7574-4071-A201-29270EE923A8}" type="presOf" srcId="{598CBAB9-3D19-493F-A1E9-3853CCF0CE18}" destId="{D966EA06-956D-48ED-AE3F-B8AF43C5242F}" srcOrd="0" destOrd="0" presId="urn:microsoft.com/office/officeart/2005/8/layout/orgChart1"/>
    <dgm:cxn modelId="{02F7C3C6-3DF4-4E17-B260-2F6CEF27A8FC}" type="presOf" srcId="{EA732AB1-4D3D-485E-96CB-4AB2B91DD7A2}" destId="{9F9742A3-CFD2-4FA5-850E-206EC3D24F9A}" srcOrd="0" destOrd="0" presId="urn:microsoft.com/office/officeart/2005/8/layout/orgChart1"/>
    <dgm:cxn modelId="{022F382B-1D1C-4300-AE07-2745EA4E46E6}" type="presOf" srcId="{B142F489-97F4-412E-A2A0-0A1BA2C4DDB4}" destId="{75D0F590-B358-47E3-B694-695FD4B9761B}" srcOrd="0" destOrd="0" presId="urn:microsoft.com/office/officeart/2005/8/layout/orgChart1"/>
    <dgm:cxn modelId="{551AD251-E23A-4070-BCAE-AFEE55E16DC5}" srcId="{572ADB97-852B-4DBB-8821-32310C90D818}" destId="{080F9D16-6E08-4CC2-9EA2-44EFCC7E202E}" srcOrd="3" destOrd="0" parTransId="{23E2AD6A-0D9F-4383-88EB-AC4D36FC0DDD}" sibTransId="{18BEE971-07DD-466E-87C2-39D906D27D62}"/>
    <dgm:cxn modelId="{8D5C73D3-C38D-4E87-AF29-75DC1F7D83A8}" type="presOf" srcId="{85A81ECA-2DBE-4CC4-908D-FB6DE7E40782}" destId="{F02CC53F-F191-4DD6-865A-DD513A7BF9CF}" srcOrd="0" destOrd="0" presId="urn:microsoft.com/office/officeart/2005/8/layout/orgChart1"/>
    <dgm:cxn modelId="{328EDE1A-7C7C-4859-B330-65F73DE1A00B}" srcId="{85A81ECA-2DBE-4CC4-908D-FB6DE7E40782}" destId="{A59D2CF5-B3CB-4434-8278-6A5099A0C327}" srcOrd="2" destOrd="0" parTransId="{D33F6302-2F70-4B18-A425-A6F577FFD99F}" sibTransId="{621912F2-11CF-4E6E-A48A-39AD05BA06B9}"/>
    <dgm:cxn modelId="{7246CE1A-1DE0-47C9-A906-D4B00B2C8B10}" type="presOf" srcId="{A59D2CF5-B3CB-4434-8278-6A5099A0C327}" destId="{C0E85A03-CFB0-4746-9305-18E46ED1A85F}" srcOrd="0" destOrd="0" presId="urn:microsoft.com/office/officeart/2005/8/layout/orgChart1"/>
    <dgm:cxn modelId="{7BDFA725-2495-487B-98CB-8A76698EC0D8}" type="presOf" srcId="{D2FE42CC-1631-4A80-8D37-5338C1C727EA}" destId="{91881117-C95F-4684-B1EC-44C48266EC7C}" srcOrd="1" destOrd="0" presId="urn:microsoft.com/office/officeart/2005/8/layout/orgChart1"/>
    <dgm:cxn modelId="{6047D312-F995-45CC-9F43-C73BA8D2BCD0}" srcId="{572ADB97-852B-4DBB-8821-32310C90D818}" destId="{9F42FCBC-3440-4C67-8678-3390B7870BFD}" srcOrd="0" destOrd="0" parTransId="{7E34CD03-8084-42AC-8E7E-FD95E2AA7A9D}" sibTransId="{B360DAF7-8A86-4957-91A5-2114546E5994}"/>
    <dgm:cxn modelId="{E33FCFF0-F6F7-4269-9557-6B2EE97B6DC5}" srcId="{4E391C62-2DC2-4747-81CC-9DD6E02C70C5}" destId="{598CBAB9-3D19-493F-A1E9-3853CCF0CE18}" srcOrd="3" destOrd="0" parTransId="{F3ADC4AE-2544-4EBB-89CD-188751C99A89}" sibTransId="{41FF673B-506C-4154-B241-E791DDB624F9}"/>
    <dgm:cxn modelId="{44650C7A-9CAE-482C-A20A-5B53CC59FE07}" srcId="{7F3042D8-C5E8-4AD0-8AA5-6212FC891A4F}" destId="{4E391C62-2DC2-4747-81CC-9DD6E02C70C5}" srcOrd="0" destOrd="0" parTransId="{10936299-70BA-4F3E-A36E-B4DCC611F6C3}" sibTransId="{F6F7E5C7-E29E-4445-B054-03C8195BB8D2}"/>
    <dgm:cxn modelId="{F60E5FD5-FAE2-4FBC-AF41-22FF2DA79D56}" srcId="{572ADB97-852B-4DBB-8821-32310C90D818}" destId="{86E09C26-7FCB-4BE8-B13E-139AF9ABBDC1}" srcOrd="1" destOrd="0" parTransId="{70DADE75-8E03-4A61-B9A7-67A84360B64C}" sibTransId="{7EC3A280-F88F-4B7C-A562-F76C086A8EC4}"/>
    <dgm:cxn modelId="{FEAE0450-CBD6-4FD9-A2CE-65615F03A4C9}" type="presOf" srcId="{86E09C26-7FCB-4BE8-B13E-139AF9ABBDC1}" destId="{EB1C5502-EDCC-4613-8B01-08BBBDC6C084}" srcOrd="1" destOrd="0" presId="urn:microsoft.com/office/officeart/2005/8/layout/orgChart1"/>
    <dgm:cxn modelId="{73E6AE94-4003-4265-8BF1-04BF8883F82C}" type="presOf" srcId="{23E2AD6A-0D9F-4383-88EB-AC4D36FC0DDD}" destId="{7404406A-96A5-4937-B0E8-C9F1DA14F685}" srcOrd="0" destOrd="0" presId="urn:microsoft.com/office/officeart/2005/8/layout/orgChart1"/>
    <dgm:cxn modelId="{5580D3FD-1581-48B9-889C-1D9595BC5335}" type="presOf" srcId="{080F9D16-6E08-4CC2-9EA2-44EFCC7E202E}" destId="{032D48BD-EF85-4C92-8DFE-887764877D9C}" srcOrd="1" destOrd="0" presId="urn:microsoft.com/office/officeart/2005/8/layout/orgChart1"/>
    <dgm:cxn modelId="{C15D04CB-9A09-410A-8C34-846939854662}" type="presOf" srcId="{70DADE75-8E03-4A61-B9A7-67A84360B64C}" destId="{92AAF338-71BD-4F9A-97A0-5EB05BBF3E79}" srcOrd="0" destOrd="0" presId="urn:microsoft.com/office/officeart/2005/8/layout/orgChart1"/>
    <dgm:cxn modelId="{DDA724FE-876A-4BBA-9466-970047C5A572}" type="presOf" srcId="{7F3042D8-C5E8-4AD0-8AA5-6212FC891A4F}" destId="{478ECFE1-E65D-4FA8-A0CB-918D34EEB240}" srcOrd="0" destOrd="0" presId="urn:microsoft.com/office/officeart/2005/8/layout/orgChart1"/>
    <dgm:cxn modelId="{22D4C229-A30D-4102-B5E8-E86A9B408531}" srcId="{4E391C62-2DC2-4747-81CC-9DD6E02C70C5}" destId="{29C8773F-A53F-4E3B-921E-CF40D115C07B}" srcOrd="2" destOrd="0" parTransId="{B142F489-97F4-412E-A2A0-0A1BA2C4DDB4}" sibTransId="{F07CF5C8-A379-4959-BB6D-8F1649779E24}"/>
    <dgm:cxn modelId="{5909D8DB-515A-4530-A418-C919DACD47C0}" type="presOf" srcId="{586E7D0C-95FB-40A4-B0ED-D34C61FC39E6}" destId="{9CC4D7D5-CDC2-4749-88D2-1E9F4A6871BA}" srcOrd="1" destOrd="0" presId="urn:microsoft.com/office/officeart/2005/8/layout/orgChart1"/>
    <dgm:cxn modelId="{807AE180-AFDA-4747-8384-454B03B4C936}" srcId="{85A81ECA-2DBE-4CC4-908D-FB6DE7E40782}" destId="{D2FE42CC-1631-4A80-8D37-5338C1C727EA}" srcOrd="1" destOrd="0" parTransId="{331EDA3A-6EDB-468D-BF18-811113C05848}" sibTransId="{A5640B48-ED1F-4C23-AFCD-576680B2C7A2}"/>
    <dgm:cxn modelId="{54878174-4255-410C-856E-5B4732D71BD8}" srcId="{85A81ECA-2DBE-4CC4-908D-FB6DE7E40782}" destId="{EA732AB1-4D3D-485E-96CB-4AB2B91DD7A2}" srcOrd="0" destOrd="0" parTransId="{C6E4E629-DFC0-4B68-9194-9BBCBA631857}" sibTransId="{4D225BF0-FBDF-4D10-ADFE-FE21BEB96521}"/>
    <dgm:cxn modelId="{35DD766A-CEBF-4FEC-8D17-7C0A1BD7DBE4}" type="presOf" srcId="{7E34CD03-8084-42AC-8E7E-FD95E2AA7A9D}" destId="{7B2732E5-2484-41E9-9CC7-9E72CB825B57}" srcOrd="0" destOrd="0" presId="urn:microsoft.com/office/officeart/2005/8/layout/orgChart1"/>
    <dgm:cxn modelId="{0FAF1810-B728-4552-835A-649498B7EBD1}" type="presOf" srcId="{C6E4E629-DFC0-4B68-9194-9BBCBA631857}" destId="{4CA09E3D-2054-496B-9C07-DF89C0537A07}" srcOrd="0" destOrd="0" presId="urn:microsoft.com/office/officeart/2005/8/layout/orgChart1"/>
    <dgm:cxn modelId="{D15FE618-E053-41F8-BDC4-F09A9C2A427B}" type="presOf" srcId="{A59D2CF5-B3CB-4434-8278-6A5099A0C327}" destId="{748F107B-CE94-4104-842C-3FDA624BD1AF}" srcOrd="1" destOrd="0" presId="urn:microsoft.com/office/officeart/2005/8/layout/orgChart1"/>
    <dgm:cxn modelId="{C56121EE-B661-4F7D-A5CA-8AB103F0025C}" type="presOf" srcId="{572ADB97-852B-4DBB-8821-32310C90D818}" destId="{BFFD506F-71FA-47C1-B598-06D26B66DEA6}" srcOrd="0" destOrd="0" presId="urn:microsoft.com/office/officeart/2005/8/layout/orgChart1"/>
    <dgm:cxn modelId="{8A56F0D4-3DDC-403E-B212-10B1332EEDC5}" type="presOf" srcId="{9F42FCBC-3440-4C67-8678-3390B7870BFD}" destId="{3D014A7C-9AA3-4045-8BB8-AC08CBD6DC16}" srcOrd="0" destOrd="0" presId="urn:microsoft.com/office/officeart/2005/8/layout/orgChart1"/>
    <dgm:cxn modelId="{E8D1D7CD-1C17-4206-A17E-5B34B022372A}" type="presOf" srcId="{85A81ECA-2DBE-4CC4-908D-FB6DE7E40782}" destId="{765FC16E-4076-4257-8F87-3B1980CE40CC}" srcOrd="1" destOrd="0" presId="urn:microsoft.com/office/officeart/2005/8/layout/orgChart1"/>
    <dgm:cxn modelId="{19279629-0443-4B2F-83F4-0DBFBBDD46E4}" type="presOf" srcId="{080F9D16-6E08-4CC2-9EA2-44EFCC7E202E}" destId="{5B77F60F-1745-4DF8-880A-FE3A39313938}" srcOrd="0" destOrd="0" presId="urn:microsoft.com/office/officeart/2005/8/layout/orgChart1"/>
    <dgm:cxn modelId="{8AB792C7-D57A-48E5-B0AB-E0DD27B98072}" srcId="{4E391C62-2DC2-4747-81CC-9DD6E02C70C5}" destId="{572ADB97-852B-4DBB-8821-32310C90D818}" srcOrd="1" destOrd="0" parTransId="{3F18B6B5-D668-4319-AE52-040761A61F12}" sibTransId="{86166288-0A60-436E-8A9F-92DEC15B7C6E}"/>
    <dgm:cxn modelId="{05E19066-B1AF-4874-B3C7-EFA46ECA7151}" type="presOf" srcId="{331EDA3A-6EDB-468D-BF18-811113C05848}" destId="{F237E681-F190-48D4-9628-8B6EE7C5CA31}" srcOrd="0" destOrd="0" presId="urn:microsoft.com/office/officeart/2005/8/layout/orgChart1"/>
    <dgm:cxn modelId="{7B4A3F8A-A70D-4D46-B686-071A0152B56A}" type="presOf" srcId="{29C8773F-A53F-4E3B-921E-CF40D115C07B}" destId="{DB60AC2A-C1F0-46FB-B786-B4D10E7D0ADA}" srcOrd="0" destOrd="0" presId="urn:microsoft.com/office/officeart/2005/8/layout/orgChart1"/>
    <dgm:cxn modelId="{89FEE940-8A3A-4BB5-9D46-6AA136DB0864}" srcId="{4E391C62-2DC2-4747-81CC-9DD6E02C70C5}" destId="{85A81ECA-2DBE-4CC4-908D-FB6DE7E40782}" srcOrd="0" destOrd="0" parTransId="{8782C248-EE5B-4A67-A69C-76B3FFB71913}" sibTransId="{5406D752-1B9E-4169-8F76-0E5937CC27F8}"/>
    <dgm:cxn modelId="{6C814E6D-90E6-4126-AC0A-D49A4DBA1587}" type="presOf" srcId="{9F42FCBC-3440-4C67-8678-3390B7870BFD}" destId="{25C102F9-369F-4A45-9CB0-5AF259812CF8}" srcOrd="1" destOrd="0" presId="urn:microsoft.com/office/officeart/2005/8/layout/orgChart1"/>
    <dgm:cxn modelId="{07592882-1D7D-4CF6-9684-D901B9F00500}" type="presOf" srcId="{D77539A6-5BBE-4D68-8A73-A309A2326777}" destId="{9DAA1245-749C-4664-B445-6B956D134601}" srcOrd="1" destOrd="0" presId="urn:microsoft.com/office/officeart/2005/8/layout/orgChart1"/>
    <dgm:cxn modelId="{067A8A21-064F-41D5-9F38-383663802F19}" type="presOf" srcId="{8782C248-EE5B-4A67-A69C-76B3FFB71913}" destId="{C4179974-56D9-4C7F-947F-5BB845358754}" srcOrd="0" destOrd="0" presId="urn:microsoft.com/office/officeart/2005/8/layout/orgChart1"/>
    <dgm:cxn modelId="{6F986740-7D30-466A-A27C-6A0770A14FF1}" type="presOf" srcId="{29C8773F-A53F-4E3B-921E-CF40D115C07B}" destId="{8B4B74C1-89CD-43D3-8CA1-D27FDDCA404A}" srcOrd="1" destOrd="0" presId="urn:microsoft.com/office/officeart/2005/8/layout/orgChart1"/>
    <dgm:cxn modelId="{8FA97AC0-89A6-4A88-B572-B3916FFE31E2}" type="presOf" srcId="{D77539A6-5BBE-4D68-8A73-A309A2326777}" destId="{3C411877-C8D9-4C1C-8CBD-D692A78D5551}" srcOrd="0" destOrd="0" presId="urn:microsoft.com/office/officeart/2005/8/layout/orgChart1"/>
    <dgm:cxn modelId="{2123C376-F5A0-4592-9F4E-3024911136B2}" type="presOf" srcId="{D33F6302-2F70-4B18-A425-A6F577FFD99F}" destId="{ED1A57F4-21A7-447D-8C89-2A181F835109}" srcOrd="0" destOrd="0" presId="urn:microsoft.com/office/officeart/2005/8/layout/orgChart1"/>
    <dgm:cxn modelId="{505D8857-4AC7-4553-A176-69229F7105CA}" type="presOf" srcId="{4E391C62-2DC2-4747-81CC-9DD6E02C70C5}" destId="{F0B6F898-C2CE-4086-9801-56C045DA96FA}" srcOrd="0" destOrd="0" presId="urn:microsoft.com/office/officeart/2005/8/layout/orgChart1"/>
    <dgm:cxn modelId="{74E32003-06E2-4D4F-B1B0-8C65FF5A92EA}" type="presOf" srcId="{586E7D0C-95FB-40A4-B0ED-D34C61FC39E6}" destId="{1C4417BD-46A6-4D43-BC1D-60FA72967F1E}" srcOrd="0" destOrd="0" presId="urn:microsoft.com/office/officeart/2005/8/layout/orgChart1"/>
    <dgm:cxn modelId="{8EF49902-02EE-4B19-9F1E-D50A9B9372C6}" type="presOf" srcId="{3F18B6B5-D668-4319-AE52-040761A61F12}" destId="{B8C05286-CC51-435C-99F7-BDF20AEBDA72}" srcOrd="0" destOrd="0" presId="urn:microsoft.com/office/officeart/2005/8/layout/orgChart1"/>
    <dgm:cxn modelId="{CA725994-2BFE-4815-86C7-5D0F8E28C3D8}" srcId="{4E391C62-2DC2-4747-81CC-9DD6E02C70C5}" destId="{D77539A6-5BBE-4D68-8A73-A309A2326777}" srcOrd="4" destOrd="0" parTransId="{A070FF03-2866-4363-A8AE-993983726253}" sibTransId="{28BB3DE1-434A-4CAE-910D-60BB80BD7DE4}"/>
    <dgm:cxn modelId="{CC57BC55-EFCB-42F5-9186-BDE38D174C08}" type="presOf" srcId="{F3ADC4AE-2544-4EBB-89CD-188751C99A89}" destId="{A9B9B840-731C-4AA7-B187-E63AA5466DC2}" srcOrd="0" destOrd="0" presId="urn:microsoft.com/office/officeart/2005/8/layout/orgChart1"/>
    <dgm:cxn modelId="{5B8C7CD8-CD1B-47C5-98E1-24F1E587365D}" type="presOf" srcId="{D2FE42CC-1631-4A80-8D37-5338C1C727EA}" destId="{47FE9582-55A8-49D5-9F32-0081E125DCAF}" srcOrd="0" destOrd="0" presId="urn:microsoft.com/office/officeart/2005/8/layout/orgChart1"/>
    <dgm:cxn modelId="{203AA2AA-E5E3-484B-8A16-A04EAB2A83E0}" type="presOf" srcId="{598CBAB9-3D19-493F-A1E9-3853CCF0CE18}" destId="{5BD9F653-171B-463E-88EC-08B7A11DD48D}" srcOrd="1" destOrd="0" presId="urn:microsoft.com/office/officeart/2005/8/layout/orgChart1"/>
    <dgm:cxn modelId="{A88DA63C-B330-4C76-A506-0F7D212BF195}" type="presOf" srcId="{86E09C26-7FCB-4BE8-B13E-139AF9ABBDC1}" destId="{A3420F93-208E-470D-B2B1-DA08642CA247}" srcOrd="0" destOrd="0" presId="urn:microsoft.com/office/officeart/2005/8/layout/orgChart1"/>
    <dgm:cxn modelId="{1B956948-4C76-4A1C-80F4-4EB828103080}" type="presOf" srcId="{572ADB97-852B-4DBB-8821-32310C90D818}" destId="{75B8130E-EE6E-4AEA-9BD1-DAA1C60B1ADA}" srcOrd="1" destOrd="0" presId="urn:microsoft.com/office/officeart/2005/8/layout/orgChart1"/>
    <dgm:cxn modelId="{F71903A5-128F-4FA4-A2AB-29319494D215}" type="presOf" srcId="{A070FF03-2866-4363-A8AE-993983726253}" destId="{2AE4223F-223F-45D4-9717-D0B34237AE7B}" srcOrd="0" destOrd="0" presId="urn:microsoft.com/office/officeart/2005/8/layout/orgChart1"/>
    <dgm:cxn modelId="{CD7C063A-FFBA-4E1C-B57C-53D2C13C41F7}" type="presParOf" srcId="{478ECFE1-E65D-4FA8-A0CB-918D34EEB240}" destId="{FE95447D-8C9F-4E9D-8D52-2573C7243FDD}" srcOrd="0" destOrd="0" presId="urn:microsoft.com/office/officeart/2005/8/layout/orgChart1"/>
    <dgm:cxn modelId="{075BED75-32EF-4972-94FC-EF4C8044904A}" type="presParOf" srcId="{FE95447D-8C9F-4E9D-8D52-2573C7243FDD}" destId="{11F28598-2AFC-457E-B254-52FE9351CAF6}" srcOrd="0" destOrd="0" presId="urn:microsoft.com/office/officeart/2005/8/layout/orgChart1"/>
    <dgm:cxn modelId="{27E39F60-A40C-49BF-8C41-D4ED1F2CDA5F}" type="presParOf" srcId="{11F28598-2AFC-457E-B254-52FE9351CAF6}" destId="{F0B6F898-C2CE-4086-9801-56C045DA96FA}" srcOrd="0" destOrd="0" presId="urn:microsoft.com/office/officeart/2005/8/layout/orgChart1"/>
    <dgm:cxn modelId="{7894EB2E-F4DD-4374-94AE-6C2DAB9D9498}" type="presParOf" srcId="{11F28598-2AFC-457E-B254-52FE9351CAF6}" destId="{0AFAE519-94A3-4808-A12D-8C327BFC791D}" srcOrd="1" destOrd="0" presId="urn:microsoft.com/office/officeart/2005/8/layout/orgChart1"/>
    <dgm:cxn modelId="{8FA3BDF3-32B4-4564-BE76-C8156BA18E9C}" type="presParOf" srcId="{FE95447D-8C9F-4E9D-8D52-2573C7243FDD}" destId="{1E66AE04-B440-4DBF-AA7B-624983FEBF09}" srcOrd="1" destOrd="0" presId="urn:microsoft.com/office/officeart/2005/8/layout/orgChart1"/>
    <dgm:cxn modelId="{AE984B98-BD26-41D3-9E29-1FCAB3BF0934}" type="presParOf" srcId="{1E66AE04-B440-4DBF-AA7B-624983FEBF09}" destId="{75D0F590-B358-47E3-B694-695FD4B9761B}" srcOrd="0" destOrd="0" presId="urn:microsoft.com/office/officeart/2005/8/layout/orgChart1"/>
    <dgm:cxn modelId="{B1CE79B7-BF4A-480B-9C47-C8B9578D43B3}" type="presParOf" srcId="{1E66AE04-B440-4DBF-AA7B-624983FEBF09}" destId="{2361009B-AD0A-4AB9-B849-1D44F3FD96A5}" srcOrd="1" destOrd="0" presId="urn:microsoft.com/office/officeart/2005/8/layout/orgChart1"/>
    <dgm:cxn modelId="{C0C37B27-84DD-4597-9AAE-2C9E2B9C7FFC}" type="presParOf" srcId="{2361009B-AD0A-4AB9-B849-1D44F3FD96A5}" destId="{DDE9582E-FAD3-448B-B26F-C341505C177F}" srcOrd="0" destOrd="0" presId="urn:microsoft.com/office/officeart/2005/8/layout/orgChart1"/>
    <dgm:cxn modelId="{1F91B89E-542A-4A52-81C7-6A0A03ACED95}" type="presParOf" srcId="{DDE9582E-FAD3-448B-B26F-C341505C177F}" destId="{DB60AC2A-C1F0-46FB-B786-B4D10E7D0ADA}" srcOrd="0" destOrd="0" presId="urn:microsoft.com/office/officeart/2005/8/layout/orgChart1"/>
    <dgm:cxn modelId="{84BFC404-2CC1-4684-BC77-C339C825793B}" type="presParOf" srcId="{DDE9582E-FAD3-448B-B26F-C341505C177F}" destId="{8B4B74C1-89CD-43D3-8CA1-D27FDDCA404A}" srcOrd="1" destOrd="0" presId="urn:microsoft.com/office/officeart/2005/8/layout/orgChart1"/>
    <dgm:cxn modelId="{9A7617C2-66F2-4CD9-BD2B-1DBCBA6BB886}" type="presParOf" srcId="{2361009B-AD0A-4AB9-B849-1D44F3FD96A5}" destId="{568B0008-7532-4F3F-8A5C-FE007C460F44}" srcOrd="1" destOrd="0" presId="urn:microsoft.com/office/officeart/2005/8/layout/orgChart1"/>
    <dgm:cxn modelId="{BBCBABBF-C0A8-4D1E-8A37-95D62E0A79A6}" type="presParOf" srcId="{2361009B-AD0A-4AB9-B849-1D44F3FD96A5}" destId="{153DB9FB-B98C-4053-93C8-3D5004A7B06A}" srcOrd="2" destOrd="0" presId="urn:microsoft.com/office/officeart/2005/8/layout/orgChart1"/>
    <dgm:cxn modelId="{A7D55F2D-255E-4FB8-9734-D2024A9AFF32}" type="presParOf" srcId="{1E66AE04-B440-4DBF-AA7B-624983FEBF09}" destId="{A9B9B840-731C-4AA7-B187-E63AA5466DC2}" srcOrd="2" destOrd="0" presId="urn:microsoft.com/office/officeart/2005/8/layout/orgChart1"/>
    <dgm:cxn modelId="{BD204D7A-E712-44E3-B0E8-6919679285E0}" type="presParOf" srcId="{1E66AE04-B440-4DBF-AA7B-624983FEBF09}" destId="{F697B1BE-DE58-415F-B74B-26D2CBE6C24B}" srcOrd="3" destOrd="0" presId="urn:microsoft.com/office/officeart/2005/8/layout/orgChart1"/>
    <dgm:cxn modelId="{74ED38A4-729F-4EFE-961B-835AF72E9C98}" type="presParOf" srcId="{F697B1BE-DE58-415F-B74B-26D2CBE6C24B}" destId="{50E7B95B-B3BB-4F8D-B692-E605462BD566}" srcOrd="0" destOrd="0" presId="urn:microsoft.com/office/officeart/2005/8/layout/orgChart1"/>
    <dgm:cxn modelId="{8AF5C33B-DBFF-44F8-8464-6C86153AFD79}" type="presParOf" srcId="{50E7B95B-B3BB-4F8D-B692-E605462BD566}" destId="{D966EA06-956D-48ED-AE3F-B8AF43C5242F}" srcOrd="0" destOrd="0" presId="urn:microsoft.com/office/officeart/2005/8/layout/orgChart1"/>
    <dgm:cxn modelId="{3B9B8B38-3566-4F4F-B61A-855630806381}" type="presParOf" srcId="{50E7B95B-B3BB-4F8D-B692-E605462BD566}" destId="{5BD9F653-171B-463E-88EC-08B7A11DD48D}" srcOrd="1" destOrd="0" presId="urn:microsoft.com/office/officeart/2005/8/layout/orgChart1"/>
    <dgm:cxn modelId="{1D1CBFB3-4899-4B51-B336-4C750FB69908}" type="presParOf" srcId="{F697B1BE-DE58-415F-B74B-26D2CBE6C24B}" destId="{2E928ACA-CBB2-4F64-81F2-095188FE7B20}" srcOrd="1" destOrd="0" presId="urn:microsoft.com/office/officeart/2005/8/layout/orgChart1"/>
    <dgm:cxn modelId="{12827C1F-21D7-492A-AB2A-A395193ABC52}" type="presParOf" srcId="{F697B1BE-DE58-415F-B74B-26D2CBE6C24B}" destId="{70FE3DFB-9BC0-4724-A8C4-192E162F29FE}" srcOrd="2" destOrd="0" presId="urn:microsoft.com/office/officeart/2005/8/layout/orgChart1"/>
    <dgm:cxn modelId="{0766BB12-7A9B-40B8-8F0F-3A11DCDE2768}" type="presParOf" srcId="{1E66AE04-B440-4DBF-AA7B-624983FEBF09}" destId="{2AE4223F-223F-45D4-9717-D0B34237AE7B}" srcOrd="4" destOrd="0" presId="urn:microsoft.com/office/officeart/2005/8/layout/orgChart1"/>
    <dgm:cxn modelId="{51244577-2EA6-4239-ABB4-FC6E3BBE55C2}" type="presParOf" srcId="{1E66AE04-B440-4DBF-AA7B-624983FEBF09}" destId="{F4EC8479-084E-4DD7-9A88-2E5ED3FDC4CD}" srcOrd="5" destOrd="0" presId="urn:microsoft.com/office/officeart/2005/8/layout/orgChart1"/>
    <dgm:cxn modelId="{015ADFB1-F0B4-451A-8409-979AB0C56374}" type="presParOf" srcId="{F4EC8479-084E-4DD7-9A88-2E5ED3FDC4CD}" destId="{22C99986-EE5D-4A77-A636-942753D7DFFA}" srcOrd="0" destOrd="0" presId="urn:microsoft.com/office/officeart/2005/8/layout/orgChart1"/>
    <dgm:cxn modelId="{064796E4-973B-49E7-81BD-83AF68F82BBA}" type="presParOf" srcId="{22C99986-EE5D-4A77-A636-942753D7DFFA}" destId="{3C411877-C8D9-4C1C-8CBD-D692A78D5551}" srcOrd="0" destOrd="0" presId="urn:microsoft.com/office/officeart/2005/8/layout/orgChart1"/>
    <dgm:cxn modelId="{6E3B8BAA-17F7-46FD-AA73-3F4BE0ACECD4}" type="presParOf" srcId="{22C99986-EE5D-4A77-A636-942753D7DFFA}" destId="{9DAA1245-749C-4664-B445-6B956D134601}" srcOrd="1" destOrd="0" presId="urn:microsoft.com/office/officeart/2005/8/layout/orgChart1"/>
    <dgm:cxn modelId="{B04F1378-7AB1-4D7A-A9B4-1067E47EB318}" type="presParOf" srcId="{F4EC8479-084E-4DD7-9A88-2E5ED3FDC4CD}" destId="{5A401349-6C2F-489B-9286-9020DB3038AE}" srcOrd="1" destOrd="0" presId="urn:microsoft.com/office/officeart/2005/8/layout/orgChart1"/>
    <dgm:cxn modelId="{1F574CD6-618E-4A61-8770-48238927A0B1}" type="presParOf" srcId="{F4EC8479-084E-4DD7-9A88-2E5ED3FDC4CD}" destId="{09822253-9177-4058-BF33-0EE16D9B63C7}" srcOrd="2" destOrd="0" presId="urn:microsoft.com/office/officeart/2005/8/layout/orgChart1"/>
    <dgm:cxn modelId="{A73283CE-BA09-402C-AB35-14408B920796}" type="presParOf" srcId="{FE95447D-8C9F-4E9D-8D52-2573C7243FDD}" destId="{40172A2D-3AB4-4113-A2D8-EBE0384173D4}" srcOrd="2" destOrd="0" presId="urn:microsoft.com/office/officeart/2005/8/layout/orgChart1"/>
    <dgm:cxn modelId="{1E93AF2D-3434-4DDA-9D29-768B1DD43843}" type="presParOf" srcId="{40172A2D-3AB4-4113-A2D8-EBE0384173D4}" destId="{C4179974-56D9-4C7F-947F-5BB845358754}" srcOrd="0" destOrd="0" presId="urn:microsoft.com/office/officeart/2005/8/layout/orgChart1"/>
    <dgm:cxn modelId="{638E385A-2A4E-4279-B558-62060088A8C9}" type="presParOf" srcId="{40172A2D-3AB4-4113-A2D8-EBE0384173D4}" destId="{3A792DD8-1733-4CD3-8B70-ACB4DB920585}" srcOrd="1" destOrd="0" presId="urn:microsoft.com/office/officeart/2005/8/layout/orgChart1"/>
    <dgm:cxn modelId="{7F3DA8CD-6CA0-4C46-9901-E89ECA532830}" type="presParOf" srcId="{3A792DD8-1733-4CD3-8B70-ACB4DB920585}" destId="{B808F747-5CDD-4280-ADD5-E07B3EC8DC98}" srcOrd="0" destOrd="0" presId="urn:microsoft.com/office/officeart/2005/8/layout/orgChart1"/>
    <dgm:cxn modelId="{BB7F9473-F01F-4B88-89C5-29C596B50D60}" type="presParOf" srcId="{B808F747-5CDD-4280-ADD5-E07B3EC8DC98}" destId="{F02CC53F-F191-4DD6-865A-DD513A7BF9CF}" srcOrd="0" destOrd="0" presId="urn:microsoft.com/office/officeart/2005/8/layout/orgChart1"/>
    <dgm:cxn modelId="{961D38FC-328A-42EE-88AC-32248AE99D71}" type="presParOf" srcId="{B808F747-5CDD-4280-ADD5-E07B3EC8DC98}" destId="{765FC16E-4076-4257-8F87-3B1980CE40CC}" srcOrd="1" destOrd="0" presId="urn:microsoft.com/office/officeart/2005/8/layout/orgChart1"/>
    <dgm:cxn modelId="{5FFD3615-0933-450D-9DE8-53E71A64D96C}" type="presParOf" srcId="{3A792DD8-1733-4CD3-8B70-ACB4DB920585}" destId="{F365E5D8-B2EF-4DE5-BF58-E63F6FFDD7AD}" srcOrd="1" destOrd="0" presId="urn:microsoft.com/office/officeart/2005/8/layout/orgChart1"/>
    <dgm:cxn modelId="{EF649783-F589-4CDA-B0D2-9B14DAA6ACF0}" type="presParOf" srcId="{3A792DD8-1733-4CD3-8B70-ACB4DB920585}" destId="{E695FB1C-828F-4AF3-A479-CF29C939DBEC}" srcOrd="2" destOrd="0" presId="urn:microsoft.com/office/officeart/2005/8/layout/orgChart1"/>
    <dgm:cxn modelId="{97B55991-4B79-4077-B130-01DA8ADF314A}" type="presParOf" srcId="{E695FB1C-828F-4AF3-A479-CF29C939DBEC}" destId="{4CA09E3D-2054-496B-9C07-DF89C0537A07}" srcOrd="0" destOrd="0" presId="urn:microsoft.com/office/officeart/2005/8/layout/orgChart1"/>
    <dgm:cxn modelId="{4293C6A3-369B-4809-A8B8-1D68FBFC7D06}" type="presParOf" srcId="{E695FB1C-828F-4AF3-A479-CF29C939DBEC}" destId="{BBA59F6B-EA1E-46B6-A036-BD7EEB85E7EB}" srcOrd="1" destOrd="0" presId="urn:microsoft.com/office/officeart/2005/8/layout/orgChart1"/>
    <dgm:cxn modelId="{1341C338-8183-46B6-9511-B3E86B6F21C3}" type="presParOf" srcId="{BBA59F6B-EA1E-46B6-A036-BD7EEB85E7EB}" destId="{C8E81FAF-D993-42E4-8316-4D66DC262BE8}" srcOrd="0" destOrd="0" presId="urn:microsoft.com/office/officeart/2005/8/layout/orgChart1"/>
    <dgm:cxn modelId="{8A45EBC5-C7CA-4869-AF49-BCA47048AD11}" type="presParOf" srcId="{C8E81FAF-D993-42E4-8316-4D66DC262BE8}" destId="{9F9742A3-CFD2-4FA5-850E-206EC3D24F9A}" srcOrd="0" destOrd="0" presId="urn:microsoft.com/office/officeart/2005/8/layout/orgChart1"/>
    <dgm:cxn modelId="{46474122-85D5-4E83-9B2E-0BA7EA2CAE7C}" type="presParOf" srcId="{C8E81FAF-D993-42E4-8316-4D66DC262BE8}" destId="{A6AD0552-5BE2-4E21-84E7-C38A05DC6843}" srcOrd="1" destOrd="0" presId="urn:microsoft.com/office/officeart/2005/8/layout/orgChart1"/>
    <dgm:cxn modelId="{71D41B70-FE5E-4572-BE56-EC8BD8E8AA71}" type="presParOf" srcId="{BBA59F6B-EA1E-46B6-A036-BD7EEB85E7EB}" destId="{1A44BC85-6305-4D36-9CEE-0D8C88218ED6}" srcOrd="1" destOrd="0" presId="urn:microsoft.com/office/officeart/2005/8/layout/orgChart1"/>
    <dgm:cxn modelId="{D0F17965-A59D-44DE-901B-981090146B6F}" type="presParOf" srcId="{BBA59F6B-EA1E-46B6-A036-BD7EEB85E7EB}" destId="{08B4A11E-992E-4D79-BA4D-21D3593E4446}" srcOrd="2" destOrd="0" presId="urn:microsoft.com/office/officeart/2005/8/layout/orgChart1"/>
    <dgm:cxn modelId="{48BDA3B2-A7BB-4484-ACD8-B2FC84A1A09A}" type="presParOf" srcId="{E695FB1C-828F-4AF3-A479-CF29C939DBEC}" destId="{F237E681-F190-48D4-9628-8B6EE7C5CA31}" srcOrd="2" destOrd="0" presId="urn:microsoft.com/office/officeart/2005/8/layout/orgChart1"/>
    <dgm:cxn modelId="{C2A8372D-DD28-414F-9C3A-7E583F311C4C}" type="presParOf" srcId="{E695FB1C-828F-4AF3-A479-CF29C939DBEC}" destId="{B937362A-1DAB-4548-96AC-1A7E204D551F}" srcOrd="3" destOrd="0" presId="urn:microsoft.com/office/officeart/2005/8/layout/orgChart1"/>
    <dgm:cxn modelId="{630AD2D1-52D7-4E78-91FC-0BA8C74EC36D}" type="presParOf" srcId="{B937362A-1DAB-4548-96AC-1A7E204D551F}" destId="{323B9A42-576F-4BE0-A320-61720F5764CB}" srcOrd="0" destOrd="0" presId="urn:microsoft.com/office/officeart/2005/8/layout/orgChart1"/>
    <dgm:cxn modelId="{B41F3C62-232F-4AAE-A316-23C24214D77A}" type="presParOf" srcId="{323B9A42-576F-4BE0-A320-61720F5764CB}" destId="{47FE9582-55A8-49D5-9F32-0081E125DCAF}" srcOrd="0" destOrd="0" presId="urn:microsoft.com/office/officeart/2005/8/layout/orgChart1"/>
    <dgm:cxn modelId="{E9B402F8-F7C8-4333-8C90-73F2FBFE35FD}" type="presParOf" srcId="{323B9A42-576F-4BE0-A320-61720F5764CB}" destId="{91881117-C95F-4684-B1EC-44C48266EC7C}" srcOrd="1" destOrd="0" presId="urn:microsoft.com/office/officeart/2005/8/layout/orgChart1"/>
    <dgm:cxn modelId="{24213C71-F88F-4EE5-BD7E-7E7A2482C6C5}" type="presParOf" srcId="{B937362A-1DAB-4548-96AC-1A7E204D551F}" destId="{8EC3279B-122A-49F0-A8F7-B289D42C8443}" srcOrd="1" destOrd="0" presId="urn:microsoft.com/office/officeart/2005/8/layout/orgChart1"/>
    <dgm:cxn modelId="{7E1A4E85-9518-4D65-90F9-DFF5A504D6FB}" type="presParOf" srcId="{B937362A-1DAB-4548-96AC-1A7E204D551F}" destId="{3DB59B8C-DCA2-4F99-BAAF-5063A1187181}" srcOrd="2" destOrd="0" presId="urn:microsoft.com/office/officeart/2005/8/layout/orgChart1"/>
    <dgm:cxn modelId="{FDA5CE50-BC47-4CE0-8593-293E2C136F15}" type="presParOf" srcId="{E695FB1C-828F-4AF3-A479-CF29C939DBEC}" destId="{ED1A57F4-21A7-447D-8C89-2A181F835109}" srcOrd="4" destOrd="0" presId="urn:microsoft.com/office/officeart/2005/8/layout/orgChart1"/>
    <dgm:cxn modelId="{9A45FE08-9ED1-4A6E-9CD2-543B31D7AEE4}" type="presParOf" srcId="{E695FB1C-828F-4AF3-A479-CF29C939DBEC}" destId="{D77442E0-C8D6-47F4-A57C-5373921BA5CA}" srcOrd="5" destOrd="0" presId="urn:microsoft.com/office/officeart/2005/8/layout/orgChart1"/>
    <dgm:cxn modelId="{0D6705E6-1A1C-49EF-897F-BD108F68977E}" type="presParOf" srcId="{D77442E0-C8D6-47F4-A57C-5373921BA5CA}" destId="{15E8DBE9-45F1-410B-90C8-49DACE5600E5}" srcOrd="0" destOrd="0" presId="urn:microsoft.com/office/officeart/2005/8/layout/orgChart1"/>
    <dgm:cxn modelId="{324580BE-2B81-44EA-81FF-EF7C0497DCB6}" type="presParOf" srcId="{15E8DBE9-45F1-410B-90C8-49DACE5600E5}" destId="{C0E85A03-CFB0-4746-9305-18E46ED1A85F}" srcOrd="0" destOrd="0" presId="urn:microsoft.com/office/officeart/2005/8/layout/orgChart1"/>
    <dgm:cxn modelId="{C46E4E32-8FE5-42B9-91C8-ECDA40948C8A}" type="presParOf" srcId="{15E8DBE9-45F1-410B-90C8-49DACE5600E5}" destId="{748F107B-CE94-4104-842C-3FDA624BD1AF}" srcOrd="1" destOrd="0" presId="urn:microsoft.com/office/officeart/2005/8/layout/orgChart1"/>
    <dgm:cxn modelId="{43F1E986-52B9-4FAC-8117-DE4D8532AA63}" type="presParOf" srcId="{D77442E0-C8D6-47F4-A57C-5373921BA5CA}" destId="{F36B5D0E-E1EB-4F13-88AE-5E05AF5E247A}" srcOrd="1" destOrd="0" presId="urn:microsoft.com/office/officeart/2005/8/layout/orgChart1"/>
    <dgm:cxn modelId="{2799C7DC-E4A7-406F-9AB7-74E6E40A4A37}" type="presParOf" srcId="{D77442E0-C8D6-47F4-A57C-5373921BA5CA}" destId="{79A558E7-9FB8-4837-9C86-243A425E1492}" srcOrd="2" destOrd="0" presId="urn:microsoft.com/office/officeart/2005/8/layout/orgChart1"/>
    <dgm:cxn modelId="{A1075294-5FD4-4B55-8A32-872E7DBF4AE3}" type="presParOf" srcId="{40172A2D-3AB4-4113-A2D8-EBE0384173D4}" destId="{B8C05286-CC51-435C-99F7-BDF20AEBDA72}" srcOrd="2" destOrd="0" presId="urn:microsoft.com/office/officeart/2005/8/layout/orgChart1"/>
    <dgm:cxn modelId="{806654CF-D5EF-4581-BF1D-0F885455E177}" type="presParOf" srcId="{40172A2D-3AB4-4113-A2D8-EBE0384173D4}" destId="{9101E0A8-D499-4B7C-B77E-4D7D1CE7BFC5}" srcOrd="3" destOrd="0" presId="urn:microsoft.com/office/officeart/2005/8/layout/orgChart1"/>
    <dgm:cxn modelId="{1D005CA8-CB1D-42FF-B46A-1DBBDC4A82C0}" type="presParOf" srcId="{9101E0A8-D499-4B7C-B77E-4D7D1CE7BFC5}" destId="{AFC4BABB-EA03-440F-934C-695B98F44763}" srcOrd="0" destOrd="0" presId="urn:microsoft.com/office/officeart/2005/8/layout/orgChart1"/>
    <dgm:cxn modelId="{47721580-5AC1-4E18-80B1-2C14EA558C83}" type="presParOf" srcId="{AFC4BABB-EA03-440F-934C-695B98F44763}" destId="{BFFD506F-71FA-47C1-B598-06D26B66DEA6}" srcOrd="0" destOrd="0" presId="urn:microsoft.com/office/officeart/2005/8/layout/orgChart1"/>
    <dgm:cxn modelId="{E4A9D891-BEC3-4C63-9F75-13ECA48BB767}" type="presParOf" srcId="{AFC4BABB-EA03-440F-934C-695B98F44763}" destId="{75B8130E-EE6E-4AEA-9BD1-DAA1C60B1ADA}" srcOrd="1" destOrd="0" presId="urn:microsoft.com/office/officeart/2005/8/layout/orgChart1"/>
    <dgm:cxn modelId="{36BA3390-8017-48BB-B8AB-E977BAF0E664}" type="presParOf" srcId="{9101E0A8-D499-4B7C-B77E-4D7D1CE7BFC5}" destId="{187A8D5F-FB22-4B14-9415-3C7B0EB882A7}" srcOrd="1" destOrd="0" presId="urn:microsoft.com/office/officeart/2005/8/layout/orgChart1"/>
    <dgm:cxn modelId="{4F3B2A5B-3560-4EFD-A266-04A728371B76}" type="presParOf" srcId="{187A8D5F-FB22-4B14-9415-3C7B0EB882A7}" destId="{7B2732E5-2484-41E9-9CC7-9E72CB825B57}" srcOrd="0" destOrd="0" presId="urn:microsoft.com/office/officeart/2005/8/layout/orgChart1"/>
    <dgm:cxn modelId="{A29BE8EC-13F4-40CB-BFC5-E1FA98960D88}" type="presParOf" srcId="{187A8D5F-FB22-4B14-9415-3C7B0EB882A7}" destId="{2C667CDA-39AB-4B84-9C7A-E800A8394771}" srcOrd="1" destOrd="0" presId="urn:microsoft.com/office/officeart/2005/8/layout/orgChart1"/>
    <dgm:cxn modelId="{44B79DD5-B08F-413D-A2E2-86879CEBE719}" type="presParOf" srcId="{2C667CDA-39AB-4B84-9C7A-E800A8394771}" destId="{12BDE00B-4FD9-4DB4-AD7B-E9EE7B3407F0}" srcOrd="0" destOrd="0" presId="urn:microsoft.com/office/officeart/2005/8/layout/orgChart1"/>
    <dgm:cxn modelId="{B8049F64-0A18-4A97-916A-9B5705EFD039}" type="presParOf" srcId="{12BDE00B-4FD9-4DB4-AD7B-E9EE7B3407F0}" destId="{3D014A7C-9AA3-4045-8BB8-AC08CBD6DC16}" srcOrd="0" destOrd="0" presId="urn:microsoft.com/office/officeart/2005/8/layout/orgChart1"/>
    <dgm:cxn modelId="{981A9255-3946-49C5-AF02-72F7B3318950}" type="presParOf" srcId="{12BDE00B-4FD9-4DB4-AD7B-E9EE7B3407F0}" destId="{25C102F9-369F-4A45-9CB0-5AF259812CF8}" srcOrd="1" destOrd="0" presId="urn:microsoft.com/office/officeart/2005/8/layout/orgChart1"/>
    <dgm:cxn modelId="{F0FD6E15-F796-4BDC-A08C-5026ABA89F38}" type="presParOf" srcId="{2C667CDA-39AB-4B84-9C7A-E800A8394771}" destId="{E3D30141-F482-4BB9-A146-6668F9419F38}" srcOrd="1" destOrd="0" presId="urn:microsoft.com/office/officeart/2005/8/layout/orgChart1"/>
    <dgm:cxn modelId="{5A232D3C-0FC4-40E3-8D3F-853F5564D27F}" type="presParOf" srcId="{2C667CDA-39AB-4B84-9C7A-E800A8394771}" destId="{CE721697-D713-4E8C-A13B-AF7A1BACF03A}" srcOrd="2" destOrd="0" presId="urn:microsoft.com/office/officeart/2005/8/layout/orgChart1"/>
    <dgm:cxn modelId="{60A33FCC-6833-47E9-8188-3B5FB45B9930}" type="presParOf" srcId="{187A8D5F-FB22-4B14-9415-3C7B0EB882A7}" destId="{92AAF338-71BD-4F9A-97A0-5EB05BBF3E79}" srcOrd="2" destOrd="0" presId="urn:microsoft.com/office/officeart/2005/8/layout/orgChart1"/>
    <dgm:cxn modelId="{B2F0A0A7-9FAD-4BF0-AE45-65CB57CEE1A1}" type="presParOf" srcId="{187A8D5F-FB22-4B14-9415-3C7B0EB882A7}" destId="{5F5F1F8F-D9DA-444E-9E5E-A099F633F1BA}" srcOrd="3" destOrd="0" presId="urn:microsoft.com/office/officeart/2005/8/layout/orgChart1"/>
    <dgm:cxn modelId="{F00D4C18-1663-4925-B390-40E70EE80CEE}" type="presParOf" srcId="{5F5F1F8F-D9DA-444E-9E5E-A099F633F1BA}" destId="{DD17C746-793A-44B9-A94C-0C7149409B4B}" srcOrd="0" destOrd="0" presId="urn:microsoft.com/office/officeart/2005/8/layout/orgChart1"/>
    <dgm:cxn modelId="{A718BF5C-58A5-45EA-89E0-4209D5C3A403}" type="presParOf" srcId="{DD17C746-793A-44B9-A94C-0C7149409B4B}" destId="{A3420F93-208E-470D-B2B1-DA08642CA247}" srcOrd="0" destOrd="0" presId="urn:microsoft.com/office/officeart/2005/8/layout/orgChart1"/>
    <dgm:cxn modelId="{C3DF689C-07A6-4507-9A74-BBCDB4D8E7EE}" type="presParOf" srcId="{DD17C746-793A-44B9-A94C-0C7149409B4B}" destId="{EB1C5502-EDCC-4613-8B01-08BBBDC6C084}" srcOrd="1" destOrd="0" presId="urn:microsoft.com/office/officeart/2005/8/layout/orgChart1"/>
    <dgm:cxn modelId="{EC4D662D-4C93-40EE-9A2C-B846FD22A915}" type="presParOf" srcId="{5F5F1F8F-D9DA-444E-9E5E-A099F633F1BA}" destId="{B33C6CDA-647E-4304-9C0B-D51C55E8DCC5}" srcOrd="1" destOrd="0" presId="urn:microsoft.com/office/officeart/2005/8/layout/orgChart1"/>
    <dgm:cxn modelId="{31184DE2-21DE-4AAB-9732-521C33C5A7A8}" type="presParOf" srcId="{5F5F1F8F-D9DA-444E-9E5E-A099F633F1BA}" destId="{99472673-6AD8-439E-86B7-3E7EFD68FD59}" srcOrd="2" destOrd="0" presId="urn:microsoft.com/office/officeart/2005/8/layout/orgChart1"/>
    <dgm:cxn modelId="{58D63C2B-E03E-47B6-AFA2-0315615D5596}" type="presParOf" srcId="{187A8D5F-FB22-4B14-9415-3C7B0EB882A7}" destId="{1F2CE9D4-320B-4306-8C04-5D70E05E1121}" srcOrd="4" destOrd="0" presId="urn:microsoft.com/office/officeart/2005/8/layout/orgChart1"/>
    <dgm:cxn modelId="{220CED23-1882-4E8C-A859-1CEB4A0D7A84}" type="presParOf" srcId="{187A8D5F-FB22-4B14-9415-3C7B0EB882A7}" destId="{4D8EC718-AAF4-4355-AED2-CEE64D41E47D}" srcOrd="5" destOrd="0" presId="urn:microsoft.com/office/officeart/2005/8/layout/orgChart1"/>
    <dgm:cxn modelId="{34202CF6-227C-44EF-BC89-4E16B52FB35A}" type="presParOf" srcId="{4D8EC718-AAF4-4355-AED2-CEE64D41E47D}" destId="{EEF2958E-F63E-427D-86A3-B8EF9B925330}" srcOrd="0" destOrd="0" presId="urn:microsoft.com/office/officeart/2005/8/layout/orgChart1"/>
    <dgm:cxn modelId="{DA7527E6-DAE5-43A5-BBF9-80CF60152DC5}" type="presParOf" srcId="{EEF2958E-F63E-427D-86A3-B8EF9B925330}" destId="{1C4417BD-46A6-4D43-BC1D-60FA72967F1E}" srcOrd="0" destOrd="0" presId="urn:microsoft.com/office/officeart/2005/8/layout/orgChart1"/>
    <dgm:cxn modelId="{276F0F1E-BEDD-41E7-876A-26927CB5A392}" type="presParOf" srcId="{EEF2958E-F63E-427D-86A3-B8EF9B925330}" destId="{9CC4D7D5-CDC2-4749-88D2-1E9F4A6871BA}" srcOrd="1" destOrd="0" presId="urn:microsoft.com/office/officeart/2005/8/layout/orgChart1"/>
    <dgm:cxn modelId="{116D7484-3218-4C28-A9E0-B20E9CF49B27}" type="presParOf" srcId="{4D8EC718-AAF4-4355-AED2-CEE64D41E47D}" destId="{8C9199E3-1400-41CD-B681-1D4CA18E60E9}" srcOrd="1" destOrd="0" presId="urn:microsoft.com/office/officeart/2005/8/layout/orgChart1"/>
    <dgm:cxn modelId="{621CA564-F0F9-4841-A769-88334C38CF1F}" type="presParOf" srcId="{4D8EC718-AAF4-4355-AED2-CEE64D41E47D}" destId="{22FD5C20-C10F-44F7-AB6B-236E95D0E463}" srcOrd="2" destOrd="0" presId="urn:microsoft.com/office/officeart/2005/8/layout/orgChart1"/>
    <dgm:cxn modelId="{25D25973-E0B1-4F67-AB19-3832D569B8A1}" type="presParOf" srcId="{187A8D5F-FB22-4B14-9415-3C7B0EB882A7}" destId="{7404406A-96A5-4937-B0E8-C9F1DA14F685}" srcOrd="6" destOrd="0" presId="urn:microsoft.com/office/officeart/2005/8/layout/orgChart1"/>
    <dgm:cxn modelId="{DEDA6D27-6A94-46D3-9649-EA1BF3DF4124}" type="presParOf" srcId="{187A8D5F-FB22-4B14-9415-3C7B0EB882A7}" destId="{DA2C41F1-827C-4BEB-8EA1-81DE78AFD03F}" srcOrd="7" destOrd="0" presId="urn:microsoft.com/office/officeart/2005/8/layout/orgChart1"/>
    <dgm:cxn modelId="{F4110558-15AD-41B5-8243-343F84B497E5}" type="presParOf" srcId="{DA2C41F1-827C-4BEB-8EA1-81DE78AFD03F}" destId="{4B99C60E-0F79-4BD1-913E-37813347EF15}" srcOrd="0" destOrd="0" presId="urn:microsoft.com/office/officeart/2005/8/layout/orgChart1"/>
    <dgm:cxn modelId="{48A054B7-A583-4033-B3EC-6A1D0ECCDB80}" type="presParOf" srcId="{4B99C60E-0F79-4BD1-913E-37813347EF15}" destId="{5B77F60F-1745-4DF8-880A-FE3A39313938}" srcOrd="0" destOrd="0" presId="urn:microsoft.com/office/officeart/2005/8/layout/orgChart1"/>
    <dgm:cxn modelId="{291711EF-FB68-4E18-BA04-600F924E1C70}" type="presParOf" srcId="{4B99C60E-0F79-4BD1-913E-37813347EF15}" destId="{032D48BD-EF85-4C92-8DFE-887764877D9C}" srcOrd="1" destOrd="0" presId="urn:microsoft.com/office/officeart/2005/8/layout/orgChart1"/>
    <dgm:cxn modelId="{A930D496-BC0C-4BFA-B0CE-60DCBCB4B428}" type="presParOf" srcId="{DA2C41F1-827C-4BEB-8EA1-81DE78AFD03F}" destId="{5805477D-3DE1-4313-97BF-55BA416D10EC}" srcOrd="1" destOrd="0" presId="urn:microsoft.com/office/officeart/2005/8/layout/orgChart1"/>
    <dgm:cxn modelId="{A5E6C7BC-15D8-4E4D-AE86-513E30509C56}" type="presParOf" srcId="{DA2C41F1-827C-4BEB-8EA1-81DE78AFD03F}" destId="{D649A8F7-F8CB-4369-A930-EE64F39FFCF6}" srcOrd="2" destOrd="0" presId="urn:microsoft.com/office/officeart/2005/8/layout/orgChart1"/>
    <dgm:cxn modelId="{938E3A89-4913-459D-BCB7-A7698396AE29}" type="presParOf" srcId="{9101E0A8-D499-4B7C-B77E-4D7D1CE7BFC5}" destId="{C750A0BC-A912-4373-A585-CE49961DADFA}" srcOrd="2" destOrd="0" presId="urn:microsoft.com/office/officeart/2005/8/layout/orgChart1"/>
  </dgm:cxnLst>
  <dgm:bg/>
  <dgm:whole/>
  <dgm:extLst>
    <a:ext uri="http://schemas.microsoft.com/office/drawing/2008/diagram">
      <dsp:dataModelExt xmlns:dsp="http://schemas.microsoft.com/office/drawing/2008/diagram" xmlns="" relId="rId6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7F3042D8-C5E8-4AD0-8AA5-6212FC891A4F}"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fr-CA"/>
        </a:p>
      </dgm:t>
    </dgm:pt>
    <dgm:pt modelId="{4E391C62-2DC2-4747-81CC-9DD6E02C70C5}">
      <dgm:prSet phldrT="[Texte]" custT="1"/>
      <dgm:spPr>
        <a:noFill/>
        <a:ln>
          <a:solidFill>
            <a:schemeClr val="bg1">
              <a:lumMod val="75000"/>
            </a:schemeClr>
          </a:solidFill>
        </a:ln>
      </dgm:spPr>
      <dgm:t>
        <a:bodyPr/>
        <a:lstStyle/>
        <a:p>
          <a:r>
            <a:rPr lang="fr-CA" sz="1100" b="1">
              <a:solidFill>
                <a:sysClr val="windowText" lastClr="000000"/>
              </a:solidFill>
            </a:rPr>
            <a:t>UQTR</a:t>
          </a:r>
        </a:p>
      </dgm:t>
    </dgm:pt>
    <dgm:pt modelId="{10936299-70BA-4F3E-A36E-B4DCC611F6C3}" type="parTrans" cxnId="{44650C7A-9CAE-482C-A20A-5B53CC59FE07}">
      <dgm:prSet/>
      <dgm:spPr/>
      <dgm:t>
        <a:bodyPr/>
        <a:lstStyle/>
        <a:p>
          <a:endParaRPr lang="fr-CA" sz="1050"/>
        </a:p>
      </dgm:t>
    </dgm:pt>
    <dgm:pt modelId="{F6F7E5C7-E29E-4445-B054-03C8195BB8D2}" type="sibTrans" cxnId="{44650C7A-9CAE-482C-A20A-5B53CC59FE07}">
      <dgm:prSet/>
      <dgm:spPr/>
      <dgm:t>
        <a:bodyPr/>
        <a:lstStyle/>
        <a:p>
          <a:endParaRPr lang="fr-CA" sz="1050"/>
        </a:p>
      </dgm:t>
    </dgm:pt>
    <dgm:pt modelId="{85A81ECA-2DBE-4CC4-908D-FB6DE7E40782}" type="asst">
      <dgm:prSet phldrT="[Texte]" custT="1"/>
      <dgm:spPr>
        <a:noFill/>
        <a:ln>
          <a:solidFill>
            <a:schemeClr val="bg1">
              <a:lumMod val="75000"/>
            </a:schemeClr>
          </a:solidFill>
        </a:ln>
      </dgm:spPr>
      <dgm:t>
        <a:bodyPr/>
        <a:lstStyle/>
        <a:p>
          <a:r>
            <a:rPr lang="fr-CA" sz="900" b="1">
              <a:solidFill>
                <a:sysClr val="windowText" lastClr="000000"/>
              </a:solidFill>
            </a:rPr>
            <a:t>Éducation universitaire</a:t>
          </a:r>
        </a:p>
      </dgm:t>
    </dgm:pt>
    <dgm:pt modelId="{8782C248-EE5B-4A67-A69C-76B3FFB71913}" type="parTrans" cxnId="{89FEE940-8A3A-4BB5-9D46-6AA136DB0864}">
      <dgm:prSet/>
      <dgm:spPr>
        <a:noFill/>
        <a:ln>
          <a:solidFill>
            <a:schemeClr val="bg1">
              <a:lumMod val="75000"/>
            </a:schemeClr>
          </a:solidFill>
        </a:ln>
      </dgm:spPr>
      <dgm:t>
        <a:bodyPr/>
        <a:lstStyle/>
        <a:p>
          <a:endParaRPr lang="fr-CA" sz="1050">
            <a:solidFill>
              <a:sysClr val="windowText" lastClr="000000"/>
            </a:solidFill>
          </a:endParaRPr>
        </a:p>
      </dgm:t>
    </dgm:pt>
    <dgm:pt modelId="{5406D752-1B9E-4169-8F76-0E5937CC27F8}" type="sibTrans" cxnId="{89FEE940-8A3A-4BB5-9D46-6AA136DB0864}">
      <dgm:prSet/>
      <dgm:spPr/>
      <dgm:t>
        <a:bodyPr/>
        <a:lstStyle/>
        <a:p>
          <a:endParaRPr lang="fr-CA" sz="1050"/>
        </a:p>
      </dgm:t>
    </dgm:pt>
    <dgm:pt modelId="{9F42FCBC-3440-4C67-8678-3390B7870BFD}">
      <dgm:prSet phldrT="[Texte]" custT="1"/>
      <dgm:spPr>
        <a:noFill/>
        <a:ln>
          <a:solidFill>
            <a:schemeClr val="bg1">
              <a:lumMod val="75000"/>
            </a:schemeClr>
          </a:solidFill>
        </a:ln>
      </dgm:spPr>
      <dgm:t>
        <a:bodyPr/>
        <a:lstStyle/>
        <a:p>
          <a:r>
            <a:rPr lang="fr-CA" sz="1000" b="1">
              <a:solidFill>
                <a:srgbClr val="00B050"/>
              </a:solidFill>
            </a:rPr>
            <a:t>Vie culturelle, sociale et sportive</a:t>
          </a:r>
        </a:p>
      </dgm:t>
    </dgm:pt>
    <dgm:pt modelId="{7E34CD03-8084-42AC-8E7E-FD95E2AA7A9D}" type="parTrans" cxnId="{6047D312-F995-45CC-9F43-C73BA8D2BCD0}">
      <dgm:prSet/>
      <dgm:spPr>
        <a:noFill/>
        <a:ln>
          <a:solidFill>
            <a:schemeClr val="bg1">
              <a:lumMod val="75000"/>
            </a:schemeClr>
          </a:solidFill>
        </a:ln>
      </dgm:spPr>
      <dgm:t>
        <a:bodyPr/>
        <a:lstStyle/>
        <a:p>
          <a:endParaRPr lang="fr-CA" sz="1050">
            <a:solidFill>
              <a:sysClr val="windowText" lastClr="000000"/>
            </a:solidFill>
          </a:endParaRPr>
        </a:p>
      </dgm:t>
    </dgm:pt>
    <dgm:pt modelId="{B360DAF7-8A86-4957-91A5-2114546E5994}" type="sibTrans" cxnId="{6047D312-F995-45CC-9F43-C73BA8D2BCD0}">
      <dgm:prSet/>
      <dgm:spPr/>
      <dgm:t>
        <a:bodyPr/>
        <a:lstStyle/>
        <a:p>
          <a:endParaRPr lang="fr-CA" sz="1050"/>
        </a:p>
      </dgm:t>
    </dgm:pt>
    <dgm:pt modelId="{586E7D0C-95FB-40A4-B0ED-D34C61FC39E6}">
      <dgm:prSet phldrT="[Texte]" custT="1"/>
      <dgm:spPr>
        <a:noFill/>
        <a:ln>
          <a:solidFill>
            <a:schemeClr val="bg1">
              <a:lumMod val="75000"/>
            </a:schemeClr>
          </a:solidFill>
        </a:ln>
      </dgm:spPr>
      <dgm:t>
        <a:bodyPr/>
        <a:lstStyle/>
        <a:p>
          <a:r>
            <a:rPr lang="fr-CA" sz="1000" b="1">
              <a:solidFill>
                <a:srgbClr val="00B050"/>
              </a:solidFill>
            </a:rPr>
            <a:t>Cliniques de santé universitaires</a:t>
          </a:r>
        </a:p>
      </dgm:t>
    </dgm:pt>
    <dgm:pt modelId="{0F393C73-51E9-43AE-9707-523462476083}" type="parTrans" cxnId="{F8289D3A-53A5-4384-84F0-44FD12CEB236}">
      <dgm:prSet/>
      <dgm:spPr>
        <a:noFill/>
        <a:ln>
          <a:solidFill>
            <a:schemeClr val="bg1">
              <a:lumMod val="75000"/>
            </a:schemeClr>
          </a:solidFill>
        </a:ln>
      </dgm:spPr>
      <dgm:t>
        <a:bodyPr/>
        <a:lstStyle/>
        <a:p>
          <a:endParaRPr lang="fr-CA" sz="1050">
            <a:solidFill>
              <a:sysClr val="windowText" lastClr="000000"/>
            </a:solidFill>
          </a:endParaRPr>
        </a:p>
      </dgm:t>
    </dgm:pt>
    <dgm:pt modelId="{A2AECDA6-2F98-4215-99B4-9CA60F8F8403}" type="sibTrans" cxnId="{F8289D3A-53A5-4384-84F0-44FD12CEB236}">
      <dgm:prSet/>
      <dgm:spPr/>
      <dgm:t>
        <a:bodyPr/>
        <a:lstStyle/>
        <a:p>
          <a:endParaRPr lang="fr-CA" sz="1050"/>
        </a:p>
      </dgm:t>
    </dgm:pt>
    <dgm:pt modelId="{572ADB97-852B-4DBB-8821-32310C90D818}" type="asst">
      <dgm:prSet phldrT="[Texte]" custT="1"/>
      <dgm:spPr>
        <a:noFill/>
        <a:ln>
          <a:solidFill>
            <a:srgbClr val="FFC000"/>
          </a:solidFill>
        </a:ln>
      </dgm:spPr>
      <dgm:t>
        <a:bodyPr/>
        <a:lstStyle/>
        <a:p>
          <a:r>
            <a:rPr lang="fr-CA" sz="1400" b="1">
              <a:solidFill>
                <a:sysClr val="windowText" lastClr="000000"/>
              </a:solidFill>
            </a:rPr>
            <a:t>CSCPM</a:t>
          </a:r>
        </a:p>
      </dgm:t>
    </dgm:pt>
    <dgm:pt modelId="{3F18B6B5-D668-4319-AE52-040761A61F12}" type="parTrans" cxnId="{8AB792C7-D57A-48E5-B0AB-E0DD27B98072}">
      <dgm:prSet/>
      <dgm:spPr>
        <a:noFill/>
        <a:ln>
          <a:solidFill>
            <a:schemeClr val="bg1">
              <a:lumMod val="75000"/>
            </a:schemeClr>
          </a:solidFill>
        </a:ln>
      </dgm:spPr>
      <dgm:t>
        <a:bodyPr/>
        <a:lstStyle/>
        <a:p>
          <a:endParaRPr lang="fr-CA" sz="1050">
            <a:solidFill>
              <a:sysClr val="windowText" lastClr="000000"/>
            </a:solidFill>
          </a:endParaRPr>
        </a:p>
      </dgm:t>
    </dgm:pt>
    <dgm:pt modelId="{86166288-0A60-436E-8A9F-92DEC15B7C6E}" type="sibTrans" cxnId="{8AB792C7-D57A-48E5-B0AB-E0DD27B98072}">
      <dgm:prSet/>
      <dgm:spPr/>
      <dgm:t>
        <a:bodyPr/>
        <a:lstStyle/>
        <a:p>
          <a:endParaRPr lang="fr-CA" sz="1050"/>
        </a:p>
      </dgm:t>
    </dgm:pt>
    <dgm:pt modelId="{4C94DED7-63FF-4143-9C1B-E3429DFBE0D8}" type="asst">
      <dgm:prSet phldrT="[Texte]" custT="1"/>
      <dgm:spPr>
        <a:noFill/>
        <a:ln>
          <a:solidFill>
            <a:schemeClr val="bg1">
              <a:lumMod val="75000"/>
            </a:schemeClr>
          </a:solidFill>
        </a:ln>
      </dgm:spPr>
      <dgm:t>
        <a:bodyPr/>
        <a:lstStyle/>
        <a:p>
          <a:r>
            <a:rPr lang="fr-CA" sz="900">
              <a:solidFill>
                <a:sysClr val="windowText" lastClr="000000"/>
              </a:solidFill>
            </a:rPr>
            <a:t>Cours en ligne ouverts aux masses (MOOC)</a:t>
          </a:r>
        </a:p>
      </dgm:t>
    </dgm:pt>
    <dgm:pt modelId="{DDC63FEC-E42A-4B57-8756-AE3DB394CC42}" type="parTrans" cxnId="{36DB3370-60DA-4C00-BD97-AB296798388F}">
      <dgm:prSet/>
      <dgm:spPr>
        <a:noFill/>
        <a:ln>
          <a:solidFill>
            <a:schemeClr val="bg1">
              <a:lumMod val="75000"/>
            </a:schemeClr>
          </a:solidFill>
        </a:ln>
      </dgm:spPr>
      <dgm:t>
        <a:bodyPr/>
        <a:lstStyle/>
        <a:p>
          <a:endParaRPr lang="fr-CA" sz="1050">
            <a:solidFill>
              <a:sysClr val="windowText" lastClr="000000"/>
            </a:solidFill>
          </a:endParaRPr>
        </a:p>
      </dgm:t>
    </dgm:pt>
    <dgm:pt modelId="{DFB43BD4-8861-475F-AFFA-DEFB6D07A5F1}" type="sibTrans" cxnId="{36DB3370-60DA-4C00-BD97-AB296798388F}">
      <dgm:prSet/>
      <dgm:spPr/>
      <dgm:t>
        <a:bodyPr/>
        <a:lstStyle/>
        <a:p>
          <a:endParaRPr lang="fr-CA" sz="1050"/>
        </a:p>
      </dgm:t>
    </dgm:pt>
    <dgm:pt modelId="{6D89899C-34ED-4A88-9A1B-00503F7EB41A}" type="asst">
      <dgm:prSet phldrT="[Texte]" custT="1"/>
      <dgm:spPr>
        <a:noFill/>
        <a:ln>
          <a:solidFill>
            <a:schemeClr val="bg1">
              <a:lumMod val="75000"/>
            </a:schemeClr>
          </a:solidFill>
        </a:ln>
      </dgm:spPr>
      <dgm:t>
        <a:bodyPr/>
        <a:lstStyle/>
        <a:p>
          <a:r>
            <a:rPr lang="fr-CA" sz="900">
              <a:solidFill>
                <a:sysClr val="windowText" lastClr="000000"/>
              </a:solidFill>
            </a:rPr>
            <a:t>Étudiants en campus visant une diplômation</a:t>
          </a:r>
        </a:p>
      </dgm:t>
    </dgm:pt>
    <dgm:pt modelId="{9B0643FE-D70A-4D49-B299-52B1D56EF936}" type="parTrans" cxnId="{9CA178B0-4442-45EB-B9A7-37D2FE0A53BC}">
      <dgm:prSet/>
      <dgm:spPr>
        <a:noFill/>
        <a:ln>
          <a:solidFill>
            <a:schemeClr val="bg1">
              <a:lumMod val="75000"/>
            </a:schemeClr>
          </a:solidFill>
        </a:ln>
      </dgm:spPr>
      <dgm:t>
        <a:bodyPr/>
        <a:lstStyle/>
        <a:p>
          <a:endParaRPr lang="fr-CA" sz="1050">
            <a:solidFill>
              <a:sysClr val="windowText" lastClr="000000"/>
            </a:solidFill>
          </a:endParaRPr>
        </a:p>
      </dgm:t>
    </dgm:pt>
    <dgm:pt modelId="{D17252A4-5013-41F6-B149-DECA06131122}" type="sibTrans" cxnId="{9CA178B0-4442-45EB-B9A7-37D2FE0A53BC}">
      <dgm:prSet/>
      <dgm:spPr/>
      <dgm:t>
        <a:bodyPr/>
        <a:lstStyle/>
        <a:p>
          <a:endParaRPr lang="fr-CA" sz="1050"/>
        </a:p>
      </dgm:t>
    </dgm:pt>
    <dgm:pt modelId="{36C0DF1E-7A03-49AE-8E12-7EC277F37850}" type="asst">
      <dgm:prSet phldrT="[Texte]" custT="1"/>
      <dgm:spPr>
        <a:noFill/>
        <a:ln>
          <a:solidFill>
            <a:schemeClr val="bg1">
              <a:lumMod val="75000"/>
            </a:schemeClr>
          </a:solidFill>
        </a:ln>
      </dgm:spPr>
      <dgm:t>
        <a:bodyPr/>
        <a:lstStyle/>
        <a:p>
          <a:r>
            <a:rPr lang="fr-CA" sz="900">
              <a:solidFill>
                <a:sysClr val="windowText" lastClr="000000"/>
              </a:solidFill>
            </a:rPr>
            <a:t>Université du troisième âge</a:t>
          </a:r>
        </a:p>
      </dgm:t>
    </dgm:pt>
    <dgm:pt modelId="{D81AEBBF-2ECE-40EB-956D-556F772B0DEE}" type="parTrans" cxnId="{2EC07BA0-82F5-403D-A8DB-5B58EFDF262D}">
      <dgm:prSet/>
      <dgm:spPr>
        <a:noFill/>
        <a:ln>
          <a:solidFill>
            <a:schemeClr val="bg1">
              <a:lumMod val="75000"/>
            </a:schemeClr>
          </a:solidFill>
        </a:ln>
      </dgm:spPr>
      <dgm:t>
        <a:bodyPr/>
        <a:lstStyle/>
        <a:p>
          <a:endParaRPr lang="fr-CA" sz="1050">
            <a:solidFill>
              <a:sysClr val="windowText" lastClr="000000"/>
            </a:solidFill>
          </a:endParaRPr>
        </a:p>
      </dgm:t>
    </dgm:pt>
    <dgm:pt modelId="{6CF3F2B2-5E9A-41BC-928F-8C280099E823}" type="sibTrans" cxnId="{2EC07BA0-82F5-403D-A8DB-5B58EFDF262D}">
      <dgm:prSet/>
      <dgm:spPr/>
      <dgm:t>
        <a:bodyPr/>
        <a:lstStyle/>
        <a:p>
          <a:endParaRPr lang="fr-CA" sz="1050"/>
        </a:p>
      </dgm:t>
    </dgm:pt>
    <dgm:pt modelId="{C4C7C7CA-D7D3-42EA-9FF0-6BCD47F02736}" type="asst">
      <dgm:prSet phldrT="[Texte]" custT="1"/>
      <dgm:spPr>
        <a:noFill/>
        <a:ln>
          <a:solidFill>
            <a:schemeClr val="bg1">
              <a:lumMod val="75000"/>
            </a:schemeClr>
          </a:solidFill>
        </a:ln>
      </dgm:spPr>
      <dgm:t>
        <a:bodyPr/>
        <a:lstStyle/>
        <a:p>
          <a:r>
            <a:rPr lang="fr-CA" sz="900">
              <a:solidFill>
                <a:sysClr val="windowText" lastClr="000000"/>
              </a:solidFill>
            </a:rPr>
            <a:t>Étudiants hors campus visant une diplômation</a:t>
          </a:r>
        </a:p>
      </dgm:t>
    </dgm:pt>
    <dgm:pt modelId="{A0CACB0B-A7FD-4076-9992-6DB3017E2CD4}" type="parTrans" cxnId="{BD7359BE-7984-43BF-BDDC-A837DEE3450F}">
      <dgm:prSet/>
      <dgm:spPr>
        <a:noFill/>
        <a:ln>
          <a:solidFill>
            <a:schemeClr val="bg1">
              <a:lumMod val="75000"/>
            </a:schemeClr>
          </a:solidFill>
        </a:ln>
      </dgm:spPr>
      <dgm:t>
        <a:bodyPr/>
        <a:lstStyle/>
        <a:p>
          <a:endParaRPr lang="fr-CA" sz="1050">
            <a:solidFill>
              <a:sysClr val="windowText" lastClr="000000"/>
            </a:solidFill>
          </a:endParaRPr>
        </a:p>
      </dgm:t>
    </dgm:pt>
    <dgm:pt modelId="{3E231918-CC5C-4CF7-A8DB-9655B93CC41F}" type="sibTrans" cxnId="{BD7359BE-7984-43BF-BDDC-A837DEE3450F}">
      <dgm:prSet/>
      <dgm:spPr/>
      <dgm:t>
        <a:bodyPr/>
        <a:lstStyle/>
        <a:p>
          <a:endParaRPr lang="fr-CA" sz="1050"/>
        </a:p>
      </dgm:t>
    </dgm:pt>
    <dgm:pt modelId="{080F9D16-6E08-4CC2-9EA2-44EFCC7E202E}">
      <dgm:prSet phldrT="[Texte]" custT="1"/>
      <dgm:spPr>
        <a:noFill/>
        <a:ln>
          <a:solidFill>
            <a:schemeClr val="bg1">
              <a:lumMod val="75000"/>
            </a:schemeClr>
          </a:solidFill>
        </a:ln>
      </dgm:spPr>
      <dgm:t>
        <a:bodyPr/>
        <a:lstStyle/>
        <a:p>
          <a:r>
            <a:rPr lang="fr-CA" sz="1000" b="1">
              <a:solidFill>
                <a:srgbClr val="00B050"/>
              </a:solidFill>
            </a:rPr>
            <a:t>Services et unités en lien avec l'UQTR</a:t>
          </a:r>
        </a:p>
      </dgm:t>
    </dgm:pt>
    <dgm:pt modelId="{23E2AD6A-0D9F-4383-88EB-AC4D36FC0DDD}" type="parTrans" cxnId="{551AD251-E23A-4070-BCAE-AFEE55E16DC5}">
      <dgm:prSet/>
      <dgm:spPr>
        <a:noFill/>
        <a:ln>
          <a:solidFill>
            <a:schemeClr val="bg1">
              <a:lumMod val="75000"/>
            </a:schemeClr>
          </a:solidFill>
        </a:ln>
      </dgm:spPr>
      <dgm:t>
        <a:bodyPr/>
        <a:lstStyle/>
        <a:p>
          <a:endParaRPr lang="fr-CA" sz="1200">
            <a:solidFill>
              <a:sysClr val="windowText" lastClr="000000"/>
            </a:solidFill>
          </a:endParaRPr>
        </a:p>
      </dgm:t>
    </dgm:pt>
    <dgm:pt modelId="{18BEE971-07DD-466E-87C2-39D906D27D62}" type="sibTrans" cxnId="{551AD251-E23A-4070-BCAE-AFEE55E16DC5}">
      <dgm:prSet/>
      <dgm:spPr/>
      <dgm:t>
        <a:bodyPr/>
        <a:lstStyle/>
        <a:p>
          <a:endParaRPr lang="fr-CA" sz="1200"/>
        </a:p>
      </dgm:t>
    </dgm:pt>
    <dgm:pt modelId="{55745BC9-8D9C-4ABB-852F-8525FC7315C0}">
      <dgm:prSet phldrT="[Texte]" custT="1"/>
      <dgm:spPr>
        <a:noFill/>
        <a:ln>
          <a:solidFill>
            <a:schemeClr val="bg1">
              <a:lumMod val="75000"/>
            </a:schemeClr>
          </a:solidFill>
        </a:ln>
      </dgm:spPr>
      <dgm:t>
        <a:bodyPr/>
        <a:lstStyle/>
        <a:p>
          <a:r>
            <a:rPr lang="fr-CA" sz="1000">
              <a:solidFill>
                <a:srgbClr val="FF0000"/>
              </a:solidFill>
            </a:rPr>
            <a:t>Centre de l'activité physique et sportive (CAPS)</a:t>
          </a:r>
        </a:p>
      </dgm:t>
    </dgm:pt>
    <dgm:pt modelId="{6911BF24-94E6-43CB-BAF4-5D9D4367E8F9}" type="parTrans" cxnId="{81E4C61F-AB9D-49B7-9054-54131971717B}">
      <dgm:prSet/>
      <dgm:spPr/>
      <dgm:t>
        <a:bodyPr/>
        <a:lstStyle/>
        <a:p>
          <a:endParaRPr lang="fr-CA" sz="1200"/>
        </a:p>
      </dgm:t>
    </dgm:pt>
    <dgm:pt modelId="{D5D56241-F642-4B3A-9729-38A848DDB08E}" type="sibTrans" cxnId="{81E4C61F-AB9D-49B7-9054-54131971717B}">
      <dgm:prSet/>
      <dgm:spPr/>
      <dgm:t>
        <a:bodyPr/>
        <a:lstStyle/>
        <a:p>
          <a:endParaRPr lang="fr-CA" sz="1200"/>
        </a:p>
      </dgm:t>
    </dgm:pt>
    <dgm:pt modelId="{CEC7455D-9DE0-4ECD-8CF2-561AC69E0D22}">
      <dgm:prSet phldrT="[Texte]" custT="1"/>
      <dgm:spPr>
        <a:noFill/>
        <a:ln>
          <a:solidFill>
            <a:schemeClr val="bg1">
              <a:lumMod val="75000"/>
            </a:schemeClr>
          </a:solidFill>
        </a:ln>
      </dgm:spPr>
      <dgm:t>
        <a:bodyPr/>
        <a:lstStyle/>
        <a:p>
          <a:r>
            <a:rPr lang="fr-CA" sz="1000">
              <a:solidFill>
                <a:srgbClr val="FF0000"/>
              </a:solidFill>
            </a:rPr>
            <a:t>Orientation scolaire et professionnelle</a:t>
          </a:r>
        </a:p>
      </dgm:t>
    </dgm:pt>
    <dgm:pt modelId="{6E5F547E-B4CF-416D-8875-3B13A66F6544}" type="parTrans" cxnId="{93A214C4-EEBB-402F-8F3F-FF0EB1C4F663}">
      <dgm:prSet/>
      <dgm:spPr/>
      <dgm:t>
        <a:bodyPr/>
        <a:lstStyle/>
        <a:p>
          <a:endParaRPr lang="fr-CA" sz="1200"/>
        </a:p>
      </dgm:t>
    </dgm:pt>
    <dgm:pt modelId="{E382F66C-BD5D-40AE-83F0-04D4AE7754BC}" type="sibTrans" cxnId="{93A214C4-EEBB-402F-8F3F-FF0EB1C4F663}">
      <dgm:prSet/>
      <dgm:spPr/>
      <dgm:t>
        <a:bodyPr/>
        <a:lstStyle/>
        <a:p>
          <a:endParaRPr lang="fr-CA" sz="1200"/>
        </a:p>
      </dgm:t>
    </dgm:pt>
    <dgm:pt modelId="{45E9AEA0-0B43-4A44-9963-2318960E78C3}">
      <dgm:prSet phldrT="[Texte]" custT="1"/>
      <dgm:spPr>
        <a:noFill/>
        <a:ln>
          <a:solidFill>
            <a:schemeClr val="bg1">
              <a:lumMod val="75000"/>
            </a:schemeClr>
          </a:solidFill>
        </a:ln>
      </dgm:spPr>
      <dgm:t>
        <a:bodyPr/>
        <a:lstStyle/>
        <a:p>
          <a:r>
            <a:rPr lang="fr-CA" sz="1000">
              <a:solidFill>
                <a:srgbClr val="FF0000"/>
              </a:solidFill>
            </a:rPr>
            <a:t>Service d'aide aux devoirs pour élèves du primaire et secondaire</a:t>
          </a:r>
        </a:p>
      </dgm:t>
    </dgm:pt>
    <dgm:pt modelId="{296F0649-4857-4005-A3BF-B36101B2296A}" type="parTrans" cxnId="{D7CFB055-7668-47CD-856C-F3C18D50177B}">
      <dgm:prSet/>
      <dgm:spPr/>
      <dgm:t>
        <a:bodyPr/>
        <a:lstStyle/>
        <a:p>
          <a:endParaRPr lang="fr-CA" sz="1200"/>
        </a:p>
      </dgm:t>
    </dgm:pt>
    <dgm:pt modelId="{3C06DC85-21B3-492A-8974-0F9A622F4285}" type="sibTrans" cxnId="{D7CFB055-7668-47CD-856C-F3C18D50177B}">
      <dgm:prSet/>
      <dgm:spPr/>
      <dgm:t>
        <a:bodyPr/>
        <a:lstStyle/>
        <a:p>
          <a:endParaRPr lang="fr-CA" sz="1200"/>
        </a:p>
      </dgm:t>
    </dgm:pt>
    <dgm:pt modelId="{5D1CB26D-C5CE-4E89-8422-0C8284E26AE6}">
      <dgm:prSet phldrT="[Texte]" custT="1"/>
      <dgm:spPr>
        <a:noFill/>
        <a:ln>
          <a:solidFill>
            <a:schemeClr val="bg1">
              <a:lumMod val="75000"/>
            </a:schemeClr>
          </a:solidFill>
        </a:ln>
      </dgm:spPr>
      <dgm:t>
        <a:bodyPr/>
        <a:lstStyle/>
        <a:p>
          <a:r>
            <a:rPr lang="fr-CA" sz="1000" b="0">
              <a:solidFill>
                <a:srgbClr val="FF0000"/>
              </a:solidFill>
            </a:rPr>
            <a:t>Ensemble des cliniques de santé</a:t>
          </a:r>
        </a:p>
      </dgm:t>
    </dgm:pt>
    <dgm:pt modelId="{3847289A-A536-4A9C-9EB0-493F69407A7E}" type="parTrans" cxnId="{88F02B46-24B2-4005-B952-80096B2CE2C8}">
      <dgm:prSet/>
      <dgm:spPr/>
      <dgm:t>
        <a:bodyPr/>
        <a:lstStyle/>
        <a:p>
          <a:endParaRPr lang="fr-CA"/>
        </a:p>
      </dgm:t>
    </dgm:pt>
    <dgm:pt modelId="{6ABE87AD-5369-421A-A5F1-A43545414676}" type="sibTrans" cxnId="{88F02B46-24B2-4005-B952-80096B2CE2C8}">
      <dgm:prSet/>
      <dgm:spPr/>
      <dgm:t>
        <a:bodyPr/>
        <a:lstStyle/>
        <a:p>
          <a:endParaRPr lang="fr-CA"/>
        </a:p>
      </dgm:t>
    </dgm:pt>
    <dgm:pt modelId="{478ECFE1-E65D-4FA8-A0CB-918D34EEB240}" type="pres">
      <dgm:prSet presAssocID="{7F3042D8-C5E8-4AD0-8AA5-6212FC891A4F}" presName="hierChild1" presStyleCnt="0">
        <dgm:presLayoutVars>
          <dgm:orgChart val="1"/>
          <dgm:chPref val="1"/>
          <dgm:dir/>
          <dgm:animOne val="branch"/>
          <dgm:animLvl val="lvl"/>
          <dgm:resizeHandles/>
        </dgm:presLayoutVars>
      </dgm:prSet>
      <dgm:spPr/>
      <dgm:t>
        <a:bodyPr/>
        <a:lstStyle/>
        <a:p>
          <a:endParaRPr lang="fr-CA"/>
        </a:p>
      </dgm:t>
    </dgm:pt>
    <dgm:pt modelId="{FE95447D-8C9F-4E9D-8D52-2573C7243FDD}" type="pres">
      <dgm:prSet presAssocID="{4E391C62-2DC2-4747-81CC-9DD6E02C70C5}" presName="hierRoot1" presStyleCnt="0">
        <dgm:presLayoutVars>
          <dgm:hierBranch val="init"/>
        </dgm:presLayoutVars>
      </dgm:prSet>
      <dgm:spPr/>
    </dgm:pt>
    <dgm:pt modelId="{11F28598-2AFC-457E-B254-52FE9351CAF6}" type="pres">
      <dgm:prSet presAssocID="{4E391C62-2DC2-4747-81CC-9DD6E02C70C5}" presName="rootComposite1" presStyleCnt="0"/>
      <dgm:spPr/>
    </dgm:pt>
    <dgm:pt modelId="{F0B6F898-C2CE-4086-9801-56C045DA96FA}" type="pres">
      <dgm:prSet presAssocID="{4E391C62-2DC2-4747-81CC-9DD6E02C70C5}" presName="rootText1" presStyleLbl="node0" presStyleIdx="0" presStyleCnt="1" custScaleX="128476" custScaleY="122614">
        <dgm:presLayoutVars>
          <dgm:chPref val="3"/>
        </dgm:presLayoutVars>
      </dgm:prSet>
      <dgm:spPr/>
      <dgm:t>
        <a:bodyPr/>
        <a:lstStyle/>
        <a:p>
          <a:endParaRPr lang="fr-CA"/>
        </a:p>
      </dgm:t>
    </dgm:pt>
    <dgm:pt modelId="{0AFAE519-94A3-4808-A12D-8C327BFC791D}" type="pres">
      <dgm:prSet presAssocID="{4E391C62-2DC2-4747-81CC-9DD6E02C70C5}" presName="rootConnector1" presStyleLbl="node1" presStyleIdx="0" presStyleCnt="0"/>
      <dgm:spPr/>
      <dgm:t>
        <a:bodyPr/>
        <a:lstStyle/>
        <a:p>
          <a:endParaRPr lang="fr-CA"/>
        </a:p>
      </dgm:t>
    </dgm:pt>
    <dgm:pt modelId="{1E66AE04-B440-4DBF-AA7B-624983FEBF09}" type="pres">
      <dgm:prSet presAssocID="{4E391C62-2DC2-4747-81CC-9DD6E02C70C5}" presName="hierChild2" presStyleCnt="0"/>
      <dgm:spPr/>
    </dgm:pt>
    <dgm:pt modelId="{40172A2D-3AB4-4113-A2D8-EBE0384173D4}" type="pres">
      <dgm:prSet presAssocID="{4E391C62-2DC2-4747-81CC-9DD6E02C70C5}" presName="hierChild3" presStyleCnt="0"/>
      <dgm:spPr/>
    </dgm:pt>
    <dgm:pt modelId="{C4179974-56D9-4C7F-947F-5BB845358754}" type="pres">
      <dgm:prSet presAssocID="{8782C248-EE5B-4A67-A69C-76B3FFB71913}" presName="Name111" presStyleLbl="parChTrans1D2" presStyleIdx="0" presStyleCnt="2" custSzX="858303" custSzY="530472"/>
      <dgm:spPr/>
      <dgm:t>
        <a:bodyPr/>
        <a:lstStyle/>
        <a:p>
          <a:endParaRPr lang="fr-CA"/>
        </a:p>
      </dgm:t>
    </dgm:pt>
    <dgm:pt modelId="{3A792DD8-1733-4CD3-8B70-ACB4DB920585}" type="pres">
      <dgm:prSet presAssocID="{85A81ECA-2DBE-4CC4-908D-FB6DE7E40782}" presName="hierRoot3" presStyleCnt="0">
        <dgm:presLayoutVars>
          <dgm:hierBranch val="init"/>
        </dgm:presLayoutVars>
      </dgm:prSet>
      <dgm:spPr/>
    </dgm:pt>
    <dgm:pt modelId="{B808F747-5CDD-4280-ADD5-E07B3EC8DC98}" type="pres">
      <dgm:prSet presAssocID="{85A81ECA-2DBE-4CC4-908D-FB6DE7E40782}" presName="rootComposite3" presStyleCnt="0"/>
      <dgm:spPr/>
    </dgm:pt>
    <dgm:pt modelId="{F02CC53F-F191-4DD6-865A-DD513A7BF9CF}" type="pres">
      <dgm:prSet presAssocID="{85A81ECA-2DBE-4CC4-908D-FB6DE7E40782}" presName="rootText3" presStyleLbl="asst1" presStyleIdx="0" presStyleCnt="6" custScaleX="140573" custScaleY="122614">
        <dgm:presLayoutVars>
          <dgm:chPref val="3"/>
        </dgm:presLayoutVars>
      </dgm:prSet>
      <dgm:spPr/>
      <dgm:t>
        <a:bodyPr/>
        <a:lstStyle/>
        <a:p>
          <a:endParaRPr lang="fr-CA"/>
        </a:p>
      </dgm:t>
    </dgm:pt>
    <dgm:pt modelId="{765FC16E-4076-4257-8F87-3B1980CE40CC}" type="pres">
      <dgm:prSet presAssocID="{85A81ECA-2DBE-4CC4-908D-FB6DE7E40782}" presName="rootConnector3" presStyleLbl="asst1" presStyleIdx="0" presStyleCnt="6"/>
      <dgm:spPr/>
      <dgm:t>
        <a:bodyPr/>
        <a:lstStyle/>
        <a:p>
          <a:endParaRPr lang="fr-CA"/>
        </a:p>
      </dgm:t>
    </dgm:pt>
    <dgm:pt modelId="{F365E5D8-B2EF-4DE5-BF58-E63F6FFDD7AD}" type="pres">
      <dgm:prSet presAssocID="{85A81ECA-2DBE-4CC4-908D-FB6DE7E40782}" presName="hierChild6" presStyleCnt="0"/>
      <dgm:spPr/>
    </dgm:pt>
    <dgm:pt modelId="{E695FB1C-828F-4AF3-A479-CF29C939DBEC}" type="pres">
      <dgm:prSet presAssocID="{85A81ECA-2DBE-4CC4-908D-FB6DE7E40782}" presName="hierChild7" presStyleCnt="0"/>
      <dgm:spPr/>
    </dgm:pt>
    <dgm:pt modelId="{368E5BBB-1740-4EE4-9619-9A2DEB463279}" type="pres">
      <dgm:prSet presAssocID="{9B0643FE-D70A-4D49-B299-52B1D56EF936}" presName="Name111" presStyleLbl="parChTrans1D3" presStyleIdx="0" presStyleCnt="7" custSzX="126932" custSzY="530191"/>
      <dgm:spPr/>
      <dgm:t>
        <a:bodyPr/>
        <a:lstStyle/>
        <a:p>
          <a:endParaRPr lang="fr-CA"/>
        </a:p>
      </dgm:t>
    </dgm:pt>
    <dgm:pt modelId="{BCA19602-DD55-487B-A18C-B96FAF63F5CB}" type="pres">
      <dgm:prSet presAssocID="{6D89899C-34ED-4A88-9A1B-00503F7EB41A}" presName="hierRoot3" presStyleCnt="0">
        <dgm:presLayoutVars>
          <dgm:hierBranch val="init"/>
        </dgm:presLayoutVars>
      </dgm:prSet>
      <dgm:spPr/>
    </dgm:pt>
    <dgm:pt modelId="{8FD8A507-25A4-4F6C-856D-8F0F2C4678DD}" type="pres">
      <dgm:prSet presAssocID="{6D89899C-34ED-4A88-9A1B-00503F7EB41A}" presName="rootComposite3" presStyleCnt="0"/>
      <dgm:spPr/>
    </dgm:pt>
    <dgm:pt modelId="{DAA8AC4B-80BF-442C-B67F-3344680B3838}" type="pres">
      <dgm:prSet presAssocID="{6D89899C-34ED-4A88-9A1B-00503F7EB41A}" presName="rootText3" presStyleLbl="asst1" presStyleIdx="1" presStyleCnt="6" custScaleX="128476" custScaleY="122614">
        <dgm:presLayoutVars>
          <dgm:chPref val="3"/>
        </dgm:presLayoutVars>
      </dgm:prSet>
      <dgm:spPr/>
      <dgm:t>
        <a:bodyPr/>
        <a:lstStyle/>
        <a:p>
          <a:endParaRPr lang="fr-CA"/>
        </a:p>
      </dgm:t>
    </dgm:pt>
    <dgm:pt modelId="{47F771D6-366D-4B59-A891-AB80D4C7F5B5}" type="pres">
      <dgm:prSet presAssocID="{6D89899C-34ED-4A88-9A1B-00503F7EB41A}" presName="rootConnector3" presStyleLbl="asst1" presStyleIdx="1" presStyleCnt="6"/>
      <dgm:spPr/>
      <dgm:t>
        <a:bodyPr/>
        <a:lstStyle/>
        <a:p>
          <a:endParaRPr lang="fr-CA"/>
        </a:p>
      </dgm:t>
    </dgm:pt>
    <dgm:pt modelId="{53929591-FAD6-4796-B3FE-58E03D96812A}" type="pres">
      <dgm:prSet presAssocID="{6D89899C-34ED-4A88-9A1B-00503F7EB41A}" presName="hierChild6" presStyleCnt="0"/>
      <dgm:spPr/>
    </dgm:pt>
    <dgm:pt modelId="{206C543A-8BF6-4B48-B13F-3604EB1D3AD9}" type="pres">
      <dgm:prSet presAssocID="{6D89899C-34ED-4A88-9A1B-00503F7EB41A}" presName="hierChild7" presStyleCnt="0"/>
      <dgm:spPr/>
    </dgm:pt>
    <dgm:pt modelId="{9599EAAB-357E-48C8-823C-37B6D6F69C31}" type="pres">
      <dgm:prSet presAssocID="{A0CACB0B-A7FD-4076-9992-6DB3017E2CD4}" presName="Name111" presStyleLbl="parChTrans1D3" presStyleIdx="1" presStyleCnt="7" custSzX="126932" custSzY="530191"/>
      <dgm:spPr/>
      <dgm:t>
        <a:bodyPr/>
        <a:lstStyle/>
        <a:p>
          <a:endParaRPr lang="fr-CA"/>
        </a:p>
      </dgm:t>
    </dgm:pt>
    <dgm:pt modelId="{51F319FC-EE94-4376-B9D4-B5A48B51F767}" type="pres">
      <dgm:prSet presAssocID="{C4C7C7CA-D7D3-42EA-9FF0-6BCD47F02736}" presName="hierRoot3" presStyleCnt="0">
        <dgm:presLayoutVars>
          <dgm:hierBranch val="init"/>
        </dgm:presLayoutVars>
      </dgm:prSet>
      <dgm:spPr/>
    </dgm:pt>
    <dgm:pt modelId="{E783A1E2-BCEE-42DF-997A-4BE862A0E3E1}" type="pres">
      <dgm:prSet presAssocID="{C4C7C7CA-D7D3-42EA-9FF0-6BCD47F02736}" presName="rootComposite3" presStyleCnt="0"/>
      <dgm:spPr/>
    </dgm:pt>
    <dgm:pt modelId="{0781F767-F4E6-4B73-963A-4EC747690291}" type="pres">
      <dgm:prSet presAssocID="{C4C7C7CA-D7D3-42EA-9FF0-6BCD47F02736}" presName="rootText3" presStyleLbl="asst1" presStyleIdx="2" presStyleCnt="6" custScaleX="128476" custScaleY="122614">
        <dgm:presLayoutVars>
          <dgm:chPref val="3"/>
        </dgm:presLayoutVars>
      </dgm:prSet>
      <dgm:spPr/>
      <dgm:t>
        <a:bodyPr/>
        <a:lstStyle/>
        <a:p>
          <a:endParaRPr lang="fr-CA"/>
        </a:p>
      </dgm:t>
    </dgm:pt>
    <dgm:pt modelId="{4510C231-A856-4E66-A63E-77A116B31FBB}" type="pres">
      <dgm:prSet presAssocID="{C4C7C7CA-D7D3-42EA-9FF0-6BCD47F02736}" presName="rootConnector3" presStyleLbl="asst1" presStyleIdx="2" presStyleCnt="6"/>
      <dgm:spPr/>
      <dgm:t>
        <a:bodyPr/>
        <a:lstStyle/>
        <a:p>
          <a:endParaRPr lang="fr-CA"/>
        </a:p>
      </dgm:t>
    </dgm:pt>
    <dgm:pt modelId="{2075887C-55EE-4390-A546-134C527C632C}" type="pres">
      <dgm:prSet presAssocID="{C4C7C7CA-D7D3-42EA-9FF0-6BCD47F02736}" presName="hierChild6" presStyleCnt="0"/>
      <dgm:spPr/>
    </dgm:pt>
    <dgm:pt modelId="{DCEAC919-3660-4716-84A5-2228A1DF48DA}" type="pres">
      <dgm:prSet presAssocID="{C4C7C7CA-D7D3-42EA-9FF0-6BCD47F02736}" presName="hierChild7" presStyleCnt="0"/>
      <dgm:spPr/>
    </dgm:pt>
    <dgm:pt modelId="{DA99C964-4502-4373-B273-414A3FDDA8DB}" type="pres">
      <dgm:prSet presAssocID="{D81AEBBF-2ECE-40EB-956D-556F772B0DEE}" presName="Name111" presStyleLbl="parChTrans1D3" presStyleIdx="2" presStyleCnt="7" custSzX="126932" custSzY="1348529"/>
      <dgm:spPr/>
      <dgm:t>
        <a:bodyPr/>
        <a:lstStyle/>
        <a:p>
          <a:endParaRPr lang="fr-CA"/>
        </a:p>
      </dgm:t>
    </dgm:pt>
    <dgm:pt modelId="{BECA82EE-4EBB-4D41-A2B6-D727C170B0A2}" type="pres">
      <dgm:prSet presAssocID="{36C0DF1E-7A03-49AE-8E12-7EC277F37850}" presName="hierRoot3" presStyleCnt="0">
        <dgm:presLayoutVars>
          <dgm:hierBranch val="init"/>
        </dgm:presLayoutVars>
      </dgm:prSet>
      <dgm:spPr/>
    </dgm:pt>
    <dgm:pt modelId="{9A99758D-264F-48FC-9CD2-10A10257BA8C}" type="pres">
      <dgm:prSet presAssocID="{36C0DF1E-7A03-49AE-8E12-7EC277F37850}" presName="rootComposite3" presStyleCnt="0"/>
      <dgm:spPr/>
    </dgm:pt>
    <dgm:pt modelId="{74BCC1D9-FE4D-42BA-8DA3-C04AAFE22657}" type="pres">
      <dgm:prSet presAssocID="{36C0DF1E-7A03-49AE-8E12-7EC277F37850}" presName="rootText3" presStyleLbl="asst1" presStyleIdx="3" presStyleCnt="6" custScaleX="128476" custScaleY="122614">
        <dgm:presLayoutVars>
          <dgm:chPref val="3"/>
        </dgm:presLayoutVars>
      </dgm:prSet>
      <dgm:spPr/>
      <dgm:t>
        <a:bodyPr/>
        <a:lstStyle/>
        <a:p>
          <a:endParaRPr lang="fr-CA"/>
        </a:p>
      </dgm:t>
    </dgm:pt>
    <dgm:pt modelId="{A324C815-BFC8-4361-8726-553D3DAA6362}" type="pres">
      <dgm:prSet presAssocID="{36C0DF1E-7A03-49AE-8E12-7EC277F37850}" presName="rootConnector3" presStyleLbl="asst1" presStyleIdx="3" presStyleCnt="6"/>
      <dgm:spPr/>
      <dgm:t>
        <a:bodyPr/>
        <a:lstStyle/>
        <a:p>
          <a:endParaRPr lang="fr-CA"/>
        </a:p>
      </dgm:t>
    </dgm:pt>
    <dgm:pt modelId="{DEC38B83-93C0-4F5A-8C6A-72279991D07D}" type="pres">
      <dgm:prSet presAssocID="{36C0DF1E-7A03-49AE-8E12-7EC277F37850}" presName="hierChild6" presStyleCnt="0"/>
      <dgm:spPr/>
    </dgm:pt>
    <dgm:pt modelId="{3208D212-7DDE-4B17-A999-AADB1EAC9EA9}" type="pres">
      <dgm:prSet presAssocID="{36C0DF1E-7A03-49AE-8E12-7EC277F37850}" presName="hierChild7" presStyleCnt="0"/>
      <dgm:spPr/>
    </dgm:pt>
    <dgm:pt modelId="{F275833F-18CD-4A8D-9326-B9F8C7BEE354}" type="pres">
      <dgm:prSet presAssocID="{DDC63FEC-E42A-4B57-8756-AE3DB394CC42}" presName="Name111" presStyleLbl="parChTrans1D3" presStyleIdx="3" presStyleCnt="7" custSzX="126932" custSzY="1348529"/>
      <dgm:spPr/>
      <dgm:t>
        <a:bodyPr/>
        <a:lstStyle/>
        <a:p>
          <a:endParaRPr lang="fr-CA"/>
        </a:p>
      </dgm:t>
    </dgm:pt>
    <dgm:pt modelId="{2BA221CA-686A-4FD8-9CE3-0A25E54A67C4}" type="pres">
      <dgm:prSet presAssocID="{4C94DED7-63FF-4143-9C1B-E3429DFBE0D8}" presName="hierRoot3" presStyleCnt="0">
        <dgm:presLayoutVars>
          <dgm:hierBranch val="init"/>
        </dgm:presLayoutVars>
      </dgm:prSet>
      <dgm:spPr/>
    </dgm:pt>
    <dgm:pt modelId="{9F3F7FDF-7BCF-4563-B7A4-ABA2E503294C}" type="pres">
      <dgm:prSet presAssocID="{4C94DED7-63FF-4143-9C1B-E3429DFBE0D8}" presName="rootComposite3" presStyleCnt="0"/>
      <dgm:spPr/>
    </dgm:pt>
    <dgm:pt modelId="{3E7FBC34-A93B-47BD-B407-4DFFBBC80502}" type="pres">
      <dgm:prSet presAssocID="{4C94DED7-63FF-4143-9C1B-E3429DFBE0D8}" presName="rootText3" presStyleLbl="asst1" presStyleIdx="4" presStyleCnt="6" custScaleX="128476" custScaleY="122614">
        <dgm:presLayoutVars>
          <dgm:chPref val="3"/>
        </dgm:presLayoutVars>
      </dgm:prSet>
      <dgm:spPr/>
      <dgm:t>
        <a:bodyPr/>
        <a:lstStyle/>
        <a:p>
          <a:endParaRPr lang="fr-CA"/>
        </a:p>
      </dgm:t>
    </dgm:pt>
    <dgm:pt modelId="{39DBD3E8-DAF2-4723-8334-10EAB51FB618}" type="pres">
      <dgm:prSet presAssocID="{4C94DED7-63FF-4143-9C1B-E3429DFBE0D8}" presName="rootConnector3" presStyleLbl="asst1" presStyleIdx="4" presStyleCnt="6"/>
      <dgm:spPr/>
      <dgm:t>
        <a:bodyPr/>
        <a:lstStyle/>
        <a:p>
          <a:endParaRPr lang="fr-CA"/>
        </a:p>
      </dgm:t>
    </dgm:pt>
    <dgm:pt modelId="{EE9A6CE8-47A5-48A2-A69F-2E6F5C777900}" type="pres">
      <dgm:prSet presAssocID="{4C94DED7-63FF-4143-9C1B-E3429DFBE0D8}" presName="hierChild6" presStyleCnt="0"/>
      <dgm:spPr/>
    </dgm:pt>
    <dgm:pt modelId="{A260C786-15CC-434A-901A-720EC389B48D}" type="pres">
      <dgm:prSet presAssocID="{4C94DED7-63FF-4143-9C1B-E3429DFBE0D8}" presName="hierChild7" presStyleCnt="0"/>
      <dgm:spPr/>
    </dgm:pt>
    <dgm:pt modelId="{B8C05286-CC51-435C-99F7-BDF20AEBDA72}" type="pres">
      <dgm:prSet presAssocID="{3F18B6B5-D668-4319-AE52-040761A61F12}" presName="Name111" presStyleLbl="parChTrans1D2" presStyleIdx="1" presStyleCnt="2" custSzX="126932" custSzY="530472"/>
      <dgm:spPr/>
      <dgm:t>
        <a:bodyPr/>
        <a:lstStyle/>
        <a:p>
          <a:endParaRPr lang="fr-CA"/>
        </a:p>
      </dgm:t>
    </dgm:pt>
    <dgm:pt modelId="{9101E0A8-D499-4B7C-B77E-4D7D1CE7BFC5}" type="pres">
      <dgm:prSet presAssocID="{572ADB97-852B-4DBB-8821-32310C90D818}" presName="hierRoot3" presStyleCnt="0">
        <dgm:presLayoutVars>
          <dgm:hierBranch val="init"/>
        </dgm:presLayoutVars>
      </dgm:prSet>
      <dgm:spPr/>
    </dgm:pt>
    <dgm:pt modelId="{AFC4BABB-EA03-440F-934C-695B98F44763}" type="pres">
      <dgm:prSet presAssocID="{572ADB97-852B-4DBB-8821-32310C90D818}" presName="rootComposite3" presStyleCnt="0"/>
      <dgm:spPr/>
    </dgm:pt>
    <dgm:pt modelId="{BFFD506F-71FA-47C1-B598-06D26B66DEA6}" type="pres">
      <dgm:prSet presAssocID="{572ADB97-852B-4DBB-8821-32310C90D818}" presName="rootText3" presStyleLbl="asst1" presStyleIdx="5" presStyleCnt="6" custScaleX="254932" custScaleY="122614" custLinFactNeighborX="26789" custLinFactNeighborY="0">
        <dgm:presLayoutVars>
          <dgm:chPref val="3"/>
        </dgm:presLayoutVars>
      </dgm:prSet>
      <dgm:spPr/>
      <dgm:t>
        <a:bodyPr/>
        <a:lstStyle/>
        <a:p>
          <a:endParaRPr lang="fr-CA"/>
        </a:p>
      </dgm:t>
    </dgm:pt>
    <dgm:pt modelId="{75B8130E-EE6E-4AEA-9BD1-DAA1C60B1ADA}" type="pres">
      <dgm:prSet presAssocID="{572ADB97-852B-4DBB-8821-32310C90D818}" presName="rootConnector3" presStyleLbl="asst1" presStyleIdx="5" presStyleCnt="6"/>
      <dgm:spPr/>
      <dgm:t>
        <a:bodyPr/>
        <a:lstStyle/>
        <a:p>
          <a:endParaRPr lang="fr-CA"/>
        </a:p>
      </dgm:t>
    </dgm:pt>
    <dgm:pt modelId="{187A8D5F-FB22-4B14-9415-3C7B0EB882A7}" type="pres">
      <dgm:prSet presAssocID="{572ADB97-852B-4DBB-8821-32310C90D818}" presName="hierChild6" presStyleCnt="0"/>
      <dgm:spPr/>
    </dgm:pt>
    <dgm:pt modelId="{7B2732E5-2484-41E9-9CC7-9E72CB825B57}" type="pres">
      <dgm:prSet presAssocID="{7E34CD03-8084-42AC-8E7E-FD95E2AA7A9D}" presName="Name37" presStyleLbl="parChTrans1D3" presStyleIdx="4" presStyleCnt="7" custSzX="181331" custSzY="530472"/>
      <dgm:spPr/>
      <dgm:t>
        <a:bodyPr/>
        <a:lstStyle/>
        <a:p>
          <a:endParaRPr lang="fr-CA"/>
        </a:p>
      </dgm:t>
    </dgm:pt>
    <dgm:pt modelId="{2C667CDA-39AB-4B84-9C7A-E800A8394771}" type="pres">
      <dgm:prSet presAssocID="{9F42FCBC-3440-4C67-8678-3390B7870BFD}" presName="hierRoot2" presStyleCnt="0">
        <dgm:presLayoutVars>
          <dgm:hierBranch val="init"/>
        </dgm:presLayoutVars>
      </dgm:prSet>
      <dgm:spPr/>
    </dgm:pt>
    <dgm:pt modelId="{12BDE00B-4FD9-4DB4-AD7B-E9EE7B3407F0}" type="pres">
      <dgm:prSet presAssocID="{9F42FCBC-3440-4C67-8678-3390B7870BFD}" presName="rootComposite" presStyleCnt="0"/>
      <dgm:spPr/>
    </dgm:pt>
    <dgm:pt modelId="{3D014A7C-9AA3-4045-8BB8-AC08CBD6DC16}" type="pres">
      <dgm:prSet presAssocID="{9F42FCBC-3440-4C67-8678-3390B7870BFD}" presName="rootText" presStyleLbl="node3" presStyleIdx="0" presStyleCnt="3" custScaleX="128476" custScaleY="122614">
        <dgm:presLayoutVars>
          <dgm:chPref val="3"/>
        </dgm:presLayoutVars>
      </dgm:prSet>
      <dgm:spPr/>
      <dgm:t>
        <a:bodyPr/>
        <a:lstStyle/>
        <a:p>
          <a:endParaRPr lang="fr-CA"/>
        </a:p>
      </dgm:t>
    </dgm:pt>
    <dgm:pt modelId="{25C102F9-369F-4A45-9CB0-5AF259812CF8}" type="pres">
      <dgm:prSet presAssocID="{9F42FCBC-3440-4C67-8678-3390B7870BFD}" presName="rootConnector" presStyleLbl="node3" presStyleIdx="0" presStyleCnt="3"/>
      <dgm:spPr/>
      <dgm:t>
        <a:bodyPr/>
        <a:lstStyle/>
        <a:p>
          <a:endParaRPr lang="fr-CA"/>
        </a:p>
      </dgm:t>
    </dgm:pt>
    <dgm:pt modelId="{E3D30141-F482-4BB9-A146-6668F9419F38}" type="pres">
      <dgm:prSet presAssocID="{9F42FCBC-3440-4C67-8678-3390B7870BFD}" presName="hierChild4" presStyleCnt="0"/>
      <dgm:spPr/>
    </dgm:pt>
    <dgm:pt modelId="{9ECF47F5-D483-41A1-913E-307DE812DCD4}" type="pres">
      <dgm:prSet presAssocID="{6911BF24-94E6-43CB-BAF4-5D9D4367E8F9}" presName="Name37" presStyleLbl="parChTrans1D4" presStyleIdx="0" presStyleCnt="4"/>
      <dgm:spPr/>
      <dgm:t>
        <a:bodyPr/>
        <a:lstStyle/>
        <a:p>
          <a:endParaRPr lang="fr-CA"/>
        </a:p>
      </dgm:t>
    </dgm:pt>
    <dgm:pt modelId="{6E77DC62-1DAD-4111-96C5-5818A2119AF4}" type="pres">
      <dgm:prSet presAssocID="{55745BC9-8D9C-4ABB-852F-8525FC7315C0}" presName="hierRoot2" presStyleCnt="0">
        <dgm:presLayoutVars>
          <dgm:hierBranch val="init"/>
        </dgm:presLayoutVars>
      </dgm:prSet>
      <dgm:spPr/>
    </dgm:pt>
    <dgm:pt modelId="{FF172634-8113-4D50-A8BB-B5FB00ABC7EE}" type="pres">
      <dgm:prSet presAssocID="{55745BC9-8D9C-4ABB-852F-8525FC7315C0}" presName="rootComposite" presStyleCnt="0"/>
      <dgm:spPr/>
    </dgm:pt>
    <dgm:pt modelId="{29427974-D314-484B-A425-03B2322FB6AA}" type="pres">
      <dgm:prSet presAssocID="{55745BC9-8D9C-4ABB-852F-8525FC7315C0}" presName="rootText" presStyleLbl="node4" presStyleIdx="0" presStyleCnt="4" custScaleX="115265" custScaleY="200401">
        <dgm:presLayoutVars>
          <dgm:chPref val="3"/>
        </dgm:presLayoutVars>
      </dgm:prSet>
      <dgm:spPr/>
      <dgm:t>
        <a:bodyPr/>
        <a:lstStyle/>
        <a:p>
          <a:endParaRPr lang="fr-CA"/>
        </a:p>
      </dgm:t>
    </dgm:pt>
    <dgm:pt modelId="{F5FF99F3-85B3-43F5-8984-686BD49C8522}" type="pres">
      <dgm:prSet presAssocID="{55745BC9-8D9C-4ABB-852F-8525FC7315C0}" presName="rootConnector" presStyleLbl="node4" presStyleIdx="0" presStyleCnt="4"/>
      <dgm:spPr/>
      <dgm:t>
        <a:bodyPr/>
        <a:lstStyle/>
        <a:p>
          <a:endParaRPr lang="fr-CA"/>
        </a:p>
      </dgm:t>
    </dgm:pt>
    <dgm:pt modelId="{696E37FD-C084-42F6-A6C0-22A8CC9541B5}" type="pres">
      <dgm:prSet presAssocID="{55745BC9-8D9C-4ABB-852F-8525FC7315C0}" presName="hierChild4" presStyleCnt="0"/>
      <dgm:spPr/>
    </dgm:pt>
    <dgm:pt modelId="{FBD17A2C-815E-466E-85E5-435B7FB7A307}" type="pres">
      <dgm:prSet presAssocID="{55745BC9-8D9C-4ABB-852F-8525FC7315C0}" presName="hierChild5" presStyleCnt="0"/>
      <dgm:spPr/>
    </dgm:pt>
    <dgm:pt modelId="{CE721697-D713-4E8C-A13B-AF7A1BACF03A}" type="pres">
      <dgm:prSet presAssocID="{9F42FCBC-3440-4C67-8678-3390B7870BFD}" presName="hierChild5" presStyleCnt="0"/>
      <dgm:spPr/>
    </dgm:pt>
    <dgm:pt modelId="{1F2CE9D4-320B-4306-8C04-5D70E05E1121}" type="pres">
      <dgm:prSet presAssocID="{0F393C73-51E9-43AE-9707-523462476083}" presName="Name37" presStyleLbl="parChTrans1D3" presStyleIdx="5" presStyleCnt="7" custSzX="181331" custSzY="2168749"/>
      <dgm:spPr/>
      <dgm:t>
        <a:bodyPr/>
        <a:lstStyle/>
        <a:p>
          <a:endParaRPr lang="fr-CA"/>
        </a:p>
      </dgm:t>
    </dgm:pt>
    <dgm:pt modelId="{4D8EC718-AAF4-4355-AED2-CEE64D41E47D}" type="pres">
      <dgm:prSet presAssocID="{586E7D0C-95FB-40A4-B0ED-D34C61FC39E6}" presName="hierRoot2" presStyleCnt="0">
        <dgm:presLayoutVars>
          <dgm:hierBranch val="init"/>
        </dgm:presLayoutVars>
      </dgm:prSet>
      <dgm:spPr/>
    </dgm:pt>
    <dgm:pt modelId="{EEF2958E-F63E-427D-86A3-B8EF9B925330}" type="pres">
      <dgm:prSet presAssocID="{586E7D0C-95FB-40A4-B0ED-D34C61FC39E6}" presName="rootComposite" presStyleCnt="0"/>
      <dgm:spPr/>
    </dgm:pt>
    <dgm:pt modelId="{1C4417BD-46A6-4D43-BC1D-60FA72967F1E}" type="pres">
      <dgm:prSet presAssocID="{586E7D0C-95FB-40A4-B0ED-D34C61FC39E6}" presName="rootText" presStyleLbl="node3" presStyleIdx="1" presStyleCnt="3" custScaleX="128476" custScaleY="122614">
        <dgm:presLayoutVars>
          <dgm:chPref val="3"/>
        </dgm:presLayoutVars>
      </dgm:prSet>
      <dgm:spPr/>
      <dgm:t>
        <a:bodyPr/>
        <a:lstStyle/>
        <a:p>
          <a:endParaRPr lang="fr-CA"/>
        </a:p>
      </dgm:t>
    </dgm:pt>
    <dgm:pt modelId="{9CC4D7D5-CDC2-4749-88D2-1E9F4A6871BA}" type="pres">
      <dgm:prSet presAssocID="{586E7D0C-95FB-40A4-B0ED-D34C61FC39E6}" presName="rootConnector" presStyleLbl="node3" presStyleIdx="1" presStyleCnt="3"/>
      <dgm:spPr/>
      <dgm:t>
        <a:bodyPr/>
        <a:lstStyle/>
        <a:p>
          <a:endParaRPr lang="fr-CA"/>
        </a:p>
      </dgm:t>
    </dgm:pt>
    <dgm:pt modelId="{8C9199E3-1400-41CD-B681-1D4CA18E60E9}" type="pres">
      <dgm:prSet presAssocID="{586E7D0C-95FB-40A4-B0ED-D34C61FC39E6}" presName="hierChild4" presStyleCnt="0"/>
      <dgm:spPr/>
    </dgm:pt>
    <dgm:pt modelId="{00319E7F-F8A1-43DA-9BAC-941750DED466}" type="pres">
      <dgm:prSet presAssocID="{3847289A-A536-4A9C-9EB0-493F69407A7E}" presName="Name37" presStyleLbl="parChTrans1D4" presStyleIdx="1" presStyleCnt="4"/>
      <dgm:spPr/>
      <dgm:t>
        <a:bodyPr/>
        <a:lstStyle/>
        <a:p>
          <a:endParaRPr lang="fr-CA"/>
        </a:p>
      </dgm:t>
    </dgm:pt>
    <dgm:pt modelId="{D3CD9A9F-EEB0-447E-85F2-215B16C3708E}" type="pres">
      <dgm:prSet presAssocID="{5D1CB26D-C5CE-4E89-8422-0C8284E26AE6}" presName="hierRoot2" presStyleCnt="0">
        <dgm:presLayoutVars>
          <dgm:hierBranch val="init"/>
        </dgm:presLayoutVars>
      </dgm:prSet>
      <dgm:spPr/>
    </dgm:pt>
    <dgm:pt modelId="{D831437E-7210-4367-8B70-F3AFBADB402B}" type="pres">
      <dgm:prSet presAssocID="{5D1CB26D-C5CE-4E89-8422-0C8284E26AE6}" presName="rootComposite" presStyleCnt="0"/>
      <dgm:spPr/>
    </dgm:pt>
    <dgm:pt modelId="{CAE49859-BC31-4772-B438-79069E0385D0}" type="pres">
      <dgm:prSet presAssocID="{5D1CB26D-C5CE-4E89-8422-0C8284E26AE6}" presName="rootText" presStyleLbl="node4" presStyleIdx="1" presStyleCnt="4" custScaleY="117360">
        <dgm:presLayoutVars>
          <dgm:chPref val="3"/>
        </dgm:presLayoutVars>
      </dgm:prSet>
      <dgm:spPr/>
      <dgm:t>
        <a:bodyPr/>
        <a:lstStyle/>
        <a:p>
          <a:endParaRPr lang="fr-CA"/>
        </a:p>
      </dgm:t>
    </dgm:pt>
    <dgm:pt modelId="{9C10177F-0417-4CFB-8B56-5DF1BC9C93F9}" type="pres">
      <dgm:prSet presAssocID="{5D1CB26D-C5CE-4E89-8422-0C8284E26AE6}" presName="rootConnector" presStyleLbl="node4" presStyleIdx="1" presStyleCnt="4"/>
      <dgm:spPr/>
      <dgm:t>
        <a:bodyPr/>
        <a:lstStyle/>
        <a:p>
          <a:endParaRPr lang="fr-CA"/>
        </a:p>
      </dgm:t>
    </dgm:pt>
    <dgm:pt modelId="{27F268BB-09EB-4A72-9F16-8EC6315ECC74}" type="pres">
      <dgm:prSet presAssocID="{5D1CB26D-C5CE-4E89-8422-0C8284E26AE6}" presName="hierChild4" presStyleCnt="0"/>
      <dgm:spPr/>
    </dgm:pt>
    <dgm:pt modelId="{AC61DDCE-76F1-45A5-9E5B-D83CFEC107F5}" type="pres">
      <dgm:prSet presAssocID="{5D1CB26D-C5CE-4E89-8422-0C8284E26AE6}" presName="hierChild5" presStyleCnt="0"/>
      <dgm:spPr/>
    </dgm:pt>
    <dgm:pt modelId="{22FD5C20-C10F-44F7-AB6B-236E95D0E463}" type="pres">
      <dgm:prSet presAssocID="{586E7D0C-95FB-40A4-B0ED-D34C61FC39E6}" presName="hierChild5" presStyleCnt="0"/>
      <dgm:spPr/>
    </dgm:pt>
    <dgm:pt modelId="{7404406A-96A5-4937-B0E8-C9F1DA14F685}" type="pres">
      <dgm:prSet presAssocID="{23E2AD6A-0D9F-4383-88EB-AC4D36FC0DDD}" presName="Name37" presStyleLbl="parChTrans1D3" presStyleIdx="6" presStyleCnt="7" custSzX="181331" custSzY="2987888"/>
      <dgm:spPr/>
      <dgm:t>
        <a:bodyPr/>
        <a:lstStyle/>
        <a:p>
          <a:endParaRPr lang="fr-CA"/>
        </a:p>
      </dgm:t>
    </dgm:pt>
    <dgm:pt modelId="{DA2C41F1-827C-4BEB-8EA1-81DE78AFD03F}" type="pres">
      <dgm:prSet presAssocID="{080F9D16-6E08-4CC2-9EA2-44EFCC7E202E}" presName="hierRoot2" presStyleCnt="0">
        <dgm:presLayoutVars>
          <dgm:hierBranch val="init"/>
        </dgm:presLayoutVars>
      </dgm:prSet>
      <dgm:spPr/>
    </dgm:pt>
    <dgm:pt modelId="{4B99C60E-0F79-4BD1-913E-37813347EF15}" type="pres">
      <dgm:prSet presAssocID="{080F9D16-6E08-4CC2-9EA2-44EFCC7E202E}" presName="rootComposite" presStyleCnt="0"/>
      <dgm:spPr/>
    </dgm:pt>
    <dgm:pt modelId="{5B77F60F-1745-4DF8-880A-FE3A39313938}" type="pres">
      <dgm:prSet presAssocID="{080F9D16-6E08-4CC2-9EA2-44EFCC7E202E}" presName="rootText" presStyleLbl="node3" presStyleIdx="2" presStyleCnt="3" custScaleX="128476" custScaleY="122614">
        <dgm:presLayoutVars>
          <dgm:chPref val="3"/>
        </dgm:presLayoutVars>
      </dgm:prSet>
      <dgm:spPr/>
      <dgm:t>
        <a:bodyPr/>
        <a:lstStyle/>
        <a:p>
          <a:endParaRPr lang="fr-CA"/>
        </a:p>
      </dgm:t>
    </dgm:pt>
    <dgm:pt modelId="{032D48BD-EF85-4C92-8DFE-887764877D9C}" type="pres">
      <dgm:prSet presAssocID="{080F9D16-6E08-4CC2-9EA2-44EFCC7E202E}" presName="rootConnector" presStyleLbl="node3" presStyleIdx="2" presStyleCnt="3"/>
      <dgm:spPr/>
      <dgm:t>
        <a:bodyPr/>
        <a:lstStyle/>
        <a:p>
          <a:endParaRPr lang="fr-CA"/>
        </a:p>
      </dgm:t>
    </dgm:pt>
    <dgm:pt modelId="{5805477D-3DE1-4313-97BF-55BA416D10EC}" type="pres">
      <dgm:prSet presAssocID="{080F9D16-6E08-4CC2-9EA2-44EFCC7E202E}" presName="hierChild4" presStyleCnt="0"/>
      <dgm:spPr/>
    </dgm:pt>
    <dgm:pt modelId="{F2BAD5EE-898D-418F-8952-6C26E4134B98}" type="pres">
      <dgm:prSet presAssocID="{6E5F547E-B4CF-416D-8875-3B13A66F6544}" presName="Name37" presStyleLbl="parChTrans1D4" presStyleIdx="2" presStyleCnt="4"/>
      <dgm:spPr/>
      <dgm:t>
        <a:bodyPr/>
        <a:lstStyle/>
        <a:p>
          <a:endParaRPr lang="fr-CA"/>
        </a:p>
      </dgm:t>
    </dgm:pt>
    <dgm:pt modelId="{9855A999-4207-4741-BC23-98297F9E17C6}" type="pres">
      <dgm:prSet presAssocID="{CEC7455D-9DE0-4ECD-8CF2-561AC69E0D22}" presName="hierRoot2" presStyleCnt="0">
        <dgm:presLayoutVars>
          <dgm:hierBranch val="init"/>
        </dgm:presLayoutVars>
      </dgm:prSet>
      <dgm:spPr/>
    </dgm:pt>
    <dgm:pt modelId="{AB8BB190-BF71-4778-841A-75C2A98F8E8A}" type="pres">
      <dgm:prSet presAssocID="{CEC7455D-9DE0-4ECD-8CF2-561AC69E0D22}" presName="rootComposite" presStyleCnt="0"/>
      <dgm:spPr/>
    </dgm:pt>
    <dgm:pt modelId="{CCA8BADF-A610-4BA9-847D-FB4C7C21079D}" type="pres">
      <dgm:prSet presAssocID="{CEC7455D-9DE0-4ECD-8CF2-561AC69E0D22}" presName="rootText" presStyleLbl="node4" presStyleIdx="2" presStyleCnt="4" custScaleX="117666" custScaleY="141899">
        <dgm:presLayoutVars>
          <dgm:chPref val="3"/>
        </dgm:presLayoutVars>
      </dgm:prSet>
      <dgm:spPr/>
      <dgm:t>
        <a:bodyPr/>
        <a:lstStyle/>
        <a:p>
          <a:endParaRPr lang="fr-CA"/>
        </a:p>
      </dgm:t>
    </dgm:pt>
    <dgm:pt modelId="{4EB48F29-DB14-480D-A0DD-E719993143D1}" type="pres">
      <dgm:prSet presAssocID="{CEC7455D-9DE0-4ECD-8CF2-561AC69E0D22}" presName="rootConnector" presStyleLbl="node4" presStyleIdx="2" presStyleCnt="4"/>
      <dgm:spPr/>
      <dgm:t>
        <a:bodyPr/>
        <a:lstStyle/>
        <a:p>
          <a:endParaRPr lang="fr-CA"/>
        </a:p>
      </dgm:t>
    </dgm:pt>
    <dgm:pt modelId="{EDCD60FB-58CB-4D7B-B28B-D11B91FFE643}" type="pres">
      <dgm:prSet presAssocID="{CEC7455D-9DE0-4ECD-8CF2-561AC69E0D22}" presName="hierChild4" presStyleCnt="0"/>
      <dgm:spPr/>
    </dgm:pt>
    <dgm:pt modelId="{8EBB0C64-1FA5-4131-B126-BAEF9572811D}" type="pres">
      <dgm:prSet presAssocID="{CEC7455D-9DE0-4ECD-8CF2-561AC69E0D22}" presName="hierChild5" presStyleCnt="0"/>
      <dgm:spPr/>
    </dgm:pt>
    <dgm:pt modelId="{F9E7EFE2-8542-412C-BD05-75E5677A02BD}" type="pres">
      <dgm:prSet presAssocID="{296F0649-4857-4005-A3BF-B36101B2296A}" presName="Name37" presStyleLbl="parChTrans1D4" presStyleIdx="3" presStyleCnt="4"/>
      <dgm:spPr/>
      <dgm:t>
        <a:bodyPr/>
        <a:lstStyle/>
        <a:p>
          <a:endParaRPr lang="fr-CA"/>
        </a:p>
      </dgm:t>
    </dgm:pt>
    <dgm:pt modelId="{7CD6F5D6-D09B-45B8-8685-1BE5E7A0B68B}" type="pres">
      <dgm:prSet presAssocID="{45E9AEA0-0B43-4A44-9963-2318960E78C3}" presName="hierRoot2" presStyleCnt="0">
        <dgm:presLayoutVars>
          <dgm:hierBranch val="init"/>
        </dgm:presLayoutVars>
      </dgm:prSet>
      <dgm:spPr/>
    </dgm:pt>
    <dgm:pt modelId="{554F733D-4C88-4D24-8EA4-F361F510FFD5}" type="pres">
      <dgm:prSet presAssocID="{45E9AEA0-0B43-4A44-9963-2318960E78C3}" presName="rootComposite" presStyleCnt="0"/>
      <dgm:spPr/>
    </dgm:pt>
    <dgm:pt modelId="{E05C42C4-F649-4085-B068-C5F23BBC45B1}" type="pres">
      <dgm:prSet presAssocID="{45E9AEA0-0B43-4A44-9963-2318960E78C3}" presName="rootText" presStyleLbl="node4" presStyleIdx="3" presStyleCnt="4" custScaleX="117666" custScaleY="197857">
        <dgm:presLayoutVars>
          <dgm:chPref val="3"/>
        </dgm:presLayoutVars>
      </dgm:prSet>
      <dgm:spPr/>
      <dgm:t>
        <a:bodyPr/>
        <a:lstStyle/>
        <a:p>
          <a:endParaRPr lang="fr-CA"/>
        </a:p>
      </dgm:t>
    </dgm:pt>
    <dgm:pt modelId="{F3952B46-EE62-4C20-AD06-E45462769ADC}" type="pres">
      <dgm:prSet presAssocID="{45E9AEA0-0B43-4A44-9963-2318960E78C3}" presName="rootConnector" presStyleLbl="node4" presStyleIdx="3" presStyleCnt="4"/>
      <dgm:spPr/>
      <dgm:t>
        <a:bodyPr/>
        <a:lstStyle/>
        <a:p>
          <a:endParaRPr lang="fr-CA"/>
        </a:p>
      </dgm:t>
    </dgm:pt>
    <dgm:pt modelId="{47426E51-2E3E-400F-ADF2-97916ECCB31B}" type="pres">
      <dgm:prSet presAssocID="{45E9AEA0-0B43-4A44-9963-2318960E78C3}" presName="hierChild4" presStyleCnt="0"/>
      <dgm:spPr/>
    </dgm:pt>
    <dgm:pt modelId="{C9F08D5C-2DF7-421F-A177-490FDB1D9258}" type="pres">
      <dgm:prSet presAssocID="{45E9AEA0-0B43-4A44-9963-2318960E78C3}" presName="hierChild5" presStyleCnt="0"/>
      <dgm:spPr/>
    </dgm:pt>
    <dgm:pt modelId="{D649A8F7-F8CB-4369-A930-EE64F39FFCF6}" type="pres">
      <dgm:prSet presAssocID="{080F9D16-6E08-4CC2-9EA2-44EFCC7E202E}" presName="hierChild5" presStyleCnt="0"/>
      <dgm:spPr/>
    </dgm:pt>
    <dgm:pt modelId="{C750A0BC-A912-4373-A585-CE49961DADFA}" type="pres">
      <dgm:prSet presAssocID="{572ADB97-852B-4DBB-8821-32310C90D818}" presName="hierChild7" presStyleCnt="0"/>
      <dgm:spPr/>
    </dgm:pt>
  </dgm:ptLst>
  <dgm:cxnLst>
    <dgm:cxn modelId="{F8289D3A-53A5-4384-84F0-44FD12CEB236}" srcId="{572ADB97-852B-4DBB-8821-32310C90D818}" destId="{586E7D0C-95FB-40A4-B0ED-D34C61FC39E6}" srcOrd="1" destOrd="0" parTransId="{0F393C73-51E9-43AE-9707-523462476083}" sibTransId="{A2AECDA6-2F98-4215-99B4-9CA60F8F8403}"/>
    <dgm:cxn modelId="{6D12D6D5-FBFC-4FEB-8025-B71EFD633C75}" type="presOf" srcId="{7E34CD03-8084-42AC-8E7E-FD95E2AA7A9D}" destId="{7B2732E5-2484-41E9-9CC7-9E72CB825B57}" srcOrd="0" destOrd="0" presId="urn:microsoft.com/office/officeart/2005/8/layout/orgChart1"/>
    <dgm:cxn modelId="{3E8D22A6-1E04-4DF8-B92E-593F7BCE7447}" type="presOf" srcId="{C4C7C7CA-D7D3-42EA-9FF0-6BCD47F02736}" destId="{4510C231-A856-4E66-A63E-77A116B31FBB}" srcOrd="1" destOrd="0" presId="urn:microsoft.com/office/officeart/2005/8/layout/orgChart1"/>
    <dgm:cxn modelId="{CE34776B-074E-48A1-ACB9-6B4E1521008F}" type="presOf" srcId="{36C0DF1E-7A03-49AE-8E12-7EC277F37850}" destId="{74BCC1D9-FE4D-42BA-8DA3-C04AAFE22657}" srcOrd="0" destOrd="0" presId="urn:microsoft.com/office/officeart/2005/8/layout/orgChart1"/>
    <dgm:cxn modelId="{C983FD71-F8D6-4D9F-B98C-6190B6F3E70C}" type="presOf" srcId="{55745BC9-8D9C-4ABB-852F-8525FC7315C0}" destId="{F5FF99F3-85B3-43F5-8984-686BD49C8522}" srcOrd="1" destOrd="0" presId="urn:microsoft.com/office/officeart/2005/8/layout/orgChart1"/>
    <dgm:cxn modelId="{CB47C20A-284D-4692-808A-063634992E36}" type="presOf" srcId="{3847289A-A536-4A9C-9EB0-493F69407A7E}" destId="{00319E7F-F8A1-43DA-9BAC-941750DED466}" srcOrd="0" destOrd="0" presId="urn:microsoft.com/office/officeart/2005/8/layout/orgChart1"/>
    <dgm:cxn modelId="{551AD251-E23A-4070-BCAE-AFEE55E16DC5}" srcId="{572ADB97-852B-4DBB-8821-32310C90D818}" destId="{080F9D16-6E08-4CC2-9EA2-44EFCC7E202E}" srcOrd="2" destOrd="0" parTransId="{23E2AD6A-0D9F-4383-88EB-AC4D36FC0DDD}" sibTransId="{18BEE971-07DD-466E-87C2-39D906D27D62}"/>
    <dgm:cxn modelId="{0661B2A3-164F-4D64-BBD4-CAC6E54339A5}" type="presOf" srcId="{9B0643FE-D70A-4D49-B299-52B1D56EF936}" destId="{368E5BBB-1740-4EE4-9619-9A2DEB463279}" srcOrd="0" destOrd="0" presId="urn:microsoft.com/office/officeart/2005/8/layout/orgChart1"/>
    <dgm:cxn modelId="{89CC5107-F0EC-46E4-863F-E5238342B0BE}" type="presOf" srcId="{55745BC9-8D9C-4ABB-852F-8525FC7315C0}" destId="{29427974-D314-484B-A425-03B2322FB6AA}" srcOrd="0" destOrd="0" presId="urn:microsoft.com/office/officeart/2005/8/layout/orgChart1"/>
    <dgm:cxn modelId="{E2CC4240-8A77-4AD2-AB84-814844146554}" type="presOf" srcId="{0F393C73-51E9-43AE-9707-523462476083}" destId="{1F2CE9D4-320B-4306-8C04-5D70E05E1121}" srcOrd="0" destOrd="0" presId="urn:microsoft.com/office/officeart/2005/8/layout/orgChart1"/>
    <dgm:cxn modelId="{9CA178B0-4442-45EB-B9A7-37D2FE0A53BC}" srcId="{85A81ECA-2DBE-4CC4-908D-FB6DE7E40782}" destId="{6D89899C-34ED-4A88-9A1B-00503F7EB41A}" srcOrd="0" destOrd="0" parTransId="{9B0643FE-D70A-4D49-B299-52B1D56EF936}" sibTransId="{D17252A4-5013-41F6-B149-DECA06131122}"/>
    <dgm:cxn modelId="{48C8F552-5080-40CC-997A-DB132C6FA48B}" type="presOf" srcId="{6911BF24-94E6-43CB-BAF4-5D9D4367E8F9}" destId="{9ECF47F5-D483-41A1-913E-307DE812DCD4}" srcOrd="0" destOrd="0" presId="urn:microsoft.com/office/officeart/2005/8/layout/orgChart1"/>
    <dgm:cxn modelId="{090E9BCE-6EE3-4A69-BC08-EBA3BDC6B089}" type="presOf" srcId="{586E7D0C-95FB-40A4-B0ED-D34C61FC39E6}" destId="{1C4417BD-46A6-4D43-BC1D-60FA72967F1E}" srcOrd="0" destOrd="0" presId="urn:microsoft.com/office/officeart/2005/8/layout/orgChart1"/>
    <dgm:cxn modelId="{D7CFB055-7668-47CD-856C-F3C18D50177B}" srcId="{080F9D16-6E08-4CC2-9EA2-44EFCC7E202E}" destId="{45E9AEA0-0B43-4A44-9963-2318960E78C3}" srcOrd="1" destOrd="0" parTransId="{296F0649-4857-4005-A3BF-B36101B2296A}" sibTransId="{3C06DC85-21B3-492A-8974-0F9A622F4285}"/>
    <dgm:cxn modelId="{461E06CC-DF68-4A8B-AF6E-452AD25FCCC7}" type="presOf" srcId="{9F42FCBC-3440-4C67-8678-3390B7870BFD}" destId="{25C102F9-369F-4A45-9CB0-5AF259812CF8}" srcOrd="1" destOrd="0" presId="urn:microsoft.com/office/officeart/2005/8/layout/orgChart1"/>
    <dgm:cxn modelId="{80EC2061-DDEC-447F-8FF7-53BF5D699807}" type="presOf" srcId="{5D1CB26D-C5CE-4E89-8422-0C8284E26AE6}" destId="{CAE49859-BC31-4772-B438-79069E0385D0}" srcOrd="0" destOrd="0" presId="urn:microsoft.com/office/officeart/2005/8/layout/orgChart1"/>
    <dgm:cxn modelId="{6047D312-F995-45CC-9F43-C73BA8D2BCD0}" srcId="{572ADB97-852B-4DBB-8821-32310C90D818}" destId="{9F42FCBC-3440-4C67-8678-3390B7870BFD}" srcOrd="0" destOrd="0" parTransId="{7E34CD03-8084-42AC-8E7E-FD95E2AA7A9D}" sibTransId="{B360DAF7-8A86-4957-91A5-2114546E5994}"/>
    <dgm:cxn modelId="{44650C7A-9CAE-482C-A20A-5B53CC59FE07}" srcId="{7F3042D8-C5E8-4AD0-8AA5-6212FC891A4F}" destId="{4E391C62-2DC2-4747-81CC-9DD6E02C70C5}" srcOrd="0" destOrd="0" parTransId="{10936299-70BA-4F3E-A36E-B4DCC611F6C3}" sibTransId="{F6F7E5C7-E29E-4445-B054-03C8195BB8D2}"/>
    <dgm:cxn modelId="{BD7359BE-7984-43BF-BDDC-A837DEE3450F}" srcId="{85A81ECA-2DBE-4CC4-908D-FB6DE7E40782}" destId="{C4C7C7CA-D7D3-42EA-9FF0-6BCD47F02736}" srcOrd="1" destOrd="0" parTransId="{A0CACB0B-A7FD-4076-9992-6DB3017E2CD4}" sibTransId="{3E231918-CC5C-4CF7-A8DB-9655B93CC41F}"/>
    <dgm:cxn modelId="{1A76689C-899D-44E9-A1B1-A23EB5386C09}" type="presOf" srcId="{4E391C62-2DC2-4747-81CC-9DD6E02C70C5}" destId="{0AFAE519-94A3-4808-A12D-8C327BFC791D}" srcOrd="1" destOrd="0" presId="urn:microsoft.com/office/officeart/2005/8/layout/orgChart1"/>
    <dgm:cxn modelId="{81E4C61F-AB9D-49B7-9054-54131971717B}" srcId="{9F42FCBC-3440-4C67-8678-3390B7870BFD}" destId="{55745BC9-8D9C-4ABB-852F-8525FC7315C0}" srcOrd="0" destOrd="0" parTransId="{6911BF24-94E6-43CB-BAF4-5D9D4367E8F9}" sibTransId="{D5D56241-F642-4B3A-9729-38A848DDB08E}"/>
    <dgm:cxn modelId="{02002566-F44C-486E-A197-97FBC9B968D8}" type="presOf" srcId="{7F3042D8-C5E8-4AD0-8AA5-6212FC891A4F}" destId="{478ECFE1-E65D-4FA8-A0CB-918D34EEB240}" srcOrd="0" destOrd="0" presId="urn:microsoft.com/office/officeart/2005/8/layout/orgChart1"/>
    <dgm:cxn modelId="{93A214C4-EEBB-402F-8F3F-FF0EB1C4F663}" srcId="{080F9D16-6E08-4CC2-9EA2-44EFCC7E202E}" destId="{CEC7455D-9DE0-4ECD-8CF2-561AC69E0D22}" srcOrd="0" destOrd="0" parTransId="{6E5F547E-B4CF-416D-8875-3B13A66F6544}" sibTransId="{E382F66C-BD5D-40AE-83F0-04D4AE7754BC}"/>
    <dgm:cxn modelId="{0F4CCA9A-8438-4C60-9ED5-A1F6AFC633B4}" type="presOf" srcId="{A0CACB0B-A7FD-4076-9992-6DB3017E2CD4}" destId="{9599EAAB-357E-48C8-823C-37B6D6F69C31}" srcOrd="0" destOrd="0" presId="urn:microsoft.com/office/officeart/2005/8/layout/orgChart1"/>
    <dgm:cxn modelId="{FB8DB805-9E8B-4D0B-BBFE-4E476D26D2F3}" type="presOf" srcId="{5D1CB26D-C5CE-4E89-8422-0C8284E26AE6}" destId="{9C10177F-0417-4CFB-8B56-5DF1BC9C93F9}" srcOrd="1" destOrd="0" presId="urn:microsoft.com/office/officeart/2005/8/layout/orgChart1"/>
    <dgm:cxn modelId="{538F3B74-A99C-466B-A59D-8CA30A485514}" type="presOf" srcId="{572ADB97-852B-4DBB-8821-32310C90D818}" destId="{75B8130E-EE6E-4AEA-9BD1-DAA1C60B1ADA}" srcOrd="1" destOrd="0" presId="urn:microsoft.com/office/officeart/2005/8/layout/orgChart1"/>
    <dgm:cxn modelId="{C3389F03-5573-4C31-93EC-6A22F07E73EC}" type="presOf" srcId="{CEC7455D-9DE0-4ECD-8CF2-561AC69E0D22}" destId="{CCA8BADF-A610-4BA9-847D-FB4C7C21079D}" srcOrd="0" destOrd="0" presId="urn:microsoft.com/office/officeart/2005/8/layout/orgChart1"/>
    <dgm:cxn modelId="{E33C7899-79EF-49B4-B3F1-7330C7AA2CD4}" type="presOf" srcId="{45E9AEA0-0B43-4A44-9963-2318960E78C3}" destId="{E05C42C4-F649-4085-B068-C5F23BBC45B1}" srcOrd="0" destOrd="0" presId="urn:microsoft.com/office/officeart/2005/8/layout/orgChart1"/>
    <dgm:cxn modelId="{0D2FFBAA-8B50-46FA-8D94-E1A44B783043}" type="presOf" srcId="{36C0DF1E-7A03-49AE-8E12-7EC277F37850}" destId="{A324C815-BFC8-4361-8726-553D3DAA6362}" srcOrd="1" destOrd="0" presId="urn:microsoft.com/office/officeart/2005/8/layout/orgChart1"/>
    <dgm:cxn modelId="{F4CDE0CC-7F65-47E2-972C-124305984C72}" type="presOf" srcId="{CEC7455D-9DE0-4ECD-8CF2-561AC69E0D22}" destId="{4EB48F29-DB14-480D-A0DD-E719993143D1}" srcOrd="1" destOrd="0" presId="urn:microsoft.com/office/officeart/2005/8/layout/orgChart1"/>
    <dgm:cxn modelId="{14DAA602-7FE7-4D38-BFD4-965790FFECB0}" type="presOf" srcId="{45E9AEA0-0B43-4A44-9963-2318960E78C3}" destId="{F3952B46-EE62-4C20-AD06-E45462769ADC}" srcOrd="1" destOrd="0" presId="urn:microsoft.com/office/officeart/2005/8/layout/orgChart1"/>
    <dgm:cxn modelId="{C7687A97-78D8-4A6C-99FC-87996DE6ACCB}" type="presOf" srcId="{85A81ECA-2DBE-4CC4-908D-FB6DE7E40782}" destId="{F02CC53F-F191-4DD6-865A-DD513A7BF9CF}" srcOrd="0" destOrd="0" presId="urn:microsoft.com/office/officeart/2005/8/layout/orgChart1"/>
    <dgm:cxn modelId="{8AB792C7-D57A-48E5-B0AB-E0DD27B98072}" srcId="{4E391C62-2DC2-4747-81CC-9DD6E02C70C5}" destId="{572ADB97-852B-4DBB-8821-32310C90D818}" srcOrd="1" destOrd="0" parTransId="{3F18B6B5-D668-4319-AE52-040761A61F12}" sibTransId="{86166288-0A60-436E-8A9F-92DEC15B7C6E}"/>
    <dgm:cxn modelId="{245BC4D2-3EDC-4F62-AA74-5040824F6D5D}" type="presOf" srcId="{3F18B6B5-D668-4319-AE52-040761A61F12}" destId="{B8C05286-CC51-435C-99F7-BDF20AEBDA72}" srcOrd="0" destOrd="0" presId="urn:microsoft.com/office/officeart/2005/8/layout/orgChart1"/>
    <dgm:cxn modelId="{0A6F73D5-6D18-4106-92F6-BFC9EB10F7B0}" type="presOf" srcId="{85A81ECA-2DBE-4CC4-908D-FB6DE7E40782}" destId="{765FC16E-4076-4257-8F87-3B1980CE40CC}" srcOrd="1" destOrd="0" presId="urn:microsoft.com/office/officeart/2005/8/layout/orgChart1"/>
    <dgm:cxn modelId="{4C28551D-C83B-4252-9396-C017F07585E6}" type="presOf" srcId="{6E5F547E-B4CF-416D-8875-3B13A66F6544}" destId="{F2BAD5EE-898D-418F-8952-6C26E4134B98}" srcOrd="0" destOrd="0" presId="urn:microsoft.com/office/officeart/2005/8/layout/orgChart1"/>
    <dgm:cxn modelId="{36DB3370-60DA-4C00-BD97-AB296798388F}" srcId="{85A81ECA-2DBE-4CC4-908D-FB6DE7E40782}" destId="{4C94DED7-63FF-4143-9C1B-E3429DFBE0D8}" srcOrd="3" destOrd="0" parTransId="{DDC63FEC-E42A-4B57-8756-AE3DB394CC42}" sibTransId="{DFB43BD4-8861-475F-AFFA-DEFB6D07A5F1}"/>
    <dgm:cxn modelId="{EB8BFDEE-A182-4580-AD2E-CB9BFC1746CE}" type="presOf" srcId="{9F42FCBC-3440-4C67-8678-3390B7870BFD}" destId="{3D014A7C-9AA3-4045-8BB8-AC08CBD6DC16}" srcOrd="0" destOrd="0" presId="urn:microsoft.com/office/officeart/2005/8/layout/orgChart1"/>
    <dgm:cxn modelId="{C2AC0D97-C641-45C9-8F4E-6EA9C258AA42}" type="presOf" srcId="{080F9D16-6E08-4CC2-9EA2-44EFCC7E202E}" destId="{5B77F60F-1745-4DF8-880A-FE3A39313938}" srcOrd="0" destOrd="0" presId="urn:microsoft.com/office/officeart/2005/8/layout/orgChart1"/>
    <dgm:cxn modelId="{585376A7-BB7D-4DB3-9003-B4067060EB00}" type="presOf" srcId="{296F0649-4857-4005-A3BF-B36101B2296A}" destId="{F9E7EFE2-8542-412C-BD05-75E5677A02BD}" srcOrd="0" destOrd="0" presId="urn:microsoft.com/office/officeart/2005/8/layout/orgChart1"/>
    <dgm:cxn modelId="{89FEE940-8A3A-4BB5-9D46-6AA136DB0864}" srcId="{4E391C62-2DC2-4747-81CC-9DD6E02C70C5}" destId="{85A81ECA-2DBE-4CC4-908D-FB6DE7E40782}" srcOrd="0" destOrd="0" parTransId="{8782C248-EE5B-4A67-A69C-76B3FFB71913}" sibTransId="{5406D752-1B9E-4169-8F76-0E5937CC27F8}"/>
    <dgm:cxn modelId="{88F02B46-24B2-4005-B952-80096B2CE2C8}" srcId="{586E7D0C-95FB-40A4-B0ED-D34C61FC39E6}" destId="{5D1CB26D-C5CE-4E89-8422-0C8284E26AE6}" srcOrd="0" destOrd="0" parTransId="{3847289A-A536-4A9C-9EB0-493F69407A7E}" sibTransId="{6ABE87AD-5369-421A-A5F1-A43545414676}"/>
    <dgm:cxn modelId="{B62FB985-D450-444F-AE5B-EDE8C9814967}" type="presOf" srcId="{6D89899C-34ED-4A88-9A1B-00503F7EB41A}" destId="{DAA8AC4B-80BF-442C-B67F-3344680B3838}" srcOrd="0" destOrd="0" presId="urn:microsoft.com/office/officeart/2005/8/layout/orgChart1"/>
    <dgm:cxn modelId="{2F141E6C-4C22-4202-899E-E2C427AEB2A1}" type="presOf" srcId="{D81AEBBF-2ECE-40EB-956D-556F772B0DEE}" destId="{DA99C964-4502-4373-B273-414A3FDDA8DB}" srcOrd="0" destOrd="0" presId="urn:microsoft.com/office/officeart/2005/8/layout/orgChart1"/>
    <dgm:cxn modelId="{B1332092-E01F-4764-8D28-0BDBAFF0A2DE}" type="presOf" srcId="{8782C248-EE5B-4A67-A69C-76B3FFB71913}" destId="{C4179974-56D9-4C7F-947F-5BB845358754}" srcOrd="0" destOrd="0" presId="urn:microsoft.com/office/officeart/2005/8/layout/orgChart1"/>
    <dgm:cxn modelId="{D83C49F8-DC4C-4B5F-BB77-4611D5D5A186}" type="presOf" srcId="{572ADB97-852B-4DBB-8821-32310C90D818}" destId="{BFFD506F-71FA-47C1-B598-06D26B66DEA6}" srcOrd="0" destOrd="0" presId="urn:microsoft.com/office/officeart/2005/8/layout/orgChart1"/>
    <dgm:cxn modelId="{3FFD09F9-7682-4F2B-988E-3ACE3EA90189}" type="presOf" srcId="{23E2AD6A-0D9F-4383-88EB-AC4D36FC0DDD}" destId="{7404406A-96A5-4937-B0E8-C9F1DA14F685}" srcOrd="0" destOrd="0" presId="urn:microsoft.com/office/officeart/2005/8/layout/orgChart1"/>
    <dgm:cxn modelId="{C5B397D3-8EBE-4DA0-8160-B7FD596B24BC}" type="presOf" srcId="{586E7D0C-95FB-40A4-B0ED-D34C61FC39E6}" destId="{9CC4D7D5-CDC2-4749-88D2-1E9F4A6871BA}" srcOrd="1" destOrd="0" presId="urn:microsoft.com/office/officeart/2005/8/layout/orgChart1"/>
    <dgm:cxn modelId="{3256E674-F3A9-4C01-A968-D0B9FB4B68D2}" type="presOf" srcId="{DDC63FEC-E42A-4B57-8756-AE3DB394CC42}" destId="{F275833F-18CD-4A8D-9326-B9F8C7BEE354}" srcOrd="0" destOrd="0" presId="urn:microsoft.com/office/officeart/2005/8/layout/orgChart1"/>
    <dgm:cxn modelId="{760A8FB9-09F0-40E2-9AAB-C4705C1309C2}" type="presOf" srcId="{4C94DED7-63FF-4143-9C1B-E3429DFBE0D8}" destId="{3E7FBC34-A93B-47BD-B407-4DFFBBC80502}" srcOrd="0" destOrd="0" presId="urn:microsoft.com/office/officeart/2005/8/layout/orgChart1"/>
    <dgm:cxn modelId="{D90292AE-C834-4E6E-A075-DBD8A0185B5B}" type="presOf" srcId="{C4C7C7CA-D7D3-42EA-9FF0-6BCD47F02736}" destId="{0781F767-F4E6-4B73-963A-4EC747690291}" srcOrd="0" destOrd="0" presId="urn:microsoft.com/office/officeart/2005/8/layout/orgChart1"/>
    <dgm:cxn modelId="{2EC07BA0-82F5-403D-A8DB-5B58EFDF262D}" srcId="{85A81ECA-2DBE-4CC4-908D-FB6DE7E40782}" destId="{36C0DF1E-7A03-49AE-8E12-7EC277F37850}" srcOrd="2" destOrd="0" parTransId="{D81AEBBF-2ECE-40EB-956D-556F772B0DEE}" sibTransId="{6CF3F2B2-5E9A-41BC-928F-8C280099E823}"/>
    <dgm:cxn modelId="{5BB7A3E7-0B0C-4952-ABEB-1D785AD25451}" type="presOf" srcId="{4E391C62-2DC2-4747-81CC-9DD6E02C70C5}" destId="{F0B6F898-C2CE-4086-9801-56C045DA96FA}" srcOrd="0" destOrd="0" presId="urn:microsoft.com/office/officeart/2005/8/layout/orgChart1"/>
    <dgm:cxn modelId="{AD5F1A07-FB6D-4D07-8FE6-CBE4FFAC0B90}" type="presOf" srcId="{6D89899C-34ED-4A88-9A1B-00503F7EB41A}" destId="{47F771D6-366D-4B59-A891-AB80D4C7F5B5}" srcOrd="1" destOrd="0" presId="urn:microsoft.com/office/officeart/2005/8/layout/orgChart1"/>
    <dgm:cxn modelId="{A8360BC4-258C-4AF4-8CB7-050C38E3A368}" type="presOf" srcId="{4C94DED7-63FF-4143-9C1B-E3429DFBE0D8}" destId="{39DBD3E8-DAF2-4723-8334-10EAB51FB618}" srcOrd="1" destOrd="0" presId="urn:microsoft.com/office/officeart/2005/8/layout/orgChart1"/>
    <dgm:cxn modelId="{9ED387F4-4B7F-46EE-85CC-4E761941D0AA}" type="presOf" srcId="{080F9D16-6E08-4CC2-9EA2-44EFCC7E202E}" destId="{032D48BD-EF85-4C92-8DFE-887764877D9C}" srcOrd="1" destOrd="0" presId="urn:microsoft.com/office/officeart/2005/8/layout/orgChart1"/>
    <dgm:cxn modelId="{1CF0065F-04E7-44ED-808E-ACD076474779}" type="presParOf" srcId="{478ECFE1-E65D-4FA8-A0CB-918D34EEB240}" destId="{FE95447D-8C9F-4E9D-8D52-2573C7243FDD}" srcOrd="0" destOrd="0" presId="urn:microsoft.com/office/officeart/2005/8/layout/orgChart1"/>
    <dgm:cxn modelId="{6E29217C-23F6-418E-9288-2C51030D9B70}" type="presParOf" srcId="{FE95447D-8C9F-4E9D-8D52-2573C7243FDD}" destId="{11F28598-2AFC-457E-B254-52FE9351CAF6}" srcOrd="0" destOrd="0" presId="urn:microsoft.com/office/officeart/2005/8/layout/orgChart1"/>
    <dgm:cxn modelId="{218E6628-6AE3-4D2C-A66C-57583EDA44A7}" type="presParOf" srcId="{11F28598-2AFC-457E-B254-52FE9351CAF6}" destId="{F0B6F898-C2CE-4086-9801-56C045DA96FA}" srcOrd="0" destOrd="0" presId="urn:microsoft.com/office/officeart/2005/8/layout/orgChart1"/>
    <dgm:cxn modelId="{4A3F9AD7-CD58-4CB4-91DA-98746B1F987B}" type="presParOf" srcId="{11F28598-2AFC-457E-B254-52FE9351CAF6}" destId="{0AFAE519-94A3-4808-A12D-8C327BFC791D}" srcOrd="1" destOrd="0" presId="urn:microsoft.com/office/officeart/2005/8/layout/orgChart1"/>
    <dgm:cxn modelId="{C182F060-F4FB-49CC-A3B4-474DB5BD2DB8}" type="presParOf" srcId="{FE95447D-8C9F-4E9D-8D52-2573C7243FDD}" destId="{1E66AE04-B440-4DBF-AA7B-624983FEBF09}" srcOrd="1" destOrd="0" presId="urn:microsoft.com/office/officeart/2005/8/layout/orgChart1"/>
    <dgm:cxn modelId="{CCD4CC18-0666-421B-AE4F-096DA599C22C}" type="presParOf" srcId="{FE95447D-8C9F-4E9D-8D52-2573C7243FDD}" destId="{40172A2D-3AB4-4113-A2D8-EBE0384173D4}" srcOrd="2" destOrd="0" presId="urn:microsoft.com/office/officeart/2005/8/layout/orgChart1"/>
    <dgm:cxn modelId="{E88B10C0-B433-4947-AF44-8FAEE3115078}" type="presParOf" srcId="{40172A2D-3AB4-4113-A2D8-EBE0384173D4}" destId="{C4179974-56D9-4C7F-947F-5BB845358754}" srcOrd="0" destOrd="0" presId="urn:microsoft.com/office/officeart/2005/8/layout/orgChart1"/>
    <dgm:cxn modelId="{05E2C170-BB45-45CC-A540-6722D588A301}" type="presParOf" srcId="{40172A2D-3AB4-4113-A2D8-EBE0384173D4}" destId="{3A792DD8-1733-4CD3-8B70-ACB4DB920585}" srcOrd="1" destOrd="0" presId="urn:microsoft.com/office/officeart/2005/8/layout/orgChart1"/>
    <dgm:cxn modelId="{3D473CF7-D5D4-4C70-BAEB-F27F4505F13D}" type="presParOf" srcId="{3A792DD8-1733-4CD3-8B70-ACB4DB920585}" destId="{B808F747-5CDD-4280-ADD5-E07B3EC8DC98}" srcOrd="0" destOrd="0" presId="urn:microsoft.com/office/officeart/2005/8/layout/orgChart1"/>
    <dgm:cxn modelId="{66915635-78AB-4FDB-AB72-C8846353705C}" type="presParOf" srcId="{B808F747-5CDD-4280-ADD5-E07B3EC8DC98}" destId="{F02CC53F-F191-4DD6-865A-DD513A7BF9CF}" srcOrd="0" destOrd="0" presId="urn:microsoft.com/office/officeart/2005/8/layout/orgChart1"/>
    <dgm:cxn modelId="{6BFFEBE3-69E2-43FC-9C47-FEEB82F803C9}" type="presParOf" srcId="{B808F747-5CDD-4280-ADD5-E07B3EC8DC98}" destId="{765FC16E-4076-4257-8F87-3B1980CE40CC}" srcOrd="1" destOrd="0" presId="urn:microsoft.com/office/officeart/2005/8/layout/orgChart1"/>
    <dgm:cxn modelId="{8D7B5D40-2909-4064-A5FD-273F92D43759}" type="presParOf" srcId="{3A792DD8-1733-4CD3-8B70-ACB4DB920585}" destId="{F365E5D8-B2EF-4DE5-BF58-E63F6FFDD7AD}" srcOrd="1" destOrd="0" presId="urn:microsoft.com/office/officeart/2005/8/layout/orgChart1"/>
    <dgm:cxn modelId="{86096DDA-06A9-483D-9165-97DCBD506DA0}" type="presParOf" srcId="{3A792DD8-1733-4CD3-8B70-ACB4DB920585}" destId="{E695FB1C-828F-4AF3-A479-CF29C939DBEC}" srcOrd="2" destOrd="0" presId="urn:microsoft.com/office/officeart/2005/8/layout/orgChart1"/>
    <dgm:cxn modelId="{0DBADFBA-1DB9-4ADF-8D19-1759F933D832}" type="presParOf" srcId="{E695FB1C-828F-4AF3-A479-CF29C939DBEC}" destId="{368E5BBB-1740-4EE4-9619-9A2DEB463279}" srcOrd="0" destOrd="0" presId="urn:microsoft.com/office/officeart/2005/8/layout/orgChart1"/>
    <dgm:cxn modelId="{336B8CA7-7FD0-4274-AE31-F468908A8641}" type="presParOf" srcId="{E695FB1C-828F-4AF3-A479-CF29C939DBEC}" destId="{BCA19602-DD55-487B-A18C-B96FAF63F5CB}" srcOrd="1" destOrd="0" presId="urn:microsoft.com/office/officeart/2005/8/layout/orgChart1"/>
    <dgm:cxn modelId="{D8E3CD74-38C6-4F3E-90C9-C1F383751901}" type="presParOf" srcId="{BCA19602-DD55-487B-A18C-B96FAF63F5CB}" destId="{8FD8A507-25A4-4F6C-856D-8F0F2C4678DD}" srcOrd="0" destOrd="0" presId="urn:microsoft.com/office/officeart/2005/8/layout/orgChart1"/>
    <dgm:cxn modelId="{B90214FE-013B-4184-814B-22830109FE47}" type="presParOf" srcId="{8FD8A507-25A4-4F6C-856D-8F0F2C4678DD}" destId="{DAA8AC4B-80BF-442C-B67F-3344680B3838}" srcOrd="0" destOrd="0" presId="urn:microsoft.com/office/officeart/2005/8/layout/orgChart1"/>
    <dgm:cxn modelId="{1CAD99CC-9FBF-4C87-A7E1-500245DC1119}" type="presParOf" srcId="{8FD8A507-25A4-4F6C-856D-8F0F2C4678DD}" destId="{47F771D6-366D-4B59-A891-AB80D4C7F5B5}" srcOrd="1" destOrd="0" presId="urn:microsoft.com/office/officeart/2005/8/layout/orgChart1"/>
    <dgm:cxn modelId="{C4B27ECA-E277-453E-9518-9D1F2901F2E4}" type="presParOf" srcId="{BCA19602-DD55-487B-A18C-B96FAF63F5CB}" destId="{53929591-FAD6-4796-B3FE-58E03D96812A}" srcOrd="1" destOrd="0" presId="urn:microsoft.com/office/officeart/2005/8/layout/orgChart1"/>
    <dgm:cxn modelId="{3091CDC5-1486-49F1-8569-9CA42ABDBBD1}" type="presParOf" srcId="{BCA19602-DD55-487B-A18C-B96FAF63F5CB}" destId="{206C543A-8BF6-4B48-B13F-3604EB1D3AD9}" srcOrd="2" destOrd="0" presId="urn:microsoft.com/office/officeart/2005/8/layout/orgChart1"/>
    <dgm:cxn modelId="{938A603F-C1E9-4BE1-8950-2C3FDB646AC3}" type="presParOf" srcId="{E695FB1C-828F-4AF3-A479-CF29C939DBEC}" destId="{9599EAAB-357E-48C8-823C-37B6D6F69C31}" srcOrd="2" destOrd="0" presId="urn:microsoft.com/office/officeart/2005/8/layout/orgChart1"/>
    <dgm:cxn modelId="{2928F9FD-7355-4EED-8A97-9F906E5D6E6A}" type="presParOf" srcId="{E695FB1C-828F-4AF3-A479-CF29C939DBEC}" destId="{51F319FC-EE94-4376-B9D4-B5A48B51F767}" srcOrd="3" destOrd="0" presId="urn:microsoft.com/office/officeart/2005/8/layout/orgChart1"/>
    <dgm:cxn modelId="{A007CC92-2465-47F7-9CBB-D73085769E4D}" type="presParOf" srcId="{51F319FC-EE94-4376-B9D4-B5A48B51F767}" destId="{E783A1E2-BCEE-42DF-997A-4BE862A0E3E1}" srcOrd="0" destOrd="0" presId="urn:microsoft.com/office/officeart/2005/8/layout/orgChart1"/>
    <dgm:cxn modelId="{7C8E631B-EB71-4B1F-B7DD-52A774163486}" type="presParOf" srcId="{E783A1E2-BCEE-42DF-997A-4BE862A0E3E1}" destId="{0781F767-F4E6-4B73-963A-4EC747690291}" srcOrd="0" destOrd="0" presId="urn:microsoft.com/office/officeart/2005/8/layout/orgChart1"/>
    <dgm:cxn modelId="{F5E17254-E9C0-4B1C-B8BB-F60049CAF4CD}" type="presParOf" srcId="{E783A1E2-BCEE-42DF-997A-4BE862A0E3E1}" destId="{4510C231-A856-4E66-A63E-77A116B31FBB}" srcOrd="1" destOrd="0" presId="urn:microsoft.com/office/officeart/2005/8/layout/orgChart1"/>
    <dgm:cxn modelId="{F7342BED-572E-4820-B8AC-0C4FAEFE4B97}" type="presParOf" srcId="{51F319FC-EE94-4376-B9D4-B5A48B51F767}" destId="{2075887C-55EE-4390-A546-134C527C632C}" srcOrd="1" destOrd="0" presId="urn:microsoft.com/office/officeart/2005/8/layout/orgChart1"/>
    <dgm:cxn modelId="{1EBA4F80-DA3C-4ECF-BFA3-708535D7BD3B}" type="presParOf" srcId="{51F319FC-EE94-4376-B9D4-B5A48B51F767}" destId="{DCEAC919-3660-4716-84A5-2228A1DF48DA}" srcOrd="2" destOrd="0" presId="urn:microsoft.com/office/officeart/2005/8/layout/orgChart1"/>
    <dgm:cxn modelId="{BF7F2B32-8AD1-4DB6-AAD8-2798512D5114}" type="presParOf" srcId="{E695FB1C-828F-4AF3-A479-CF29C939DBEC}" destId="{DA99C964-4502-4373-B273-414A3FDDA8DB}" srcOrd="4" destOrd="0" presId="urn:microsoft.com/office/officeart/2005/8/layout/orgChart1"/>
    <dgm:cxn modelId="{A003ECD8-C746-4EAD-9779-0E0C0381B0FF}" type="presParOf" srcId="{E695FB1C-828F-4AF3-A479-CF29C939DBEC}" destId="{BECA82EE-4EBB-4D41-A2B6-D727C170B0A2}" srcOrd="5" destOrd="0" presId="urn:microsoft.com/office/officeart/2005/8/layout/orgChart1"/>
    <dgm:cxn modelId="{C5061B88-31CC-4E5E-8A99-8FBA8EB09064}" type="presParOf" srcId="{BECA82EE-4EBB-4D41-A2B6-D727C170B0A2}" destId="{9A99758D-264F-48FC-9CD2-10A10257BA8C}" srcOrd="0" destOrd="0" presId="urn:microsoft.com/office/officeart/2005/8/layout/orgChart1"/>
    <dgm:cxn modelId="{D63A93C3-DB20-49DD-8CFC-C2C918893A90}" type="presParOf" srcId="{9A99758D-264F-48FC-9CD2-10A10257BA8C}" destId="{74BCC1D9-FE4D-42BA-8DA3-C04AAFE22657}" srcOrd="0" destOrd="0" presId="urn:microsoft.com/office/officeart/2005/8/layout/orgChart1"/>
    <dgm:cxn modelId="{6FB8D96D-55F0-4CF9-B6E0-D733D71D18D3}" type="presParOf" srcId="{9A99758D-264F-48FC-9CD2-10A10257BA8C}" destId="{A324C815-BFC8-4361-8726-553D3DAA6362}" srcOrd="1" destOrd="0" presId="urn:microsoft.com/office/officeart/2005/8/layout/orgChart1"/>
    <dgm:cxn modelId="{24D0DBD0-5183-4328-B818-FEE70FE35ACE}" type="presParOf" srcId="{BECA82EE-4EBB-4D41-A2B6-D727C170B0A2}" destId="{DEC38B83-93C0-4F5A-8C6A-72279991D07D}" srcOrd="1" destOrd="0" presId="urn:microsoft.com/office/officeart/2005/8/layout/orgChart1"/>
    <dgm:cxn modelId="{097077B5-697B-4C74-A050-EA9AE8C44532}" type="presParOf" srcId="{BECA82EE-4EBB-4D41-A2B6-D727C170B0A2}" destId="{3208D212-7DDE-4B17-A999-AADB1EAC9EA9}" srcOrd="2" destOrd="0" presId="urn:microsoft.com/office/officeart/2005/8/layout/orgChart1"/>
    <dgm:cxn modelId="{DB958C69-DBBD-49B3-AE9E-780C49C073EE}" type="presParOf" srcId="{E695FB1C-828F-4AF3-A479-CF29C939DBEC}" destId="{F275833F-18CD-4A8D-9326-B9F8C7BEE354}" srcOrd="6" destOrd="0" presId="urn:microsoft.com/office/officeart/2005/8/layout/orgChart1"/>
    <dgm:cxn modelId="{1759AA7E-6548-478C-A84A-F6721B484D89}" type="presParOf" srcId="{E695FB1C-828F-4AF3-A479-CF29C939DBEC}" destId="{2BA221CA-686A-4FD8-9CE3-0A25E54A67C4}" srcOrd="7" destOrd="0" presId="urn:microsoft.com/office/officeart/2005/8/layout/orgChart1"/>
    <dgm:cxn modelId="{06A867C6-3511-44B5-B6F9-68460649DC0A}" type="presParOf" srcId="{2BA221CA-686A-4FD8-9CE3-0A25E54A67C4}" destId="{9F3F7FDF-7BCF-4563-B7A4-ABA2E503294C}" srcOrd="0" destOrd="0" presId="urn:microsoft.com/office/officeart/2005/8/layout/orgChart1"/>
    <dgm:cxn modelId="{37C499AF-A53E-4A10-86EE-B0F274565153}" type="presParOf" srcId="{9F3F7FDF-7BCF-4563-B7A4-ABA2E503294C}" destId="{3E7FBC34-A93B-47BD-B407-4DFFBBC80502}" srcOrd="0" destOrd="0" presId="urn:microsoft.com/office/officeart/2005/8/layout/orgChart1"/>
    <dgm:cxn modelId="{EDE585AB-6AB7-48DA-9A27-5F2753D6650A}" type="presParOf" srcId="{9F3F7FDF-7BCF-4563-B7A4-ABA2E503294C}" destId="{39DBD3E8-DAF2-4723-8334-10EAB51FB618}" srcOrd="1" destOrd="0" presId="urn:microsoft.com/office/officeart/2005/8/layout/orgChart1"/>
    <dgm:cxn modelId="{3D095BA1-A56D-4B9B-BFB5-32EAC2FF5655}" type="presParOf" srcId="{2BA221CA-686A-4FD8-9CE3-0A25E54A67C4}" destId="{EE9A6CE8-47A5-48A2-A69F-2E6F5C777900}" srcOrd="1" destOrd="0" presId="urn:microsoft.com/office/officeart/2005/8/layout/orgChart1"/>
    <dgm:cxn modelId="{5F35C73E-DD35-4EF6-BB58-0714E4F076E2}" type="presParOf" srcId="{2BA221CA-686A-4FD8-9CE3-0A25E54A67C4}" destId="{A260C786-15CC-434A-901A-720EC389B48D}" srcOrd="2" destOrd="0" presId="urn:microsoft.com/office/officeart/2005/8/layout/orgChart1"/>
    <dgm:cxn modelId="{C0AA38A6-5AAF-4DEC-BED5-908EA3F78326}" type="presParOf" srcId="{40172A2D-3AB4-4113-A2D8-EBE0384173D4}" destId="{B8C05286-CC51-435C-99F7-BDF20AEBDA72}" srcOrd="2" destOrd="0" presId="urn:microsoft.com/office/officeart/2005/8/layout/orgChart1"/>
    <dgm:cxn modelId="{3CDEF697-FC41-41D9-A529-940B34267204}" type="presParOf" srcId="{40172A2D-3AB4-4113-A2D8-EBE0384173D4}" destId="{9101E0A8-D499-4B7C-B77E-4D7D1CE7BFC5}" srcOrd="3" destOrd="0" presId="urn:microsoft.com/office/officeart/2005/8/layout/orgChart1"/>
    <dgm:cxn modelId="{0D43D34A-070E-4EDA-9488-6038FF8D0321}" type="presParOf" srcId="{9101E0A8-D499-4B7C-B77E-4D7D1CE7BFC5}" destId="{AFC4BABB-EA03-440F-934C-695B98F44763}" srcOrd="0" destOrd="0" presId="urn:microsoft.com/office/officeart/2005/8/layout/orgChart1"/>
    <dgm:cxn modelId="{ACF7F702-399D-458B-B92D-66F0B2AB92A3}" type="presParOf" srcId="{AFC4BABB-EA03-440F-934C-695B98F44763}" destId="{BFFD506F-71FA-47C1-B598-06D26B66DEA6}" srcOrd="0" destOrd="0" presId="urn:microsoft.com/office/officeart/2005/8/layout/orgChart1"/>
    <dgm:cxn modelId="{90434089-1C1A-4718-BE66-2403A06BF307}" type="presParOf" srcId="{AFC4BABB-EA03-440F-934C-695B98F44763}" destId="{75B8130E-EE6E-4AEA-9BD1-DAA1C60B1ADA}" srcOrd="1" destOrd="0" presId="urn:microsoft.com/office/officeart/2005/8/layout/orgChart1"/>
    <dgm:cxn modelId="{1B7B1F80-4221-465F-8D44-8836F6F00A0C}" type="presParOf" srcId="{9101E0A8-D499-4B7C-B77E-4D7D1CE7BFC5}" destId="{187A8D5F-FB22-4B14-9415-3C7B0EB882A7}" srcOrd="1" destOrd="0" presId="urn:microsoft.com/office/officeart/2005/8/layout/orgChart1"/>
    <dgm:cxn modelId="{E8133F1F-BA7B-4E96-83A2-DA92FC654DCA}" type="presParOf" srcId="{187A8D5F-FB22-4B14-9415-3C7B0EB882A7}" destId="{7B2732E5-2484-41E9-9CC7-9E72CB825B57}" srcOrd="0" destOrd="0" presId="urn:microsoft.com/office/officeart/2005/8/layout/orgChart1"/>
    <dgm:cxn modelId="{2CDF459A-3616-4A19-8035-AAD82F1A9ABC}" type="presParOf" srcId="{187A8D5F-FB22-4B14-9415-3C7B0EB882A7}" destId="{2C667CDA-39AB-4B84-9C7A-E800A8394771}" srcOrd="1" destOrd="0" presId="urn:microsoft.com/office/officeart/2005/8/layout/orgChart1"/>
    <dgm:cxn modelId="{05A6F2B6-C2AE-4C28-97A5-C39AB8E5E0C1}" type="presParOf" srcId="{2C667CDA-39AB-4B84-9C7A-E800A8394771}" destId="{12BDE00B-4FD9-4DB4-AD7B-E9EE7B3407F0}" srcOrd="0" destOrd="0" presId="urn:microsoft.com/office/officeart/2005/8/layout/orgChart1"/>
    <dgm:cxn modelId="{5E293F8B-157C-47B5-81F5-091D4E65C445}" type="presParOf" srcId="{12BDE00B-4FD9-4DB4-AD7B-E9EE7B3407F0}" destId="{3D014A7C-9AA3-4045-8BB8-AC08CBD6DC16}" srcOrd="0" destOrd="0" presId="urn:microsoft.com/office/officeart/2005/8/layout/orgChart1"/>
    <dgm:cxn modelId="{B055FE99-FDBD-43BD-A1D8-120803671B71}" type="presParOf" srcId="{12BDE00B-4FD9-4DB4-AD7B-E9EE7B3407F0}" destId="{25C102F9-369F-4A45-9CB0-5AF259812CF8}" srcOrd="1" destOrd="0" presId="urn:microsoft.com/office/officeart/2005/8/layout/orgChart1"/>
    <dgm:cxn modelId="{6CC45414-24E7-46FC-B7C6-9F7516CAB564}" type="presParOf" srcId="{2C667CDA-39AB-4B84-9C7A-E800A8394771}" destId="{E3D30141-F482-4BB9-A146-6668F9419F38}" srcOrd="1" destOrd="0" presId="urn:microsoft.com/office/officeart/2005/8/layout/orgChart1"/>
    <dgm:cxn modelId="{1EC045F5-3BAD-4B8E-88E8-C26EA03E2707}" type="presParOf" srcId="{E3D30141-F482-4BB9-A146-6668F9419F38}" destId="{9ECF47F5-D483-41A1-913E-307DE812DCD4}" srcOrd="0" destOrd="0" presId="urn:microsoft.com/office/officeart/2005/8/layout/orgChart1"/>
    <dgm:cxn modelId="{63F8C3ED-8242-4BA5-83F7-57AB15E2EBCB}" type="presParOf" srcId="{E3D30141-F482-4BB9-A146-6668F9419F38}" destId="{6E77DC62-1DAD-4111-96C5-5818A2119AF4}" srcOrd="1" destOrd="0" presId="urn:microsoft.com/office/officeart/2005/8/layout/orgChart1"/>
    <dgm:cxn modelId="{32C74640-5232-4085-BFA8-51D531BAC458}" type="presParOf" srcId="{6E77DC62-1DAD-4111-96C5-5818A2119AF4}" destId="{FF172634-8113-4D50-A8BB-B5FB00ABC7EE}" srcOrd="0" destOrd="0" presId="urn:microsoft.com/office/officeart/2005/8/layout/orgChart1"/>
    <dgm:cxn modelId="{DE0D6CDC-69F7-45B1-9AE0-72660CCA312B}" type="presParOf" srcId="{FF172634-8113-4D50-A8BB-B5FB00ABC7EE}" destId="{29427974-D314-484B-A425-03B2322FB6AA}" srcOrd="0" destOrd="0" presId="urn:microsoft.com/office/officeart/2005/8/layout/orgChart1"/>
    <dgm:cxn modelId="{0A5FA1CE-5E24-494C-972B-98EF163A8FE9}" type="presParOf" srcId="{FF172634-8113-4D50-A8BB-B5FB00ABC7EE}" destId="{F5FF99F3-85B3-43F5-8984-686BD49C8522}" srcOrd="1" destOrd="0" presId="urn:microsoft.com/office/officeart/2005/8/layout/orgChart1"/>
    <dgm:cxn modelId="{61FA2C89-FFD6-4EA1-B5EC-10A65AE9FC1F}" type="presParOf" srcId="{6E77DC62-1DAD-4111-96C5-5818A2119AF4}" destId="{696E37FD-C084-42F6-A6C0-22A8CC9541B5}" srcOrd="1" destOrd="0" presId="urn:microsoft.com/office/officeart/2005/8/layout/orgChart1"/>
    <dgm:cxn modelId="{35343AF2-C3D1-4DCE-9281-A3009F857634}" type="presParOf" srcId="{6E77DC62-1DAD-4111-96C5-5818A2119AF4}" destId="{FBD17A2C-815E-466E-85E5-435B7FB7A307}" srcOrd="2" destOrd="0" presId="urn:microsoft.com/office/officeart/2005/8/layout/orgChart1"/>
    <dgm:cxn modelId="{B42A08D3-FFF2-48EE-874A-144E5D17E6C9}" type="presParOf" srcId="{2C667CDA-39AB-4B84-9C7A-E800A8394771}" destId="{CE721697-D713-4E8C-A13B-AF7A1BACF03A}" srcOrd="2" destOrd="0" presId="urn:microsoft.com/office/officeart/2005/8/layout/orgChart1"/>
    <dgm:cxn modelId="{E45E6EB5-AE92-45A5-BAB9-D5BD60B39C0C}" type="presParOf" srcId="{187A8D5F-FB22-4B14-9415-3C7B0EB882A7}" destId="{1F2CE9D4-320B-4306-8C04-5D70E05E1121}" srcOrd="2" destOrd="0" presId="urn:microsoft.com/office/officeart/2005/8/layout/orgChart1"/>
    <dgm:cxn modelId="{957A1D33-0E4B-4A52-BC27-63795AFC9A88}" type="presParOf" srcId="{187A8D5F-FB22-4B14-9415-3C7B0EB882A7}" destId="{4D8EC718-AAF4-4355-AED2-CEE64D41E47D}" srcOrd="3" destOrd="0" presId="urn:microsoft.com/office/officeart/2005/8/layout/orgChart1"/>
    <dgm:cxn modelId="{E77D65FE-F162-4D15-A81A-03F29CA9FA34}" type="presParOf" srcId="{4D8EC718-AAF4-4355-AED2-CEE64D41E47D}" destId="{EEF2958E-F63E-427D-86A3-B8EF9B925330}" srcOrd="0" destOrd="0" presId="urn:microsoft.com/office/officeart/2005/8/layout/orgChart1"/>
    <dgm:cxn modelId="{3D7B7106-C0C5-4F30-941A-9978A01C4CC2}" type="presParOf" srcId="{EEF2958E-F63E-427D-86A3-B8EF9B925330}" destId="{1C4417BD-46A6-4D43-BC1D-60FA72967F1E}" srcOrd="0" destOrd="0" presId="urn:microsoft.com/office/officeart/2005/8/layout/orgChart1"/>
    <dgm:cxn modelId="{11C3699A-64CB-4C0F-B9CD-F74D23516D8E}" type="presParOf" srcId="{EEF2958E-F63E-427D-86A3-B8EF9B925330}" destId="{9CC4D7D5-CDC2-4749-88D2-1E9F4A6871BA}" srcOrd="1" destOrd="0" presId="urn:microsoft.com/office/officeart/2005/8/layout/orgChart1"/>
    <dgm:cxn modelId="{CA190EFA-C64F-4881-A456-0496130261B9}" type="presParOf" srcId="{4D8EC718-AAF4-4355-AED2-CEE64D41E47D}" destId="{8C9199E3-1400-41CD-B681-1D4CA18E60E9}" srcOrd="1" destOrd="0" presId="urn:microsoft.com/office/officeart/2005/8/layout/orgChart1"/>
    <dgm:cxn modelId="{360E1B37-4990-4119-96D6-4D39EFFFEBD7}" type="presParOf" srcId="{8C9199E3-1400-41CD-B681-1D4CA18E60E9}" destId="{00319E7F-F8A1-43DA-9BAC-941750DED466}" srcOrd="0" destOrd="0" presId="urn:microsoft.com/office/officeart/2005/8/layout/orgChart1"/>
    <dgm:cxn modelId="{CEE646F4-51B6-41F0-8447-F6046C3D2528}" type="presParOf" srcId="{8C9199E3-1400-41CD-B681-1D4CA18E60E9}" destId="{D3CD9A9F-EEB0-447E-85F2-215B16C3708E}" srcOrd="1" destOrd="0" presId="urn:microsoft.com/office/officeart/2005/8/layout/orgChart1"/>
    <dgm:cxn modelId="{2DD094A6-DB4D-49C8-842E-FAD9BAB60831}" type="presParOf" srcId="{D3CD9A9F-EEB0-447E-85F2-215B16C3708E}" destId="{D831437E-7210-4367-8B70-F3AFBADB402B}" srcOrd="0" destOrd="0" presId="urn:microsoft.com/office/officeart/2005/8/layout/orgChart1"/>
    <dgm:cxn modelId="{59E1FDD2-6FC6-4189-B5D0-003ACA3E6F05}" type="presParOf" srcId="{D831437E-7210-4367-8B70-F3AFBADB402B}" destId="{CAE49859-BC31-4772-B438-79069E0385D0}" srcOrd="0" destOrd="0" presId="urn:microsoft.com/office/officeart/2005/8/layout/orgChart1"/>
    <dgm:cxn modelId="{565702E3-F89A-4F5D-A754-AD3302562C52}" type="presParOf" srcId="{D831437E-7210-4367-8B70-F3AFBADB402B}" destId="{9C10177F-0417-4CFB-8B56-5DF1BC9C93F9}" srcOrd="1" destOrd="0" presId="urn:microsoft.com/office/officeart/2005/8/layout/orgChart1"/>
    <dgm:cxn modelId="{020F75F1-C213-4D47-B4D2-2744C42FCB0E}" type="presParOf" srcId="{D3CD9A9F-EEB0-447E-85F2-215B16C3708E}" destId="{27F268BB-09EB-4A72-9F16-8EC6315ECC74}" srcOrd="1" destOrd="0" presId="urn:microsoft.com/office/officeart/2005/8/layout/orgChart1"/>
    <dgm:cxn modelId="{4BCD77DC-8572-4162-821D-1C211F5AD14F}" type="presParOf" srcId="{D3CD9A9F-EEB0-447E-85F2-215B16C3708E}" destId="{AC61DDCE-76F1-45A5-9E5B-D83CFEC107F5}" srcOrd="2" destOrd="0" presId="urn:microsoft.com/office/officeart/2005/8/layout/orgChart1"/>
    <dgm:cxn modelId="{C8265690-643C-4D0F-B478-0782311D92CA}" type="presParOf" srcId="{4D8EC718-AAF4-4355-AED2-CEE64D41E47D}" destId="{22FD5C20-C10F-44F7-AB6B-236E95D0E463}" srcOrd="2" destOrd="0" presId="urn:microsoft.com/office/officeart/2005/8/layout/orgChart1"/>
    <dgm:cxn modelId="{F7320CCE-3BC5-43E2-AB6D-653F5C470499}" type="presParOf" srcId="{187A8D5F-FB22-4B14-9415-3C7B0EB882A7}" destId="{7404406A-96A5-4937-B0E8-C9F1DA14F685}" srcOrd="4" destOrd="0" presId="urn:microsoft.com/office/officeart/2005/8/layout/orgChart1"/>
    <dgm:cxn modelId="{6D585255-B3C8-4E0D-BD8C-9B805C3ACA9A}" type="presParOf" srcId="{187A8D5F-FB22-4B14-9415-3C7B0EB882A7}" destId="{DA2C41F1-827C-4BEB-8EA1-81DE78AFD03F}" srcOrd="5" destOrd="0" presId="urn:microsoft.com/office/officeart/2005/8/layout/orgChart1"/>
    <dgm:cxn modelId="{38F020AE-F742-4F32-8583-849A820C9E1B}" type="presParOf" srcId="{DA2C41F1-827C-4BEB-8EA1-81DE78AFD03F}" destId="{4B99C60E-0F79-4BD1-913E-37813347EF15}" srcOrd="0" destOrd="0" presId="urn:microsoft.com/office/officeart/2005/8/layout/orgChart1"/>
    <dgm:cxn modelId="{900A107A-B510-4C34-8B3F-868247DE216A}" type="presParOf" srcId="{4B99C60E-0F79-4BD1-913E-37813347EF15}" destId="{5B77F60F-1745-4DF8-880A-FE3A39313938}" srcOrd="0" destOrd="0" presId="urn:microsoft.com/office/officeart/2005/8/layout/orgChart1"/>
    <dgm:cxn modelId="{0858E185-A55E-4C99-BCDF-A0B7E604E9B1}" type="presParOf" srcId="{4B99C60E-0F79-4BD1-913E-37813347EF15}" destId="{032D48BD-EF85-4C92-8DFE-887764877D9C}" srcOrd="1" destOrd="0" presId="urn:microsoft.com/office/officeart/2005/8/layout/orgChart1"/>
    <dgm:cxn modelId="{63ED3B83-5303-4E49-8A4A-A6D284914823}" type="presParOf" srcId="{DA2C41F1-827C-4BEB-8EA1-81DE78AFD03F}" destId="{5805477D-3DE1-4313-97BF-55BA416D10EC}" srcOrd="1" destOrd="0" presId="urn:microsoft.com/office/officeart/2005/8/layout/orgChart1"/>
    <dgm:cxn modelId="{DC13BFB6-8108-4AF4-B9F7-D2C85D8F5D11}" type="presParOf" srcId="{5805477D-3DE1-4313-97BF-55BA416D10EC}" destId="{F2BAD5EE-898D-418F-8952-6C26E4134B98}" srcOrd="0" destOrd="0" presId="urn:microsoft.com/office/officeart/2005/8/layout/orgChart1"/>
    <dgm:cxn modelId="{AAD094CB-6A8A-4B07-9FBE-C8168D6CB053}" type="presParOf" srcId="{5805477D-3DE1-4313-97BF-55BA416D10EC}" destId="{9855A999-4207-4741-BC23-98297F9E17C6}" srcOrd="1" destOrd="0" presId="urn:microsoft.com/office/officeart/2005/8/layout/orgChart1"/>
    <dgm:cxn modelId="{4CAAFE5E-0B74-47B8-B08B-124822658568}" type="presParOf" srcId="{9855A999-4207-4741-BC23-98297F9E17C6}" destId="{AB8BB190-BF71-4778-841A-75C2A98F8E8A}" srcOrd="0" destOrd="0" presId="urn:microsoft.com/office/officeart/2005/8/layout/orgChart1"/>
    <dgm:cxn modelId="{B616968C-21CB-4C6F-90F3-A76306BE80C4}" type="presParOf" srcId="{AB8BB190-BF71-4778-841A-75C2A98F8E8A}" destId="{CCA8BADF-A610-4BA9-847D-FB4C7C21079D}" srcOrd="0" destOrd="0" presId="urn:microsoft.com/office/officeart/2005/8/layout/orgChart1"/>
    <dgm:cxn modelId="{2B8D4B06-69D1-4B67-A113-D96BC72563E5}" type="presParOf" srcId="{AB8BB190-BF71-4778-841A-75C2A98F8E8A}" destId="{4EB48F29-DB14-480D-A0DD-E719993143D1}" srcOrd="1" destOrd="0" presId="urn:microsoft.com/office/officeart/2005/8/layout/orgChart1"/>
    <dgm:cxn modelId="{E72D7C71-7455-4939-B781-8D0248E65142}" type="presParOf" srcId="{9855A999-4207-4741-BC23-98297F9E17C6}" destId="{EDCD60FB-58CB-4D7B-B28B-D11B91FFE643}" srcOrd="1" destOrd="0" presId="urn:microsoft.com/office/officeart/2005/8/layout/orgChart1"/>
    <dgm:cxn modelId="{AF3F7743-C087-47E2-9173-F75237931081}" type="presParOf" srcId="{9855A999-4207-4741-BC23-98297F9E17C6}" destId="{8EBB0C64-1FA5-4131-B126-BAEF9572811D}" srcOrd="2" destOrd="0" presId="urn:microsoft.com/office/officeart/2005/8/layout/orgChart1"/>
    <dgm:cxn modelId="{22E56386-2BE2-428B-88DD-456542DA5FEF}" type="presParOf" srcId="{5805477D-3DE1-4313-97BF-55BA416D10EC}" destId="{F9E7EFE2-8542-412C-BD05-75E5677A02BD}" srcOrd="2" destOrd="0" presId="urn:microsoft.com/office/officeart/2005/8/layout/orgChart1"/>
    <dgm:cxn modelId="{4065C79D-6F9C-4A5E-8589-15CCFF38B8F8}" type="presParOf" srcId="{5805477D-3DE1-4313-97BF-55BA416D10EC}" destId="{7CD6F5D6-D09B-45B8-8685-1BE5E7A0B68B}" srcOrd="3" destOrd="0" presId="urn:microsoft.com/office/officeart/2005/8/layout/orgChart1"/>
    <dgm:cxn modelId="{C5972C4A-69D2-4AFD-A395-E76D06C6F9C8}" type="presParOf" srcId="{7CD6F5D6-D09B-45B8-8685-1BE5E7A0B68B}" destId="{554F733D-4C88-4D24-8EA4-F361F510FFD5}" srcOrd="0" destOrd="0" presId="urn:microsoft.com/office/officeart/2005/8/layout/orgChart1"/>
    <dgm:cxn modelId="{0C5193C5-1134-45ED-9B8A-FAB31E03B79A}" type="presParOf" srcId="{554F733D-4C88-4D24-8EA4-F361F510FFD5}" destId="{E05C42C4-F649-4085-B068-C5F23BBC45B1}" srcOrd="0" destOrd="0" presId="urn:microsoft.com/office/officeart/2005/8/layout/orgChart1"/>
    <dgm:cxn modelId="{CF9B9BBE-15A6-4602-8D5C-4D59880CBA52}" type="presParOf" srcId="{554F733D-4C88-4D24-8EA4-F361F510FFD5}" destId="{F3952B46-EE62-4C20-AD06-E45462769ADC}" srcOrd="1" destOrd="0" presId="urn:microsoft.com/office/officeart/2005/8/layout/orgChart1"/>
    <dgm:cxn modelId="{7708E95A-051D-4851-B0E4-118B7E230AD1}" type="presParOf" srcId="{7CD6F5D6-D09B-45B8-8685-1BE5E7A0B68B}" destId="{47426E51-2E3E-400F-ADF2-97916ECCB31B}" srcOrd="1" destOrd="0" presId="urn:microsoft.com/office/officeart/2005/8/layout/orgChart1"/>
    <dgm:cxn modelId="{BD69ED6D-5B26-4995-AE3C-2F00C0E7A0F8}" type="presParOf" srcId="{7CD6F5D6-D09B-45B8-8685-1BE5E7A0B68B}" destId="{C9F08D5C-2DF7-421F-A177-490FDB1D9258}" srcOrd="2" destOrd="0" presId="urn:microsoft.com/office/officeart/2005/8/layout/orgChart1"/>
    <dgm:cxn modelId="{7709C7BB-6B3F-4ED5-9AFF-01AF2C20F10C}" type="presParOf" srcId="{DA2C41F1-827C-4BEB-8EA1-81DE78AFD03F}" destId="{D649A8F7-F8CB-4369-A930-EE64F39FFCF6}" srcOrd="2" destOrd="0" presId="urn:microsoft.com/office/officeart/2005/8/layout/orgChart1"/>
    <dgm:cxn modelId="{9398A428-F6A0-42FD-BC84-A02731711FF3}" type="presParOf" srcId="{9101E0A8-D499-4B7C-B77E-4D7D1CE7BFC5}" destId="{C750A0BC-A912-4373-A585-CE49961DADFA}" srcOrd="2" destOrd="0" presId="urn:microsoft.com/office/officeart/2005/8/layout/orgChart1"/>
  </dgm:cxnLst>
  <dgm:bg/>
  <dgm:whole/>
  <dgm:extLst>
    <a:ext uri="http://schemas.microsoft.com/office/drawing/2008/diagram">
      <dsp:dataModelExt xmlns:dsp="http://schemas.microsoft.com/office/drawing/2008/diagram" xmlns="" relId="rId7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5723B810-9144-4A21-9E80-F4DAF0708DAE}" type="doc">
      <dgm:prSet loTypeId="urn:microsoft.com/office/officeart/2005/8/layout/radial1" loCatId="relationship" qsTypeId="urn:microsoft.com/office/officeart/2005/8/quickstyle/simple1" qsCatId="simple" csTypeId="urn:microsoft.com/office/officeart/2005/8/colors/accent1_2" csCatId="accent1" phldr="1"/>
      <dgm:spPr/>
      <dgm:t>
        <a:bodyPr/>
        <a:lstStyle/>
        <a:p>
          <a:endParaRPr lang="fr-CA"/>
        </a:p>
      </dgm:t>
    </dgm:pt>
    <dgm:pt modelId="{3EAF71EF-8D35-405C-8DBE-98F9221B4115}">
      <dgm:prSet phldrT="[Texte]" custT="1"/>
      <dgm:spPr>
        <a:solidFill>
          <a:schemeClr val="accent6">
            <a:lumMod val="75000"/>
          </a:schemeClr>
        </a:solidFill>
      </dgm:spPr>
      <dgm:t>
        <a:bodyPr/>
        <a:lstStyle/>
        <a:p>
          <a:pPr algn="ctr"/>
          <a:r>
            <a:rPr lang="fr-CA" sz="1800"/>
            <a:t>Mandat de L'UQTR</a:t>
          </a:r>
        </a:p>
      </dgm:t>
    </dgm:pt>
    <dgm:pt modelId="{1FFA7154-7A21-4A66-84F8-0DD0F9A05254}" type="parTrans" cxnId="{1227283B-BFAA-4952-943C-E4A65E970217}">
      <dgm:prSet/>
      <dgm:spPr/>
      <dgm:t>
        <a:bodyPr/>
        <a:lstStyle/>
        <a:p>
          <a:pPr algn="ctr"/>
          <a:endParaRPr lang="fr-CA" sz="2400"/>
        </a:p>
      </dgm:t>
    </dgm:pt>
    <dgm:pt modelId="{107B802D-4FAB-4BBA-A72A-3915EA9EBCD6}" type="sibTrans" cxnId="{1227283B-BFAA-4952-943C-E4A65E970217}">
      <dgm:prSet/>
      <dgm:spPr/>
      <dgm:t>
        <a:bodyPr/>
        <a:lstStyle/>
        <a:p>
          <a:pPr algn="ctr"/>
          <a:endParaRPr lang="fr-CA" sz="2400"/>
        </a:p>
      </dgm:t>
    </dgm:pt>
    <dgm:pt modelId="{91A3B640-4C44-47CA-B570-D48D21B84F61}">
      <dgm:prSet phldrT="[Texte]" custT="1"/>
      <dgm:spPr>
        <a:solidFill>
          <a:schemeClr val="accent6">
            <a:lumMod val="75000"/>
          </a:schemeClr>
        </a:solidFill>
      </dgm:spPr>
      <dgm:t>
        <a:bodyPr/>
        <a:lstStyle/>
        <a:p>
          <a:pPr algn="ctr"/>
          <a:r>
            <a:rPr lang="fr-CA" sz="1100"/>
            <a:t>Développer la formation,</a:t>
          </a:r>
        </a:p>
        <a:p>
          <a:pPr algn="ctr"/>
          <a:r>
            <a:rPr lang="fr-CA" sz="1100"/>
            <a:t>enrichir le contexte d’apprentissage</a:t>
          </a:r>
        </a:p>
        <a:p>
          <a:pPr algn="ctr"/>
          <a:r>
            <a:rPr lang="fr-CA" sz="1100"/>
            <a:t>et soutenir la réussite</a:t>
          </a:r>
        </a:p>
      </dgm:t>
    </dgm:pt>
    <dgm:pt modelId="{93C1A75C-ACC5-463C-9378-69DA75525E90}" type="parTrans" cxnId="{8A83959D-AC20-4B15-B403-6A386AAFEE8F}">
      <dgm:prSet custT="1"/>
      <dgm:spPr/>
      <dgm:t>
        <a:bodyPr/>
        <a:lstStyle/>
        <a:p>
          <a:pPr algn="ctr"/>
          <a:endParaRPr lang="fr-CA" sz="700"/>
        </a:p>
      </dgm:t>
    </dgm:pt>
    <dgm:pt modelId="{2D937CCD-9B4A-40CD-8983-B7077672D003}" type="sibTrans" cxnId="{8A83959D-AC20-4B15-B403-6A386AAFEE8F}">
      <dgm:prSet/>
      <dgm:spPr/>
      <dgm:t>
        <a:bodyPr/>
        <a:lstStyle/>
        <a:p>
          <a:pPr algn="ctr"/>
          <a:endParaRPr lang="fr-CA" sz="2400"/>
        </a:p>
      </dgm:t>
    </dgm:pt>
    <dgm:pt modelId="{DDFBF2FD-753F-4784-AD4A-3C6190001FD4}">
      <dgm:prSet phldrT="[Texte]" custT="1"/>
      <dgm:spPr>
        <a:solidFill>
          <a:schemeClr val="accent6">
            <a:lumMod val="75000"/>
          </a:schemeClr>
        </a:solidFill>
      </dgm:spPr>
      <dgm:t>
        <a:bodyPr/>
        <a:lstStyle/>
        <a:p>
          <a:pPr algn="ctr"/>
          <a:r>
            <a:rPr lang="fr-CA" sz="1100"/>
            <a:t>Affirmer</a:t>
          </a:r>
        </a:p>
        <a:p>
          <a:pPr algn="ctr"/>
          <a:r>
            <a:rPr lang="fr-CA" sz="1100"/>
            <a:t>notre leadership en recherche</a:t>
          </a:r>
        </a:p>
        <a:p>
          <a:pPr algn="ctr"/>
          <a:r>
            <a:rPr lang="fr-CA" sz="1100"/>
            <a:t>et préparer la relève scientifique</a:t>
          </a:r>
        </a:p>
      </dgm:t>
    </dgm:pt>
    <dgm:pt modelId="{F340BE2F-6475-4078-B46F-9FD3C654EB1A}" type="parTrans" cxnId="{6969DF37-31EE-4828-81D7-DE92D402FD8A}">
      <dgm:prSet custT="1"/>
      <dgm:spPr/>
      <dgm:t>
        <a:bodyPr/>
        <a:lstStyle/>
        <a:p>
          <a:pPr algn="ctr"/>
          <a:endParaRPr lang="fr-CA" sz="700"/>
        </a:p>
      </dgm:t>
    </dgm:pt>
    <dgm:pt modelId="{DF4EC135-C387-432C-A5A1-8D55697E3255}" type="sibTrans" cxnId="{6969DF37-31EE-4828-81D7-DE92D402FD8A}">
      <dgm:prSet/>
      <dgm:spPr/>
      <dgm:t>
        <a:bodyPr/>
        <a:lstStyle/>
        <a:p>
          <a:pPr algn="ctr"/>
          <a:endParaRPr lang="fr-CA" sz="2400"/>
        </a:p>
      </dgm:t>
    </dgm:pt>
    <dgm:pt modelId="{CFD030C0-843B-4D7F-BCC0-4CC617320102}">
      <dgm:prSet phldrT="[Texte]" custT="1"/>
      <dgm:spPr>
        <a:solidFill>
          <a:schemeClr val="accent6">
            <a:lumMod val="75000"/>
          </a:schemeClr>
        </a:solidFill>
      </dgm:spPr>
      <dgm:t>
        <a:bodyPr/>
        <a:lstStyle/>
        <a:p>
          <a:pPr algn="ctr"/>
          <a:r>
            <a:rPr lang="fr-CA" sz="1100"/>
            <a:t>Au cœur d’une région universitaire,</a:t>
          </a:r>
        </a:p>
        <a:p>
          <a:pPr algn="ctr"/>
          <a:r>
            <a:rPr lang="fr-CA" sz="1100"/>
            <a:t>assumer</a:t>
          </a:r>
        </a:p>
        <a:p>
          <a:pPr algn="ctr"/>
          <a:r>
            <a:rPr lang="fr-CA" sz="1100"/>
            <a:t>notre rôle de vecteur</a:t>
          </a:r>
        </a:p>
        <a:p>
          <a:pPr algn="ctr"/>
          <a:r>
            <a:rPr lang="fr-CA" sz="1100"/>
            <a:t>de développement et de</a:t>
          </a:r>
        </a:p>
        <a:p>
          <a:pPr algn="ctr"/>
          <a:r>
            <a:rPr lang="fr-CA" sz="1100"/>
            <a:t>déploiement des forces du milieu</a:t>
          </a:r>
        </a:p>
      </dgm:t>
    </dgm:pt>
    <dgm:pt modelId="{FFF94BAE-B406-4111-824A-4BF5C03E8B19}" type="parTrans" cxnId="{E2E40AB6-156E-4E2F-BCBE-7242E5B09DF8}">
      <dgm:prSet custT="1"/>
      <dgm:spPr/>
      <dgm:t>
        <a:bodyPr/>
        <a:lstStyle/>
        <a:p>
          <a:pPr algn="ctr"/>
          <a:endParaRPr lang="fr-CA" sz="700"/>
        </a:p>
      </dgm:t>
    </dgm:pt>
    <dgm:pt modelId="{45E45D69-56C2-455F-A256-51D1C8A8758A}" type="sibTrans" cxnId="{E2E40AB6-156E-4E2F-BCBE-7242E5B09DF8}">
      <dgm:prSet/>
      <dgm:spPr/>
      <dgm:t>
        <a:bodyPr/>
        <a:lstStyle/>
        <a:p>
          <a:pPr algn="ctr"/>
          <a:endParaRPr lang="fr-CA" sz="2400"/>
        </a:p>
      </dgm:t>
    </dgm:pt>
    <dgm:pt modelId="{F46281C0-6F82-4DEA-9D51-C3ECFED8FD2C}">
      <dgm:prSet phldrT="[Texte]" custT="1"/>
      <dgm:spPr>
        <a:solidFill>
          <a:schemeClr val="accent6">
            <a:lumMod val="75000"/>
          </a:schemeClr>
        </a:solidFill>
      </dgm:spPr>
      <dgm:t>
        <a:bodyPr/>
        <a:lstStyle/>
        <a:p>
          <a:pPr algn="ctr"/>
          <a:r>
            <a:rPr lang="fr-CA" sz="1100">
              <a:solidFill>
                <a:schemeClr val="bg1"/>
              </a:solidFill>
            </a:rPr>
            <a:t>Proposer un milieu de vie épanouissant et attrayant</a:t>
          </a:r>
        </a:p>
      </dgm:t>
    </dgm:pt>
    <dgm:pt modelId="{4271E171-44AF-4C46-9A15-D0666AEB9EB0}" type="parTrans" cxnId="{D1C57B95-C1FD-446D-8564-BAA4CD207AC3}">
      <dgm:prSet custT="1"/>
      <dgm:spPr/>
      <dgm:t>
        <a:bodyPr/>
        <a:lstStyle/>
        <a:p>
          <a:endParaRPr lang="fr-CA" sz="700"/>
        </a:p>
      </dgm:t>
    </dgm:pt>
    <dgm:pt modelId="{08F0B30F-3567-4EA0-9B51-594BC23BD59A}" type="sibTrans" cxnId="{D1C57B95-C1FD-446D-8564-BAA4CD207AC3}">
      <dgm:prSet/>
      <dgm:spPr/>
      <dgm:t>
        <a:bodyPr/>
        <a:lstStyle/>
        <a:p>
          <a:endParaRPr lang="fr-CA" sz="2400"/>
        </a:p>
      </dgm:t>
    </dgm:pt>
    <dgm:pt modelId="{7989E834-18BB-4D9E-B2E2-7EE5DDBF70E2}" type="pres">
      <dgm:prSet presAssocID="{5723B810-9144-4A21-9E80-F4DAF0708DAE}" presName="cycle" presStyleCnt="0">
        <dgm:presLayoutVars>
          <dgm:chMax val="1"/>
          <dgm:dir/>
          <dgm:animLvl val="ctr"/>
          <dgm:resizeHandles val="exact"/>
        </dgm:presLayoutVars>
      </dgm:prSet>
      <dgm:spPr/>
      <dgm:t>
        <a:bodyPr/>
        <a:lstStyle/>
        <a:p>
          <a:endParaRPr lang="fr-CA"/>
        </a:p>
      </dgm:t>
    </dgm:pt>
    <dgm:pt modelId="{A660512D-6D77-49D2-8D3F-F99FA4DFBBDC}" type="pres">
      <dgm:prSet presAssocID="{3EAF71EF-8D35-405C-8DBE-98F9221B4115}" presName="centerShape" presStyleLbl="node0" presStyleIdx="0" presStyleCnt="1" custScaleX="119766"/>
      <dgm:spPr/>
      <dgm:t>
        <a:bodyPr/>
        <a:lstStyle/>
        <a:p>
          <a:endParaRPr lang="fr-CA"/>
        </a:p>
      </dgm:t>
    </dgm:pt>
    <dgm:pt modelId="{0DC0640E-F25F-40D5-810F-2A9FF77B28BB}" type="pres">
      <dgm:prSet presAssocID="{93C1A75C-ACC5-463C-9378-69DA75525E90}" presName="Name9" presStyleLbl="parChTrans1D2" presStyleIdx="0" presStyleCnt="4"/>
      <dgm:spPr/>
      <dgm:t>
        <a:bodyPr/>
        <a:lstStyle/>
        <a:p>
          <a:endParaRPr lang="fr-CA"/>
        </a:p>
      </dgm:t>
    </dgm:pt>
    <dgm:pt modelId="{CDA3D7B3-01BB-4970-9B38-3D8D00B2309F}" type="pres">
      <dgm:prSet presAssocID="{93C1A75C-ACC5-463C-9378-69DA75525E90}" presName="connTx" presStyleLbl="parChTrans1D2" presStyleIdx="0" presStyleCnt="4"/>
      <dgm:spPr/>
      <dgm:t>
        <a:bodyPr/>
        <a:lstStyle/>
        <a:p>
          <a:endParaRPr lang="fr-CA"/>
        </a:p>
      </dgm:t>
    </dgm:pt>
    <dgm:pt modelId="{DB6DEBE2-27F8-4901-BCD1-EF37D6E87EE8}" type="pres">
      <dgm:prSet presAssocID="{91A3B640-4C44-47CA-B570-D48D21B84F61}" presName="node" presStyleLbl="node1" presStyleIdx="0" presStyleCnt="4" custScaleX="139031" custScaleY="137090">
        <dgm:presLayoutVars>
          <dgm:bulletEnabled val="1"/>
        </dgm:presLayoutVars>
      </dgm:prSet>
      <dgm:spPr/>
      <dgm:t>
        <a:bodyPr/>
        <a:lstStyle/>
        <a:p>
          <a:endParaRPr lang="fr-CA"/>
        </a:p>
      </dgm:t>
    </dgm:pt>
    <dgm:pt modelId="{869FF3E1-4C8E-4B07-8F54-1C453BA27946}" type="pres">
      <dgm:prSet presAssocID="{F340BE2F-6475-4078-B46F-9FD3C654EB1A}" presName="Name9" presStyleLbl="parChTrans1D2" presStyleIdx="1" presStyleCnt="4"/>
      <dgm:spPr/>
      <dgm:t>
        <a:bodyPr/>
        <a:lstStyle/>
        <a:p>
          <a:endParaRPr lang="fr-CA"/>
        </a:p>
      </dgm:t>
    </dgm:pt>
    <dgm:pt modelId="{52F38A59-AA0A-4286-8BB2-F0BFE29A06DA}" type="pres">
      <dgm:prSet presAssocID="{F340BE2F-6475-4078-B46F-9FD3C654EB1A}" presName="connTx" presStyleLbl="parChTrans1D2" presStyleIdx="1" presStyleCnt="4"/>
      <dgm:spPr/>
      <dgm:t>
        <a:bodyPr/>
        <a:lstStyle/>
        <a:p>
          <a:endParaRPr lang="fr-CA"/>
        </a:p>
      </dgm:t>
    </dgm:pt>
    <dgm:pt modelId="{B66147CA-76C6-4A94-A15A-2A003C6586BD}" type="pres">
      <dgm:prSet presAssocID="{DDFBF2FD-753F-4784-AD4A-3C6190001FD4}" presName="node" presStyleLbl="node1" presStyleIdx="1" presStyleCnt="4" custScaleX="139031" custScaleY="137090">
        <dgm:presLayoutVars>
          <dgm:bulletEnabled val="1"/>
        </dgm:presLayoutVars>
      </dgm:prSet>
      <dgm:spPr/>
      <dgm:t>
        <a:bodyPr/>
        <a:lstStyle/>
        <a:p>
          <a:endParaRPr lang="fr-CA"/>
        </a:p>
      </dgm:t>
    </dgm:pt>
    <dgm:pt modelId="{833857A9-488F-40EF-8B57-D509B87172F4}" type="pres">
      <dgm:prSet presAssocID="{FFF94BAE-B406-4111-824A-4BF5C03E8B19}" presName="Name9" presStyleLbl="parChTrans1D2" presStyleIdx="2" presStyleCnt="4"/>
      <dgm:spPr/>
      <dgm:t>
        <a:bodyPr/>
        <a:lstStyle/>
        <a:p>
          <a:endParaRPr lang="fr-CA"/>
        </a:p>
      </dgm:t>
    </dgm:pt>
    <dgm:pt modelId="{43E8B6FD-6D43-4950-8A7D-21DF2F526EC6}" type="pres">
      <dgm:prSet presAssocID="{FFF94BAE-B406-4111-824A-4BF5C03E8B19}" presName="connTx" presStyleLbl="parChTrans1D2" presStyleIdx="2" presStyleCnt="4"/>
      <dgm:spPr/>
      <dgm:t>
        <a:bodyPr/>
        <a:lstStyle/>
        <a:p>
          <a:endParaRPr lang="fr-CA"/>
        </a:p>
      </dgm:t>
    </dgm:pt>
    <dgm:pt modelId="{B4C5C60C-9CF0-436D-ADC7-B2A0A318CC66}" type="pres">
      <dgm:prSet presAssocID="{CFD030C0-843B-4D7F-BCC0-4CC617320102}" presName="node" presStyleLbl="node1" presStyleIdx="2" presStyleCnt="4" custScaleX="224362" custScaleY="137090">
        <dgm:presLayoutVars>
          <dgm:bulletEnabled val="1"/>
        </dgm:presLayoutVars>
      </dgm:prSet>
      <dgm:spPr/>
      <dgm:t>
        <a:bodyPr/>
        <a:lstStyle/>
        <a:p>
          <a:endParaRPr lang="fr-CA"/>
        </a:p>
      </dgm:t>
    </dgm:pt>
    <dgm:pt modelId="{80B89F0B-2AB4-4EB4-8308-AD48812BA7CA}" type="pres">
      <dgm:prSet presAssocID="{4271E171-44AF-4C46-9A15-D0666AEB9EB0}" presName="Name9" presStyleLbl="parChTrans1D2" presStyleIdx="3" presStyleCnt="4"/>
      <dgm:spPr/>
      <dgm:t>
        <a:bodyPr/>
        <a:lstStyle/>
        <a:p>
          <a:endParaRPr lang="fr-CA"/>
        </a:p>
      </dgm:t>
    </dgm:pt>
    <dgm:pt modelId="{2D998C61-E65B-4F65-BB0A-046245C7DE67}" type="pres">
      <dgm:prSet presAssocID="{4271E171-44AF-4C46-9A15-D0666AEB9EB0}" presName="connTx" presStyleLbl="parChTrans1D2" presStyleIdx="3" presStyleCnt="4"/>
      <dgm:spPr/>
      <dgm:t>
        <a:bodyPr/>
        <a:lstStyle/>
        <a:p>
          <a:endParaRPr lang="fr-CA"/>
        </a:p>
      </dgm:t>
    </dgm:pt>
    <dgm:pt modelId="{B76701AE-0E10-4FAC-AAC4-F677139BABBF}" type="pres">
      <dgm:prSet presAssocID="{F46281C0-6F82-4DEA-9D51-C3ECFED8FD2C}" presName="node" presStyleLbl="node1" presStyleIdx="3" presStyleCnt="4" custScaleX="139031" custScaleY="137090">
        <dgm:presLayoutVars>
          <dgm:bulletEnabled val="1"/>
        </dgm:presLayoutVars>
      </dgm:prSet>
      <dgm:spPr/>
      <dgm:t>
        <a:bodyPr/>
        <a:lstStyle/>
        <a:p>
          <a:endParaRPr lang="fr-CA"/>
        </a:p>
      </dgm:t>
    </dgm:pt>
  </dgm:ptLst>
  <dgm:cxnLst>
    <dgm:cxn modelId="{E5FFF407-B0DE-450F-B971-B12DB8105D0B}" type="presOf" srcId="{3EAF71EF-8D35-405C-8DBE-98F9221B4115}" destId="{A660512D-6D77-49D2-8D3F-F99FA4DFBBDC}" srcOrd="0" destOrd="0" presId="urn:microsoft.com/office/officeart/2005/8/layout/radial1"/>
    <dgm:cxn modelId="{7CD3ED5A-6F2F-4EBE-B3F7-2C0873EDA3E9}" type="presOf" srcId="{F340BE2F-6475-4078-B46F-9FD3C654EB1A}" destId="{52F38A59-AA0A-4286-8BB2-F0BFE29A06DA}" srcOrd="1" destOrd="0" presId="urn:microsoft.com/office/officeart/2005/8/layout/radial1"/>
    <dgm:cxn modelId="{D6C334DA-AE53-4E6C-A691-44A721F48B8B}" type="presOf" srcId="{FFF94BAE-B406-4111-824A-4BF5C03E8B19}" destId="{43E8B6FD-6D43-4950-8A7D-21DF2F526EC6}" srcOrd="1" destOrd="0" presId="urn:microsoft.com/office/officeart/2005/8/layout/radial1"/>
    <dgm:cxn modelId="{E2E40AB6-156E-4E2F-BCBE-7242E5B09DF8}" srcId="{3EAF71EF-8D35-405C-8DBE-98F9221B4115}" destId="{CFD030C0-843B-4D7F-BCC0-4CC617320102}" srcOrd="2" destOrd="0" parTransId="{FFF94BAE-B406-4111-824A-4BF5C03E8B19}" sibTransId="{45E45D69-56C2-455F-A256-51D1C8A8758A}"/>
    <dgm:cxn modelId="{D9C1E884-CDE5-448A-A3EA-B0C5DD44E8C5}" type="presOf" srcId="{93C1A75C-ACC5-463C-9378-69DA75525E90}" destId="{0DC0640E-F25F-40D5-810F-2A9FF77B28BB}" srcOrd="0" destOrd="0" presId="urn:microsoft.com/office/officeart/2005/8/layout/radial1"/>
    <dgm:cxn modelId="{79A8A1F7-B467-45C6-947A-39C08AEFB377}" type="presOf" srcId="{DDFBF2FD-753F-4784-AD4A-3C6190001FD4}" destId="{B66147CA-76C6-4A94-A15A-2A003C6586BD}" srcOrd="0" destOrd="0" presId="urn:microsoft.com/office/officeart/2005/8/layout/radial1"/>
    <dgm:cxn modelId="{657EB9B8-578A-488E-9916-7C4D7D903F29}" type="presOf" srcId="{FFF94BAE-B406-4111-824A-4BF5C03E8B19}" destId="{833857A9-488F-40EF-8B57-D509B87172F4}" srcOrd="0" destOrd="0" presId="urn:microsoft.com/office/officeart/2005/8/layout/radial1"/>
    <dgm:cxn modelId="{1227283B-BFAA-4952-943C-E4A65E970217}" srcId="{5723B810-9144-4A21-9E80-F4DAF0708DAE}" destId="{3EAF71EF-8D35-405C-8DBE-98F9221B4115}" srcOrd="0" destOrd="0" parTransId="{1FFA7154-7A21-4A66-84F8-0DD0F9A05254}" sibTransId="{107B802D-4FAB-4BBA-A72A-3915EA9EBCD6}"/>
    <dgm:cxn modelId="{3CCDEFEC-63EF-40CA-91DB-A31E641AED59}" type="presOf" srcId="{CFD030C0-843B-4D7F-BCC0-4CC617320102}" destId="{B4C5C60C-9CF0-436D-ADC7-B2A0A318CC66}" srcOrd="0" destOrd="0" presId="urn:microsoft.com/office/officeart/2005/8/layout/radial1"/>
    <dgm:cxn modelId="{4D9C6069-13CA-4ECB-A014-01CA446F76AB}" type="presOf" srcId="{F340BE2F-6475-4078-B46F-9FD3C654EB1A}" destId="{869FF3E1-4C8E-4B07-8F54-1C453BA27946}" srcOrd="0" destOrd="0" presId="urn:microsoft.com/office/officeart/2005/8/layout/radial1"/>
    <dgm:cxn modelId="{8A83959D-AC20-4B15-B403-6A386AAFEE8F}" srcId="{3EAF71EF-8D35-405C-8DBE-98F9221B4115}" destId="{91A3B640-4C44-47CA-B570-D48D21B84F61}" srcOrd="0" destOrd="0" parTransId="{93C1A75C-ACC5-463C-9378-69DA75525E90}" sibTransId="{2D937CCD-9B4A-40CD-8983-B7077672D003}"/>
    <dgm:cxn modelId="{F89C2890-3DC0-4ACB-98AC-586B6A9BA54E}" type="presOf" srcId="{4271E171-44AF-4C46-9A15-D0666AEB9EB0}" destId="{2D998C61-E65B-4F65-BB0A-046245C7DE67}" srcOrd="1" destOrd="0" presId="urn:microsoft.com/office/officeart/2005/8/layout/radial1"/>
    <dgm:cxn modelId="{D70D4EA0-043A-4069-BEA0-495FF95442E0}" type="presOf" srcId="{4271E171-44AF-4C46-9A15-D0666AEB9EB0}" destId="{80B89F0B-2AB4-4EB4-8308-AD48812BA7CA}" srcOrd="0" destOrd="0" presId="urn:microsoft.com/office/officeart/2005/8/layout/radial1"/>
    <dgm:cxn modelId="{4E53499F-6528-4C83-A3A4-48E3C8BD180D}" type="presOf" srcId="{F46281C0-6F82-4DEA-9D51-C3ECFED8FD2C}" destId="{B76701AE-0E10-4FAC-AAC4-F677139BABBF}" srcOrd="0" destOrd="0" presId="urn:microsoft.com/office/officeart/2005/8/layout/radial1"/>
    <dgm:cxn modelId="{77C5769F-7B31-4461-A321-3EEFFE3E52A4}" type="presOf" srcId="{91A3B640-4C44-47CA-B570-D48D21B84F61}" destId="{DB6DEBE2-27F8-4901-BCD1-EF37D6E87EE8}" srcOrd="0" destOrd="0" presId="urn:microsoft.com/office/officeart/2005/8/layout/radial1"/>
    <dgm:cxn modelId="{D1C57B95-C1FD-446D-8564-BAA4CD207AC3}" srcId="{3EAF71EF-8D35-405C-8DBE-98F9221B4115}" destId="{F46281C0-6F82-4DEA-9D51-C3ECFED8FD2C}" srcOrd="3" destOrd="0" parTransId="{4271E171-44AF-4C46-9A15-D0666AEB9EB0}" sibTransId="{08F0B30F-3567-4EA0-9B51-594BC23BD59A}"/>
    <dgm:cxn modelId="{5361FEC5-518E-4D71-B7A7-756BC25BD5EC}" type="presOf" srcId="{5723B810-9144-4A21-9E80-F4DAF0708DAE}" destId="{7989E834-18BB-4D9E-B2E2-7EE5DDBF70E2}" srcOrd="0" destOrd="0" presId="urn:microsoft.com/office/officeart/2005/8/layout/radial1"/>
    <dgm:cxn modelId="{6969DF37-31EE-4828-81D7-DE92D402FD8A}" srcId="{3EAF71EF-8D35-405C-8DBE-98F9221B4115}" destId="{DDFBF2FD-753F-4784-AD4A-3C6190001FD4}" srcOrd="1" destOrd="0" parTransId="{F340BE2F-6475-4078-B46F-9FD3C654EB1A}" sibTransId="{DF4EC135-C387-432C-A5A1-8D55697E3255}"/>
    <dgm:cxn modelId="{419CA63E-0C42-4A41-9A06-D91BA50C9847}" type="presOf" srcId="{93C1A75C-ACC5-463C-9378-69DA75525E90}" destId="{CDA3D7B3-01BB-4970-9B38-3D8D00B2309F}" srcOrd="1" destOrd="0" presId="urn:microsoft.com/office/officeart/2005/8/layout/radial1"/>
    <dgm:cxn modelId="{5BCFB220-1DD4-42CC-A0EC-E904C377CEB3}" type="presParOf" srcId="{7989E834-18BB-4D9E-B2E2-7EE5DDBF70E2}" destId="{A660512D-6D77-49D2-8D3F-F99FA4DFBBDC}" srcOrd="0" destOrd="0" presId="urn:microsoft.com/office/officeart/2005/8/layout/radial1"/>
    <dgm:cxn modelId="{5EAEF843-BBC8-41E9-B4E4-E6D358BB4DED}" type="presParOf" srcId="{7989E834-18BB-4D9E-B2E2-7EE5DDBF70E2}" destId="{0DC0640E-F25F-40D5-810F-2A9FF77B28BB}" srcOrd="1" destOrd="0" presId="urn:microsoft.com/office/officeart/2005/8/layout/radial1"/>
    <dgm:cxn modelId="{6E8BD66F-96BA-414A-A56A-3E276DB83196}" type="presParOf" srcId="{0DC0640E-F25F-40D5-810F-2A9FF77B28BB}" destId="{CDA3D7B3-01BB-4970-9B38-3D8D00B2309F}" srcOrd="0" destOrd="0" presId="urn:microsoft.com/office/officeart/2005/8/layout/radial1"/>
    <dgm:cxn modelId="{16A86E99-8226-455A-9274-CDC8E1E8F8A8}" type="presParOf" srcId="{7989E834-18BB-4D9E-B2E2-7EE5DDBF70E2}" destId="{DB6DEBE2-27F8-4901-BCD1-EF37D6E87EE8}" srcOrd="2" destOrd="0" presId="urn:microsoft.com/office/officeart/2005/8/layout/radial1"/>
    <dgm:cxn modelId="{10B9CB50-738C-438A-911D-CCA8F8A9EE01}" type="presParOf" srcId="{7989E834-18BB-4D9E-B2E2-7EE5DDBF70E2}" destId="{869FF3E1-4C8E-4B07-8F54-1C453BA27946}" srcOrd="3" destOrd="0" presId="urn:microsoft.com/office/officeart/2005/8/layout/radial1"/>
    <dgm:cxn modelId="{A14AB53F-CC23-4F36-A352-F11D427E03B5}" type="presParOf" srcId="{869FF3E1-4C8E-4B07-8F54-1C453BA27946}" destId="{52F38A59-AA0A-4286-8BB2-F0BFE29A06DA}" srcOrd="0" destOrd="0" presId="urn:microsoft.com/office/officeart/2005/8/layout/radial1"/>
    <dgm:cxn modelId="{0638D64E-02DC-4286-A04E-9BF4494F1FE4}" type="presParOf" srcId="{7989E834-18BB-4D9E-B2E2-7EE5DDBF70E2}" destId="{B66147CA-76C6-4A94-A15A-2A003C6586BD}" srcOrd="4" destOrd="0" presId="urn:microsoft.com/office/officeart/2005/8/layout/radial1"/>
    <dgm:cxn modelId="{00C7EE37-7F34-45F7-A5F4-78193C8E7870}" type="presParOf" srcId="{7989E834-18BB-4D9E-B2E2-7EE5DDBF70E2}" destId="{833857A9-488F-40EF-8B57-D509B87172F4}" srcOrd="5" destOrd="0" presId="urn:microsoft.com/office/officeart/2005/8/layout/radial1"/>
    <dgm:cxn modelId="{61B32AD6-BC19-4930-A9D3-D0D89A8389F2}" type="presParOf" srcId="{833857A9-488F-40EF-8B57-D509B87172F4}" destId="{43E8B6FD-6D43-4950-8A7D-21DF2F526EC6}" srcOrd="0" destOrd="0" presId="urn:microsoft.com/office/officeart/2005/8/layout/radial1"/>
    <dgm:cxn modelId="{8B13B1D1-6088-4E1E-BC21-0D4FA41D0A23}" type="presParOf" srcId="{7989E834-18BB-4D9E-B2E2-7EE5DDBF70E2}" destId="{B4C5C60C-9CF0-436D-ADC7-B2A0A318CC66}" srcOrd="6" destOrd="0" presId="urn:microsoft.com/office/officeart/2005/8/layout/radial1"/>
    <dgm:cxn modelId="{9E839B15-793B-43B5-B50B-CC68DD3824EA}" type="presParOf" srcId="{7989E834-18BB-4D9E-B2E2-7EE5DDBF70E2}" destId="{80B89F0B-2AB4-4EB4-8308-AD48812BA7CA}" srcOrd="7" destOrd="0" presId="urn:microsoft.com/office/officeart/2005/8/layout/radial1"/>
    <dgm:cxn modelId="{36D79CCF-88B9-40AD-8319-2FDFA5DD6260}" type="presParOf" srcId="{80B89F0B-2AB4-4EB4-8308-AD48812BA7CA}" destId="{2D998C61-E65B-4F65-BB0A-046245C7DE67}" srcOrd="0" destOrd="0" presId="urn:microsoft.com/office/officeart/2005/8/layout/radial1"/>
    <dgm:cxn modelId="{0F1F5101-7CDB-4338-837F-C2291A614F87}" type="presParOf" srcId="{7989E834-18BB-4D9E-B2E2-7EE5DDBF70E2}" destId="{B76701AE-0E10-4FAC-AAC4-F677139BABBF}" srcOrd="8" destOrd="0" presId="urn:microsoft.com/office/officeart/2005/8/layout/radial1"/>
  </dgm:cxnLst>
  <dgm:bg>
    <a:noFill/>
  </dgm:bg>
  <dgm:whole/>
  <dgm:extLst>
    <a:ext uri="http://schemas.microsoft.com/office/drawing/2008/diagram">
      <dsp:dataModelExt xmlns:dsp="http://schemas.microsoft.com/office/drawing/2008/diagram" xmlns="" relId="rId11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7442267-F479-42A3-B723-3CF852057B83}">
      <dsp:nvSpPr>
        <dsp:cNvPr id="0" name=""/>
        <dsp:cNvSpPr/>
      </dsp:nvSpPr>
      <dsp:spPr>
        <a:xfrm>
          <a:off x="116881" y="109382"/>
          <a:ext cx="930926" cy="1200459"/>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10160" bIns="5080" numCol="1" spcCol="1270" anchor="ctr" anchorCtr="0">
          <a:noAutofit/>
        </a:bodyPr>
        <a:lstStyle/>
        <a:p>
          <a:pPr lvl="0" algn="ctr" defTabSz="355600">
            <a:lnSpc>
              <a:spcPct val="90000"/>
            </a:lnSpc>
            <a:spcBef>
              <a:spcPct val="0"/>
            </a:spcBef>
            <a:spcAft>
              <a:spcPct val="35000"/>
            </a:spcAft>
          </a:pPr>
          <a:r>
            <a:rPr lang="fr-CA" sz="800" kern="1200"/>
            <a:t>Fondation de l'UQTR</a:t>
          </a:r>
        </a:p>
      </dsp:txBody>
      <dsp:txXfrm>
        <a:off x="349612" y="109382"/>
        <a:ext cx="698195" cy="1200459"/>
      </dsp:txXfrm>
    </dsp:sp>
    <dsp:sp modelId="{FE128F7B-C6B0-4FC0-AE6B-5F4D2EF4CF56}">
      <dsp:nvSpPr>
        <dsp:cNvPr id="0" name=""/>
        <dsp:cNvSpPr/>
      </dsp:nvSpPr>
      <dsp:spPr>
        <a:xfrm>
          <a:off x="13820" y="529979"/>
          <a:ext cx="361237" cy="359266"/>
        </a:xfrm>
        <a:prstGeom prst="ellipse">
          <a:avLst/>
        </a:prstGeom>
        <a:solidFill>
          <a:srgbClr val="00703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CA" sz="700" kern="1200"/>
            <a:t>1969</a:t>
          </a:r>
        </a:p>
      </dsp:txBody>
      <dsp:txXfrm>
        <a:off x="13820" y="529979"/>
        <a:ext cx="361237" cy="359266"/>
      </dsp:txXfrm>
    </dsp:sp>
    <dsp:sp modelId="{BF27C2EB-32EC-4C28-A3B6-F1A8D400EC25}">
      <dsp:nvSpPr>
        <dsp:cNvPr id="0" name=""/>
        <dsp:cNvSpPr/>
      </dsp:nvSpPr>
      <dsp:spPr>
        <a:xfrm>
          <a:off x="1216667" y="56805"/>
          <a:ext cx="922974" cy="1305614"/>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10160" bIns="5080" numCol="1" spcCol="1270" anchor="ctr" anchorCtr="0">
          <a:noAutofit/>
        </a:bodyPr>
        <a:lstStyle/>
        <a:p>
          <a:pPr lvl="0" algn="ctr" defTabSz="355600">
            <a:lnSpc>
              <a:spcPct val="90000"/>
            </a:lnSpc>
            <a:spcBef>
              <a:spcPct val="0"/>
            </a:spcBef>
            <a:spcAft>
              <a:spcPct val="35000"/>
            </a:spcAft>
          </a:pPr>
          <a:r>
            <a:rPr lang="fr-CA" sz="800" kern="1200"/>
            <a:t>Construc-tion du pav. Ringuet</a:t>
          </a:r>
        </a:p>
      </dsp:txBody>
      <dsp:txXfrm>
        <a:off x="1447410" y="56805"/>
        <a:ext cx="692231" cy="1305614"/>
      </dsp:txXfrm>
    </dsp:sp>
    <dsp:sp modelId="{0D1199E4-E648-4467-A3D4-DD0CD6B21469}">
      <dsp:nvSpPr>
        <dsp:cNvPr id="0" name=""/>
        <dsp:cNvSpPr/>
      </dsp:nvSpPr>
      <dsp:spPr>
        <a:xfrm>
          <a:off x="1117458" y="521218"/>
          <a:ext cx="345581" cy="376788"/>
        </a:xfrm>
        <a:prstGeom prst="ellipse">
          <a:avLst/>
        </a:prstGeom>
        <a:solidFill>
          <a:srgbClr val="00703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CA" sz="700" kern="1200"/>
            <a:t>1973</a:t>
          </a:r>
        </a:p>
      </dsp:txBody>
      <dsp:txXfrm>
        <a:off x="1117458" y="521218"/>
        <a:ext cx="345581" cy="376788"/>
      </dsp:txXfrm>
    </dsp:sp>
    <dsp:sp modelId="{FFE74716-ABFE-4650-82AB-98FB8CAFDA89}">
      <dsp:nvSpPr>
        <dsp:cNvPr id="0" name=""/>
        <dsp:cNvSpPr/>
      </dsp:nvSpPr>
      <dsp:spPr>
        <a:xfrm>
          <a:off x="2305277" y="109382"/>
          <a:ext cx="929421" cy="1200459"/>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10160" bIns="5080" numCol="1" spcCol="1270" anchor="ctr" anchorCtr="0">
          <a:noAutofit/>
        </a:bodyPr>
        <a:lstStyle/>
        <a:p>
          <a:pPr lvl="0" algn="ctr" defTabSz="355600">
            <a:lnSpc>
              <a:spcPct val="90000"/>
            </a:lnSpc>
            <a:spcBef>
              <a:spcPct val="0"/>
            </a:spcBef>
            <a:spcAft>
              <a:spcPct val="35000"/>
            </a:spcAft>
          </a:pPr>
          <a:r>
            <a:rPr lang="fr-CA" sz="800" kern="1200"/>
            <a:t>Agrandi-ssement du CAPS</a:t>
          </a:r>
        </a:p>
      </dsp:txBody>
      <dsp:txXfrm>
        <a:off x="2537633" y="109382"/>
        <a:ext cx="697066" cy="1200459"/>
      </dsp:txXfrm>
    </dsp:sp>
    <dsp:sp modelId="{03F3311A-8EB4-4F9A-8152-7A298B3B856B}">
      <dsp:nvSpPr>
        <dsp:cNvPr id="0" name=""/>
        <dsp:cNvSpPr/>
      </dsp:nvSpPr>
      <dsp:spPr>
        <a:xfrm>
          <a:off x="2216253" y="538742"/>
          <a:ext cx="331659" cy="341740"/>
        </a:xfrm>
        <a:prstGeom prst="ellipse">
          <a:avLst/>
        </a:prstGeom>
        <a:solidFill>
          <a:srgbClr val="00703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CA" sz="700" kern="1200"/>
            <a:t>2004</a:t>
          </a:r>
        </a:p>
      </dsp:txBody>
      <dsp:txXfrm>
        <a:off x="2216253" y="538742"/>
        <a:ext cx="331659" cy="341740"/>
      </dsp:txXfrm>
    </dsp:sp>
    <dsp:sp modelId="{31A51010-E912-4BD0-B8BF-BC6E90D3998A}">
      <dsp:nvSpPr>
        <dsp:cNvPr id="0" name=""/>
        <dsp:cNvSpPr/>
      </dsp:nvSpPr>
      <dsp:spPr>
        <a:xfrm>
          <a:off x="3390637" y="126906"/>
          <a:ext cx="948817" cy="1165412"/>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11430" bIns="5715" numCol="1" spcCol="1270" anchor="ctr" anchorCtr="0">
          <a:noAutofit/>
        </a:bodyPr>
        <a:lstStyle/>
        <a:p>
          <a:pPr lvl="0" algn="ctr" defTabSz="400050">
            <a:lnSpc>
              <a:spcPct val="90000"/>
            </a:lnSpc>
            <a:spcBef>
              <a:spcPct val="0"/>
            </a:spcBef>
            <a:spcAft>
              <a:spcPct val="35000"/>
            </a:spcAft>
          </a:pPr>
          <a:r>
            <a:rPr lang="fr-CA" sz="900" kern="1200"/>
            <a:t>Inaugura-tion du pav. Santé</a:t>
          </a:r>
        </a:p>
      </dsp:txBody>
      <dsp:txXfrm>
        <a:off x="3627842" y="126906"/>
        <a:ext cx="711612" cy="1165412"/>
      </dsp:txXfrm>
    </dsp:sp>
    <dsp:sp modelId="{5716097A-6B0A-46E1-8C57-94A73FAB9EF7}">
      <dsp:nvSpPr>
        <dsp:cNvPr id="0" name=""/>
        <dsp:cNvSpPr/>
      </dsp:nvSpPr>
      <dsp:spPr>
        <a:xfrm>
          <a:off x="3332223" y="547091"/>
          <a:ext cx="289835" cy="325041"/>
        </a:xfrm>
        <a:prstGeom prst="ellipse">
          <a:avLst/>
        </a:prstGeom>
        <a:solidFill>
          <a:srgbClr val="00703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CA" sz="700" kern="1200"/>
            <a:t>2009</a:t>
          </a:r>
        </a:p>
      </dsp:txBody>
      <dsp:txXfrm>
        <a:off x="3332223" y="547091"/>
        <a:ext cx="289835" cy="325041"/>
      </dsp:txXfrm>
    </dsp:sp>
    <dsp:sp modelId="{5E0864C9-4F22-4A8E-8E1A-977F7761AC76}">
      <dsp:nvSpPr>
        <dsp:cNvPr id="0" name=""/>
        <dsp:cNvSpPr/>
      </dsp:nvSpPr>
      <dsp:spPr>
        <a:xfrm>
          <a:off x="4453689" y="118144"/>
          <a:ext cx="1032224" cy="1182935"/>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11430" bIns="5715" numCol="1" spcCol="1270" anchor="ctr" anchorCtr="0">
          <a:noAutofit/>
        </a:bodyPr>
        <a:lstStyle/>
        <a:p>
          <a:pPr lvl="0" algn="ctr" defTabSz="400050">
            <a:lnSpc>
              <a:spcPct val="90000"/>
            </a:lnSpc>
            <a:spcBef>
              <a:spcPct val="0"/>
            </a:spcBef>
            <a:spcAft>
              <a:spcPct val="35000"/>
            </a:spcAft>
          </a:pPr>
          <a:r>
            <a:rPr lang="fr-CA" sz="900" kern="1200"/>
            <a:t>Construc-tion campus Drum-mondville</a:t>
          </a:r>
        </a:p>
      </dsp:txBody>
      <dsp:txXfrm>
        <a:off x="4711745" y="118144"/>
        <a:ext cx="774168" cy="1182935"/>
      </dsp:txXfrm>
    </dsp:sp>
    <dsp:sp modelId="{66115E20-C827-427F-A7E1-F453C835423E}">
      <dsp:nvSpPr>
        <dsp:cNvPr id="0" name=""/>
        <dsp:cNvSpPr/>
      </dsp:nvSpPr>
      <dsp:spPr>
        <a:xfrm>
          <a:off x="4404811" y="556267"/>
          <a:ext cx="354169" cy="306689"/>
        </a:xfrm>
        <a:prstGeom prst="ellipse">
          <a:avLst/>
        </a:prstGeom>
        <a:solidFill>
          <a:srgbClr val="00703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CA" sz="700" kern="1200"/>
            <a:t>2014</a:t>
          </a:r>
        </a:p>
      </dsp:txBody>
      <dsp:txXfrm>
        <a:off x="4404811" y="556267"/>
        <a:ext cx="354169" cy="306689"/>
      </dsp:txXfrm>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660512D-6D77-49D2-8D3F-F99FA4DFBBDC}">
      <dsp:nvSpPr>
        <dsp:cNvPr id="0" name=""/>
        <dsp:cNvSpPr/>
      </dsp:nvSpPr>
      <dsp:spPr>
        <a:xfrm>
          <a:off x="1821990" y="1639963"/>
          <a:ext cx="1249329" cy="1249329"/>
        </a:xfrm>
        <a:prstGeom prst="ellipse">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fr-CA" sz="2100" kern="1200"/>
            <a:t>Mandat de L'UQ</a:t>
          </a:r>
        </a:p>
      </dsp:txBody>
      <dsp:txXfrm>
        <a:off x="1821990" y="1639963"/>
        <a:ext cx="1249329" cy="1249329"/>
      </dsp:txXfrm>
    </dsp:sp>
    <dsp:sp modelId="{0DC0640E-F25F-40D5-810F-2A9FF77B28BB}">
      <dsp:nvSpPr>
        <dsp:cNvPr id="0" name=""/>
        <dsp:cNvSpPr/>
      </dsp:nvSpPr>
      <dsp:spPr>
        <a:xfrm rot="16200000">
          <a:off x="2258083" y="1428413"/>
          <a:ext cx="377142" cy="45956"/>
        </a:xfrm>
        <a:custGeom>
          <a:avLst/>
          <a:gdLst/>
          <a:ahLst/>
          <a:cxnLst/>
          <a:rect l="0" t="0" r="0" b="0"/>
          <a:pathLst>
            <a:path>
              <a:moveTo>
                <a:pt x="0" y="22978"/>
              </a:moveTo>
              <a:lnTo>
                <a:pt x="377142" y="2297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CA" sz="500" kern="1200"/>
        </a:p>
      </dsp:txBody>
      <dsp:txXfrm rot="16200000">
        <a:off x="2437226" y="1441963"/>
        <a:ext cx="18857" cy="18857"/>
      </dsp:txXfrm>
    </dsp:sp>
    <dsp:sp modelId="{DB6DEBE2-27F8-4901-BCD1-EF37D6E87EE8}">
      <dsp:nvSpPr>
        <dsp:cNvPr id="0" name=""/>
        <dsp:cNvSpPr/>
      </dsp:nvSpPr>
      <dsp:spPr>
        <a:xfrm>
          <a:off x="1821990" y="13490"/>
          <a:ext cx="1249329" cy="1249329"/>
        </a:xfrm>
        <a:prstGeom prst="ellipse">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CA" sz="1100" kern="1200"/>
            <a:t>Favoriser l’accessibilité à la formation universitaire </a:t>
          </a:r>
        </a:p>
      </dsp:txBody>
      <dsp:txXfrm>
        <a:off x="1821990" y="13490"/>
        <a:ext cx="1249329" cy="1249329"/>
      </dsp:txXfrm>
    </dsp:sp>
    <dsp:sp modelId="{869FF3E1-4C8E-4B07-8F54-1C453BA27946}">
      <dsp:nvSpPr>
        <dsp:cNvPr id="0" name=""/>
        <dsp:cNvSpPr/>
      </dsp:nvSpPr>
      <dsp:spPr>
        <a:xfrm rot="1800000">
          <a:off x="2962366" y="2648268"/>
          <a:ext cx="377142" cy="45956"/>
        </a:xfrm>
        <a:custGeom>
          <a:avLst/>
          <a:gdLst/>
          <a:ahLst/>
          <a:cxnLst/>
          <a:rect l="0" t="0" r="0" b="0"/>
          <a:pathLst>
            <a:path>
              <a:moveTo>
                <a:pt x="0" y="22978"/>
              </a:moveTo>
              <a:lnTo>
                <a:pt x="377142" y="2297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CA" sz="500" kern="1200"/>
        </a:p>
      </dsp:txBody>
      <dsp:txXfrm rot="1800000">
        <a:off x="3141509" y="2661817"/>
        <a:ext cx="18857" cy="18857"/>
      </dsp:txXfrm>
    </dsp:sp>
    <dsp:sp modelId="{B66147CA-76C6-4A94-A15A-2A003C6586BD}">
      <dsp:nvSpPr>
        <dsp:cNvPr id="0" name=""/>
        <dsp:cNvSpPr/>
      </dsp:nvSpPr>
      <dsp:spPr>
        <a:xfrm>
          <a:off x="3230556" y="2453199"/>
          <a:ext cx="1249329" cy="1249329"/>
        </a:xfrm>
        <a:prstGeom prst="ellipse">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CA" sz="1100" kern="1200"/>
            <a:t>Contribuer par la recherche au développement scientifique du Québec</a:t>
          </a:r>
        </a:p>
      </dsp:txBody>
      <dsp:txXfrm>
        <a:off x="3230556" y="2453199"/>
        <a:ext cx="1249329" cy="1249329"/>
      </dsp:txXfrm>
    </dsp:sp>
    <dsp:sp modelId="{833857A9-488F-40EF-8B57-D509B87172F4}">
      <dsp:nvSpPr>
        <dsp:cNvPr id="0" name=""/>
        <dsp:cNvSpPr/>
      </dsp:nvSpPr>
      <dsp:spPr>
        <a:xfrm rot="9000000">
          <a:off x="1553800" y="2648268"/>
          <a:ext cx="377142" cy="45956"/>
        </a:xfrm>
        <a:custGeom>
          <a:avLst/>
          <a:gdLst/>
          <a:ahLst/>
          <a:cxnLst/>
          <a:rect l="0" t="0" r="0" b="0"/>
          <a:pathLst>
            <a:path>
              <a:moveTo>
                <a:pt x="0" y="22978"/>
              </a:moveTo>
              <a:lnTo>
                <a:pt x="377142" y="2297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CA" sz="500" kern="1200"/>
        </a:p>
      </dsp:txBody>
      <dsp:txXfrm rot="9000000">
        <a:off x="1732943" y="2661817"/>
        <a:ext cx="18857" cy="18857"/>
      </dsp:txXfrm>
    </dsp:sp>
    <dsp:sp modelId="{B4C5C60C-9CF0-436D-ADC7-B2A0A318CC66}">
      <dsp:nvSpPr>
        <dsp:cNvPr id="0" name=""/>
        <dsp:cNvSpPr/>
      </dsp:nvSpPr>
      <dsp:spPr>
        <a:xfrm>
          <a:off x="413423" y="2453199"/>
          <a:ext cx="1249329" cy="1249329"/>
        </a:xfrm>
        <a:prstGeom prst="ellipse">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CA" sz="1100" kern="1200"/>
            <a:t>Participer au développement des régions du Québec</a:t>
          </a:r>
        </a:p>
      </dsp:txBody>
      <dsp:txXfrm>
        <a:off x="413423" y="2453199"/>
        <a:ext cx="1249329" cy="1249329"/>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844A4F0-B357-42BD-B7D6-E2F01EB153F8}">
      <dsp:nvSpPr>
        <dsp:cNvPr id="0" name=""/>
        <dsp:cNvSpPr/>
      </dsp:nvSpPr>
      <dsp:spPr>
        <a:xfrm>
          <a:off x="1543069" y="1508242"/>
          <a:ext cx="817051" cy="817051"/>
        </a:xfrm>
        <a:prstGeom prst="ellipse">
          <a:avLst/>
        </a:prstGeom>
        <a:solidFill>
          <a:srgbClr val="00703C"/>
        </a:solidFill>
        <a:ln w="28575" cap="flat" cmpd="sng" algn="ctr">
          <a:solidFill>
            <a:srgbClr val="C4960C"/>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fr-CA" sz="1500" kern="1200" dirty="0">
              <a:solidFill>
                <a:schemeClr val="bg1"/>
              </a:solidFill>
            </a:rPr>
            <a:t>UQTR</a:t>
          </a:r>
        </a:p>
      </dsp:txBody>
      <dsp:txXfrm>
        <a:off x="1543069" y="1508242"/>
        <a:ext cx="817051" cy="817051"/>
      </dsp:txXfrm>
    </dsp:sp>
    <dsp:sp modelId="{2AA66F5C-9748-46A3-8836-5F580E54A71C}">
      <dsp:nvSpPr>
        <dsp:cNvPr id="0" name=""/>
        <dsp:cNvSpPr/>
      </dsp:nvSpPr>
      <dsp:spPr>
        <a:xfrm rot="5400000" flipV="1">
          <a:off x="1756502" y="1124939"/>
          <a:ext cx="390186" cy="308125"/>
        </a:xfrm>
        <a:prstGeom prst="rightArrow">
          <a:avLst>
            <a:gd name="adj1" fmla="val 60000"/>
            <a:gd name="adj2" fmla="val 50000"/>
          </a:avLst>
        </a:prstGeom>
        <a:solidFill>
          <a:srgbClr val="C4960C"/>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fr-CA" sz="1200" kern="1200"/>
        </a:p>
      </dsp:txBody>
      <dsp:txXfrm rot="5400000" flipV="1">
        <a:off x="1756502" y="1124939"/>
        <a:ext cx="390186" cy="308125"/>
      </dsp:txXfrm>
    </dsp:sp>
    <dsp:sp modelId="{6ACBCBFE-C367-4A15-AD58-3F13392681C1}">
      <dsp:nvSpPr>
        <dsp:cNvPr id="0" name=""/>
        <dsp:cNvSpPr/>
      </dsp:nvSpPr>
      <dsp:spPr>
        <a:xfrm>
          <a:off x="1246699" y="14268"/>
          <a:ext cx="1409791" cy="1021314"/>
        </a:xfrm>
        <a:prstGeom prst="ellipse">
          <a:avLst/>
        </a:prstGeom>
        <a:solidFill>
          <a:schemeClr val="lt1"/>
        </a:solidFill>
        <a:ln w="28575" cap="flat" cmpd="sng" algn="ctr">
          <a:solidFill>
            <a:srgbClr val="00703C"/>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fr-CA" sz="1400" kern="1200" dirty="0"/>
            <a:t>Professeurs</a:t>
          </a:r>
          <a:r>
            <a:rPr lang="fr-CA" sz="1600" kern="1200" dirty="0"/>
            <a:t> </a:t>
          </a:r>
        </a:p>
      </dsp:txBody>
      <dsp:txXfrm>
        <a:off x="1246699" y="14268"/>
        <a:ext cx="1409791" cy="1021314"/>
      </dsp:txXfrm>
    </dsp:sp>
    <dsp:sp modelId="{7666F24A-F5D5-417C-B95B-C25E645B0569}">
      <dsp:nvSpPr>
        <dsp:cNvPr id="0" name=""/>
        <dsp:cNvSpPr/>
      </dsp:nvSpPr>
      <dsp:spPr>
        <a:xfrm rot="18991887" flipH="1">
          <a:off x="2271899" y="1430550"/>
          <a:ext cx="285352" cy="284080"/>
        </a:xfrm>
        <a:prstGeom prst="rightArrow">
          <a:avLst>
            <a:gd name="adj1" fmla="val 60000"/>
            <a:gd name="adj2" fmla="val 50000"/>
          </a:avLst>
        </a:prstGeom>
        <a:solidFill>
          <a:srgbClr val="C4960C"/>
        </a:solidFill>
        <a:ln>
          <a:solidFill>
            <a:srgbClr val="C4960C"/>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fr-CA" sz="1200" kern="1200"/>
        </a:p>
      </dsp:txBody>
      <dsp:txXfrm rot="18991887" flipH="1">
        <a:off x="2271899" y="1430550"/>
        <a:ext cx="285352" cy="284080"/>
      </dsp:txXfrm>
    </dsp:sp>
    <dsp:sp modelId="{B70C7120-080C-4355-BFA3-880BF6AB0C43}">
      <dsp:nvSpPr>
        <dsp:cNvPr id="0" name=""/>
        <dsp:cNvSpPr/>
      </dsp:nvSpPr>
      <dsp:spPr>
        <a:xfrm>
          <a:off x="2436967" y="623358"/>
          <a:ext cx="1281320" cy="1021314"/>
        </a:xfrm>
        <a:prstGeom prst="ellipse">
          <a:avLst/>
        </a:prstGeom>
        <a:solidFill>
          <a:schemeClr val="lt1"/>
        </a:solidFill>
        <a:ln w="28575" cap="flat" cmpd="sng" algn="ctr">
          <a:solidFill>
            <a:srgbClr val="00703C"/>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fr-CA" sz="1400" kern="1200" dirty="0" smtClean="0"/>
            <a:t>Chargés </a:t>
          </a:r>
          <a:r>
            <a:rPr lang="fr-CA" sz="1400" kern="1200" dirty="0"/>
            <a:t>de cours</a:t>
          </a:r>
        </a:p>
      </dsp:txBody>
      <dsp:txXfrm>
        <a:off x="2436967" y="623358"/>
        <a:ext cx="1281320" cy="1021314"/>
      </dsp:txXfrm>
    </dsp:sp>
    <dsp:sp modelId="{BC7E9068-8969-4B57-9357-05B3D493DCFE}">
      <dsp:nvSpPr>
        <dsp:cNvPr id="0" name=""/>
        <dsp:cNvSpPr/>
      </dsp:nvSpPr>
      <dsp:spPr>
        <a:xfrm rot="771429" flipH="1" flipV="1">
          <a:off x="2380012" y="1926076"/>
          <a:ext cx="302804" cy="246062"/>
        </a:xfrm>
        <a:prstGeom prst="rightArrow">
          <a:avLst>
            <a:gd name="adj1" fmla="val 60000"/>
            <a:gd name="adj2" fmla="val 50000"/>
          </a:avLst>
        </a:prstGeom>
        <a:solidFill>
          <a:srgbClr val="C4960C"/>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fr-CA" sz="1100" kern="1200"/>
        </a:p>
      </dsp:txBody>
      <dsp:txXfrm rot="771429" flipH="1" flipV="1">
        <a:off x="2380012" y="1926076"/>
        <a:ext cx="302804" cy="246062"/>
      </dsp:txXfrm>
    </dsp:sp>
    <dsp:sp modelId="{17932F28-3293-46F0-8035-07D01B23A3B7}">
      <dsp:nvSpPr>
        <dsp:cNvPr id="0" name=""/>
        <dsp:cNvSpPr/>
      </dsp:nvSpPr>
      <dsp:spPr>
        <a:xfrm>
          <a:off x="2702177" y="1726824"/>
          <a:ext cx="1212728" cy="999314"/>
        </a:xfrm>
        <a:prstGeom prst="ellipse">
          <a:avLst/>
        </a:prstGeom>
        <a:solidFill>
          <a:schemeClr val="lt1">
            <a:hueOff val="0"/>
            <a:satOff val="0"/>
            <a:lumOff val="0"/>
            <a:alphaOff val="0"/>
          </a:schemeClr>
        </a:solidFill>
        <a:ln w="28575" cap="flat" cmpd="sng" algn="ctr">
          <a:solidFill>
            <a:srgbClr val="00703C"/>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fr-CA" sz="1400" kern="1200" dirty="0" err="1" smtClean="0"/>
            <a:t>Gouverne-ment</a:t>
          </a:r>
          <a:r>
            <a:rPr lang="fr-CA" sz="1400" kern="1200" dirty="0" smtClean="0"/>
            <a:t> </a:t>
          </a:r>
          <a:r>
            <a:rPr lang="fr-CA" sz="1400" kern="1200" dirty="0"/>
            <a:t>provincial</a:t>
          </a:r>
        </a:p>
      </dsp:txBody>
      <dsp:txXfrm>
        <a:off x="2702177" y="1726824"/>
        <a:ext cx="1212728" cy="999314"/>
      </dsp:txXfrm>
    </dsp:sp>
    <dsp:sp modelId="{954EA0D7-FB6E-49B2-9CAF-5678F307F79D}">
      <dsp:nvSpPr>
        <dsp:cNvPr id="0" name=""/>
        <dsp:cNvSpPr/>
      </dsp:nvSpPr>
      <dsp:spPr>
        <a:xfrm rot="4017588" flipH="1">
          <a:off x="2096759" y="2365923"/>
          <a:ext cx="375502" cy="304417"/>
        </a:xfrm>
        <a:prstGeom prst="rightArrow">
          <a:avLst>
            <a:gd name="adj1" fmla="val 60000"/>
            <a:gd name="adj2" fmla="val 50000"/>
          </a:avLst>
        </a:prstGeom>
        <a:solidFill>
          <a:srgbClr val="C4960C"/>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fr-CA" sz="1200" kern="1200"/>
        </a:p>
      </dsp:txBody>
      <dsp:txXfrm rot="4017588" flipH="1">
        <a:off x="2096759" y="2365923"/>
        <a:ext cx="375502" cy="304417"/>
      </dsp:txXfrm>
    </dsp:sp>
    <dsp:sp modelId="{DF3D7156-1ACD-4607-92AB-9CC7576E0DE4}">
      <dsp:nvSpPr>
        <dsp:cNvPr id="0" name=""/>
        <dsp:cNvSpPr/>
      </dsp:nvSpPr>
      <dsp:spPr>
        <a:xfrm>
          <a:off x="2098383" y="2743711"/>
          <a:ext cx="1084390" cy="835210"/>
        </a:xfrm>
        <a:prstGeom prst="ellipse">
          <a:avLst/>
        </a:prstGeom>
        <a:solidFill>
          <a:schemeClr val="lt1">
            <a:hueOff val="0"/>
            <a:satOff val="0"/>
            <a:lumOff val="0"/>
            <a:alphaOff val="0"/>
          </a:schemeClr>
        </a:solidFill>
        <a:ln w="28575" cap="flat" cmpd="sng" algn="ctr">
          <a:solidFill>
            <a:srgbClr val="00703C"/>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fr-CA" sz="1400" kern="1200" dirty="0"/>
            <a:t>Étudiants</a:t>
          </a:r>
        </a:p>
      </dsp:txBody>
      <dsp:txXfrm>
        <a:off x="2098383" y="2743711"/>
        <a:ext cx="1084390" cy="835210"/>
      </dsp:txXfrm>
    </dsp:sp>
    <dsp:sp modelId="{4BE29E38-694F-43ED-8650-F0119362EF75}">
      <dsp:nvSpPr>
        <dsp:cNvPr id="0" name=""/>
        <dsp:cNvSpPr/>
      </dsp:nvSpPr>
      <dsp:spPr>
        <a:xfrm rot="18291272">
          <a:off x="1497668" y="2339237"/>
          <a:ext cx="361842" cy="288865"/>
        </a:xfrm>
        <a:prstGeom prst="rightArrow">
          <a:avLst>
            <a:gd name="adj1" fmla="val 60000"/>
            <a:gd name="adj2" fmla="val 50000"/>
          </a:avLst>
        </a:prstGeom>
        <a:solidFill>
          <a:srgbClr val="C4960C"/>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fr-CA" sz="1200" kern="1200"/>
        </a:p>
      </dsp:txBody>
      <dsp:txXfrm rot="18291272">
        <a:off x="1497668" y="2339237"/>
        <a:ext cx="361842" cy="288865"/>
      </dsp:txXfrm>
    </dsp:sp>
    <dsp:sp modelId="{A0A6AEAC-A578-423D-8BA0-437DD62FA6E6}">
      <dsp:nvSpPr>
        <dsp:cNvPr id="0" name=""/>
        <dsp:cNvSpPr/>
      </dsp:nvSpPr>
      <dsp:spPr>
        <a:xfrm>
          <a:off x="714947" y="2660117"/>
          <a:ext cx="1265499" cy="1021314"/>
        </a:xfrm>
        <a:prstGeom prst="ellipse">
          <a:avLst/>
        </a:prstGeom>
        <a:solidFill>
          <a:schemeClr val="lt1">
            <a:hueOff val="0"/>
            <a:satOff val="0"/>
            <a:lumOff val="0"/>
            <a:alphaOff val="0"/>
          </a:schemeClr>
        </a:solidFill>
        <a:ln w="28575" cap="flat" cmpd="sng" algn="ctr">
          <a:solidFill>
            <a:srgbClr val="00703C"/>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fr-CA" sz="1400" kern="1200" dirty="0"/>
            <a:t>Universités du Québec</a:t>
          </a:r>
        </a:p>
      </dsp:txBody>
      <dsp:txXfrm>
        <a:off x="714947" y="2660117"/>
        <a:ext cx="1265499" cy="1021314"/>
      </dsp:txXfrm>
    </dsp:sp>
    <dsp:sp modelId="{D1E413BE-DC21-4BE6-8549-421E67E5BF9A}">
      <dsp:nvSpPr>
        <dsp:cNvPr id="0" name=""/>
        <dsp:cNvSpPr/>
      </dsp:nvSpPr>
      <dsp:spPr>
        <a:xfrm rot="9069369" flipH="1">
          <a:off x="1309771" y="1891603"/>
          <a:ext cx="231875" cy="290388"/>
        </a:xfrm>
        <a:prstGeom prst="rightArrow">
          <a:avLst>
            <a:gd name="adj1" fmla="val 60000"/>
            <a:gd name="adj2" fmla="val 50000"/>
          </a:avLst>
        </a:prstGeom>
        <a:solidFill>
          <a:srgbClr val="C4960C"/>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fr-CA" sz="1200" kern="1200"/>
        </a:p>
      </dsp:txBody>
      <dsp:txXfrm rot="9069369" flipH="1">
        <a:off x="1309771" y="1891603"/>
        <a:ext cx="231875" cy="290388"/>
      </dsp:txXfrm>
    </dsp:sp>
    <dsp:sp modelId="{B408BDD9-B3F0-4DA0-9FD2-C20EF1FDD042}">
      <dsp:nvSpPr>
        <dsp:cNvPr id="0" name=""/>
        <dsp:cNvSpPr/>
      </dsp:nvSpPr>
      <dsp:spPr>
        <a:xfrm>
          <a:off x="-133480" y="1689643"/>
          <a:ext cx="1456261" cy="1073676"/>
        </a:xfrm>
        <a:prstGeom prst="ellipse">
          <a:avLst/>
        </a:prstGeom>
        <a:solidFill>
          <a:schemeClr val="lt1">
            <a:hueOff val="0"/>
            <a:satOff val="0"/>
            <a:lumOff val="0"/>
            <a:alphaOff val="0"/>
          </a:schemeClr>
        </a:solidFill>
        <a:ln w="28575" cap="flat" cmpd="sng" algn="ctr">
          <a:solidFill>
            <a:srgbClr val="00703C"/>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fr-CA" sz="1400" kern="1200" dirty="0"/>
            <a:t>Communauté régionale</a:t>
          </a:r>
        </a:p>
      </dsp:txBody>
      <dsp:txXfrm>
        <a:off x="-133480" y="1689643"/>
        <a:ext cx="1456261" cy="1073676"/>
      </dsp:txXfrm>
    </dsp:sp>
    <dsp:sp modelId="{0793048D-5921-48CD-9FA3-9EA95C67F5BA}">
      <dsp:nvSpPr>
        <dsp:cNvPr id="0" name=""/>
        <dsp:cNvSpPr/>
      </dsp:nvSpPr>
      <dsp:spPr>
        <a:xfrm rot="12585747" flipH="1">
          <a:off x="1269796" y="1421252"/>
          <a:ext cx="357743" cy="273695"/>
        </a:xfrm>
        <a:prstGeom prst="rightArrow">
          <a:avLst>
            <a:gd name="adj1" fmla="val 60000"/>
            <a:gd name="adj2" fmla="val 50000"/>
          </a:avLst>
        </a:prstGeom>
        <a:solidFill>
          <a:srgbClr val="C4960C"/>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fr-CA" sz="1200" kern="1200"/>
        </a:p>
      </dsp:txBody>
      <dsp:txXfrm rot="12585747" flipH="1">
        <a:off x="1269796" y="1421252"/>
        <a:ext cx="357743" cy="273695"/>
      </dsp:txXfrm>
    </dsp:sp>
    <dsp:sp modelId="{D187C2E2-F719-4C6D-AA28-8DA42CC88E3C}">
      <dsp:nvSpPr>
        <dsp:cNvPr id="0" name=""/>
        <dsp:cNvSpPr/>
      </dsp:nvSpPr>
      <dsp:spPr>
        <a:xfrm>
          <a:off x="140896" y="576135"/>
          <a:ext cx="1293800" cy="1021314"/>
        </a:xfrm>
        <a:prstGeom prst="ellipse">
          <a:avLst/>
        </a:prstGeom>
        <a:solidFill>
          <a:schemeClr val="lt1"/>
        </a:solidFill>
        <a:ln w="28575" cap="flat" cmpd="sng" algn="ctr">
          <a:solidFill>
            <a:srgbClr val="00703C"/>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fr-CA" sz="1400" kern="1200" dirty="0"/>
            <a:t>Employés de soutien</a:t>
          </a:r>
        </a:p>
      </dsp:txBody>
      <dsp:txXfrm>
        <a:off x="140896" y="576135"/>
        <a:ext cx="1293800" cy="1021314"/>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13DDAF5-8E5B-40B8-B1E9-76AF6B5F2B73}">
      <dsp:nvSpPr>
        <dsp:cNvPr id="0" name=""/>
        <dsp:cNvSpPr/>
      </dsp:nvSpPr>
      <dsp:spPr>
        <a:xfrm>
          <a:off x="2005639" y="1036049"/>
          <a:ext cx="1469298" cy="1386510"/>
        </a:xfrm>
        <a:prstGeom prst="ellipse">
          <a:avLst/>
        </a:prstGeom>
        <a:solidFill>
          <a:srgbClr val="C4960C">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fr-CA" sz="900" b="1" kern="1200">
              <a:latin typeface="Times New Roman" pitchFamily="18" charset="0"/>
              <a:cs typeface="Times New Roman" pitchFamily="18" charset="0"/>
            </a:rPr>
            <a:t>Paradigme</a:t>
          </a:r>
        </a:p>
        <a:p>
          <a:pPr lvl="0" algn="ctr" defTabSz="400050">
            <a:lnSpc>
              <a:spcPct val="90000"/>
            </a:lnSpc>
            <a:spcBef>
              <a:spcPct val="0"/>
            </a:spcBef>
            <a:spcAft>
              <a:spcPct val="35000"/>
            </a:spcAft>
          </a:pPr>
          <a:r>
            <a:rPr lang="fr-CA" sz="900" b="0" kern="1200">
              <a:latin typeface="Times New Roman" pitchFamily="18" charset="0"/>
              <a:cs typeface="Times New Roman" pitchFamily="18" charset="0"/>
            </a:rPr>
            <a:t>-Université du Québec offrant la distribution du savoir par la formation supérieure et la recherche</a:t>
          </a:r>
        </a:p>
      </dsp:txBody>
      <dsp:txXfrm>
        <a:off x="2005639" y="1036049"/>
        <a:ext cx="1469298" cy="1386510"/>
      </dsp:txXfrm>
    </dsp:sp>
    <dsp:sp modelId="{7C2CAC07-8B07-406B-A8EE-91412177AD9C}">
      <dsp:nvSpPr>
        <dsp:cNvPr id="0" name=""/>
        <dsp:cNvSpPr/>
      </dsp:nvSpPr>
      <dsp:spPr>
        <a:xfrm>
          <a:off x="2053078" y="-127235"/>
          <a:ext cx="1374418" cy="1284148"/>
        </a:xfrm>
        <a:prstGeom prst="ellipse">
          <a:avLst/>
        </a:prstGeom>
        <a:solidFill>
          <a:srgbClr val="00703C">
            <a:alpha val="5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fr-CA" sz="700" b="1" kern="1200">
              <a:latin typeface="Times New Roman" pitchFamily="18" charset="0"/>
              <a:cs typeface="Times New Roman" pitchFamily="18" charset="0"/>
            </a:rPr>
            <a:t>Mythes</a:t>
          </a:r>
        </a:p>
        <a:p>
          <a:pPr lvl="0" algn="ctr" defTabSz="311150">
            <a:lnSpc>
              <a:spcPct val="90000"/>
            </a:lnSpc>
            <a:spcBef>
              <a:spcPct val="0"/>
            </a:spcBef>
            <a:spcAft>
              <a:spcPct val="35000"/>
            </a:spcAft>
          </a:pPr>
          <a:r>
            <a:rPr lang="fr-CA" sz="700" b="0" kern="1200">
              <a:latin typeface="Times New Roman" pitchFamily="18" charset="0"/>
              <a:cs typeface="Times New Roman" pitchFamily="18" charset="0"/>
            </a:rPr>
            <a:t>-Diplôme bas de gamme</a:t>
          </a:r>
        </a:p>
        <a:p>
          <a:pPr lvl="0" algn="ctr" defTabSz="311150">
            <a:lnSpc>
              <a:spcPct val="90000"/>
            </a:lnSpc>
            <a:spcBef>
              <a:spcPct val="0"/>
            </a:spcBef>
            <a:spcAft>
              <a:spcPct val="35000"/>
            </a:spcAft>
          </a:pPr>
          <a:r>
            <a:rPr lang="fr-CA" sz="700" b="0" kern="1200">
              <a:latin typeface="Times New Roman" pitchFamily="18" charset="0"/>
              <a:cs typeface="Times New Roman" pitchFamily="18" charset="0"/>
            </a:rPr>
            <a:t>-Accesibilité aux études supérieurs réservés à la population fortunée</a:t>
          </a:r>
        </a:p>
        <a:p>
          <a:pPr lvl="0" algn="ctr" defTabSz="311150">
            <a:lnSpc>
              <a:spcPct val="90000"/>
            </a:lnSpc>
            <a:spcBef>
              <a:spcPct val="0"/>
            </a:spcBef>
            <a:spcAft>
              <a:spcPct val="35000"/>
            </a:spcAft>
          </a:pPr>
          <a:r>
            <a:rPr lang="fr-CA" sz="700" b="0" kern="1200">
              <a:latin typeface="Times New Roman" pitchFamily="18" charset="0"/>
              <a:cs typeface="Times New Roman" pitchFamily="18" charset="0"/>
            </a:rPr>
            <a:t>-Étudiants font plus la fête qu'étudier</a:t>
          </a:r>
        </a:p>
      </dsp:txBody>
      <dsp:txXfrm>
        <a:off x="2053078" y="-127235"/>
        <a:ext cx="1374418" cy="1284148"/>
      </dsp:txXfrm>
    </dsp:sp>
    <dsp:sp modelId="{194B37ED-9DF4-4009-9FE6-05CFEAB77376}">
      <dsp:nvSpPr>
        <dsp:cNvPr id="0" name=""/>
        <dsp:cNvSpPr/>
      </dsp:nvSpPr>
      <dsp:spPr>
        <a:xfrm>
          <a:off x="3156492" y="424232"/>
          <a:ext cx="1342801" cy="1354285"/>
        </a:xfrm>
        <a:prstGeom prst="ellipse">
          <a:avLst/>
        </a:prstGeom>
        <a:solidFill>
          <a:srgbClr val="00703C">
            <a:alpha val="6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fr-CA" sz="700" b="1" kern="1200">
              <a:latin typeface="Times New Roman" pitchFamily="18" charset="0"/>
              <a:cs typeface="Times New Roman" pitchFamily="18" charset="0"/>
            </a:rPr>
            <a:t>Symboles</a:t>
          </a:r>
        </a:p>
        <a:p>
          <a:pPr lvl="0" algn="ctr" defTabSz="311150">
            <a:lnSpc>
              <a:spcPct val="90000"/>
            </a:lnSpc>
            <a:spcBef>
              <a:spcPct val="0"/>
            </a:spcBef>
            <a:spcAft>
              <a:spcPct val="35000"/>
            </a:spcAft>
          </a:pPr>
          <a:r>
            <a:rPr lang="fr-CA" sz="700" b="0" kern="1200">
              <a:latin typeface="Times New Roman" pitchFamily="18" charset="0"/>
              <a:cs typeface="Times New Roman" pitchFamily="18" charset="0"/>
            </a:rPr>
            <a:t>-Logo UQTR</a:t>
          </a:r>
        </a:p>
        <a:p>
          <a:pPr lvl="0" algn="ctr" defTabSz="311150">
            <a:lnSpc>
              <a:spcPct val="90000"/>
            </a:lnSpc>
            <a:spcBef>
              <a:spcPct val="0"/>
            </a:spcBef>
            <a:spcAft>
              <a:spcPct val="35000"/>
            </a:spcAft>
          </a:pPr>
          <a:r>
            <a:rPr lang="fr-CA" sz="700" b="0" kern="1200">
              <a:latin typeface="Times New Roman" pitchFamily="18" charset="0"/>
              <a:cs typeface="Times New Roman" pitchFamily="18" charset="0"/>
            </a:rPr>
            <a:t>-Armoiries</a:t>
          </a:r>
        </a:p>
        <a:p>
          <a:pPr lvl="0" algn="ctr" defTabSz="311150">
            <a:lnSpc>
              <a:spcPct val="90000"/>
            </a:lnSpc>
            <a:spcBef>
              <a:spcPct val="0"/>
            </a:spcBef>
            <a:spcAft>
              <a:spcPct val="35000"/>
            </a:spcAft>
          </a:pPr>
          <a:r>
            <a:rPr lang="fr-CA" sz="700" b="0" kern="1200">
              <a:latin typeface="Times New Roman" pitchFamily="18" charset="0"/>
              <a:cs typeface="Times New Roman" pitchFamily="18" charset="0"/>
            </a:rPr>
            <a:t>-Logo des Patriotes</a:t>
          </a:r>
        </a:p>
      </dsp:txBody>
      <dsp:txXfrm>
        <a:off x="3156492" y="424232"/>
        <a:ext cx="1342801" cy="1354285"/>
      </dsp:txXfrm>
    </dsp:sp>
    <dsp:sp modelId="{88713742-0F98-44FE-B740-1F0A46621649}">
      <dsp:nvSpPr>
        <dsp:cNvPr id="0" name=""/>
        <dsp:cNvSpPr/>
      </dsp:nvSpPr>
      <dsp:spPr>
        <a:xfrm>
          <a:off x="3165319" y="1676236"/>
          <a:ext cx="1387233" cy="1320615"/>
        </a:xfrm>
        <a:prstGeom prst="ellipse">
          <a:avLst/>
        </a:prstGeom>
        <a:solidFill>
          <a:srgbClr val="00703C">
            <a:alpha val="6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fr-CA" sz="700" b="1" kern="1200">
              <a:latin typeface="Times New Roman" pitchFamily="18" charset="0"/>
              <a:cs typeface="Times New Roman" pitchFamily="18" charset="0"/>
            </a:rPr>
            <a:t>Structures de pouvoir</a:t>
          </a:r>
        </a:p>
        <a:p>
          <a:pPr lvl="0" algn="ctr" defTabSz="311150">
            <a:lnSpc>
              <a:spcPct val="90000"/>
            </a:lnSpc>
            <a:spcBef>
              <a:spcPct val="0"/>
            </a:spcBef>
            <a:spcAft>
              <a:spcPct val="35000"/>
            </a:spcAft>
          </a:pPr>
          <a:r>
            <a:rPr lang="fr-CA" sz="700" b="0" kern="1200">
              <a:latin typeface="Times New Roman" pitchFamily="18" charset="0"/>
              <a:cs typeface="Times New Roman" pitchFamily="18" charset="0"/>
            </a:rPr>
            <a:t>-Gourvernement provincial</a:t>
          </a:r>
        </a:p>
        <a:p>
          <a:pPr lvl="0" algn="ctr" defTabSz="311150">
            <a:lnSpc>
              <a:spcPct val="90000"/>
            </a:lnSpc>
            <a:spcBef>
              <a:spcPct val="0"/>
            </a:spcBef>
            <a:spcAft>
              <a:spcPct val="35000"/>
            </a:spcAft>
          </a:pPr>
          <a:r>
            <a:rPr lang="fr-CA" sz="700" b="0" kern="1200">
              <a:latin typeface="Times New Roman" pitchFamily="18" charset="0"/>
              <a:cs typeface="Times New Roman" pitchFamily="18" charset="0"/>
            </a:rPr>
            <a:t>-Comité d'administration/exécutif</a:t>
          </a:r>
        </a:p>
        <a:p>
          <a:pPr lvl="0" algn="ctr" defTabSz="311150">
            <a:lnSpc>
              <a:spcPct val="90000"/>
            </a:lnSpc>
            <a:spcBef>
              <a:spcPct val="0"/>
            </a:spcBef>
            <a:spcAft>
              <a:spcPct val="35000"/>
            </a:spcAft>
          </a:pPr>
          <a:r>
            <a:rPr lang="fr-CA" sz="700" b="0" kern="1200">
              <a:latin typeface="Times New Roman" pitchFamily="18" charset="0"/>
              <a:cs typeface="Times New Roman" pitchFamily="18" charset="0"/>
            </a:rPr>
            <a:t>-Rectorat</a:t>
          </a:r>
        </a:p>
        <a:p>
          <a:pPr lvl="0" algn="ctr" defTabSz="311150">
            <a:lnSpc>
              <a:spcPct val="90000"/>
            </a:lnSpc>
            <a:spcBef>
              <a:spcPct val="0"/>
            </a:spcBef>
            <a:spcAft>
              <a:spcPct val="35000"/>
            </a:spcAft>
          </a:pPr>
          <a:endParaRPr lang="fr-CA" sz="700" b="0" kern="1200">
            <a:latin typeface="Times New Roman" pitchFamily="18" charset="0"/>
            <a:cs typeface="Times New Roman" pitchFamily="18" charset="0"/>
          </a:endParaRPr>
        </a:p>
      </dsp:txBody>
      <dsp:txXfrm>
        <a:off x="3165319" y="1676236"/>
        <a:ext cx="1387233" cy="1320615"/>
      </dsp:txXfrm>
    </dsp:sp>
    <dsp:sp modelId="{8FD954B9-242D-43A1-B4A3-FDA75C708F13}">
      <dsp:nvSpPr>
        <dsp:cNvPr id="0" name=""/>
        <dsp:cNvSpPr/>
      </dsp:nvSpPr>
      <dsp:spPr>
        <a:xfrm>
          <a:off x="2022040" y="2262994"/>
          <a:ext cx="1436495" cy="1320181"/>
        </a:xfrm>
        <a:prstGeom prst="ellipse">
          <a:avLst/>
        </a:prstGeom>
        <a:solidFill>
          <a:srgbClr val="00703C">
            <a:alpha val="7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fr-CA" sz="700" b="1" kern="1200">
              <a:latin typeface="Times New Roman" pitchFamily="18" charset="0"/>
              <a:cs typeface="Times New Roman" pitchFamily="18" charset="0"/>
            </a:rPr>
            <a:t>Structures organisationnelles</a:t>
          </a:r>
        </a:p>
        <a:p>
          <a:pPr lvl="0" algn="ctr" defTabSz="311150">
            <a:lnSpc>
              <a:spcPct val="90000"/>
            </a:lnSpc>
            <a:spcBef>
              <a:spcPct val="0"/>
            </a:spcBef>
            <a:spcAft>
              <a:spcPct val="35000"/>
            </a:spcAft>
          </a:pPr>
          <a:r>
            <a:rPr lang="fr-CA" sz="700" b="0" kern="1200">
              <a:latin typeface="Times New Roman" pitchFamily="18" charset="0"/>
              <a:cs typeface="Times New Roman" pitchFamily="18" charset="0"/>
            </a:rPr>
            <a:t>-Décentralisé</a:t>
          </a:r>
        </a:p>
        <a:p>
          <a:pPr lvl="0" algn="ctr" defTabSz="311150">
            <a:lnSpc>
              <a:spcPct val="90000"/>
            </a:lnSpc>
            <a:spcBef>
              <a:spcPct val="0"/>
            </a:spcBef>
            <a:spcAft>
              <a:spcPct val="35000"/>
            </a:spcAft>
          </a:pPr>
          <a:r>
            <a:rPr lang="fr-CA" sz="700" b="0" kern="1200">
              <a:latin typeface="Times New Roman" pitchFamily="18" charset="0"/>
              <a:cs typeface="Times New Roman" pitchFamily="18" charset="0"/>
            </a:rPr>
            <a:t>-Commission des études</a:t>
          </a:r>
        </a:p>
      </dsp:txBody>
      <dsp:txXfrm>
        <a:off x="2022040" y="2262994"/>
        <a:ext cx="1436495" cy="1320181"/>
      </dsp:txXfrm>
    </dsp:sp>
    <dsp:sp modelId="{B65B66C9-A67B-46C6-91C5-0E1203720295}">
      <dsp:nvSpPr>
        <dsp:cNvPr id="0" name=""/>
        <dsp:cNvSpPr/>
      </dsp:nvSpPr>
      <dsp:spPr>
        <a:xfrm>
          <a:off x="1016621" y="1676234"/>
          <a:ext cx="1375585" cy="1320615"/>
        </a:xfrm>
        <a:prstGeom prst="ellipse">
          <a:avLst/>
        </a:prstGeom>
        <a:solidFill>
          <a:srgbClr val="00703C">
            <a:alpha val="7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fr-CA" sz="700" b="1" kern="1200">
              <a:latin typeface="Times New Roman" pitchFamily="18" charset="0"/>
              <a:cs typeface="Times New Roman" pitchFamily="18" charset="0"/>
            </a:rPr>
            <a:t>Systèmes de contrôle</a:t>
          </a:r>
        </a:p>
        <a:p>
          <a:pPr lvl="0" algn="ctr" defTabSz="311150">
            <a:lnSpc>
              <a:spcPct val="90000"/>
            </a:lnSpc>
            <a:spcBef>
              <a:spcPct val="0"/>
            </a:spcBef>
            <a:spcAft>
              <a:spcPct val="35000"/>
            </a:spcAft>
          </a:pPr>
          <a:r>
            <a:rPr lang="fr-CA" sz="700" b="0" kern="1200">
              <a:latin typeface="Times New Roman" pitchFamily="18" charset="0"/>
              <a:cs typeface="Times New Roman" pitchFamily="18" charset="0"/>
            </a:rPr>
            <a:t>-Règlements spécifiques aux étudiants</a:t>
          </a:r>
        </a:p>
        <a:p>
          <a:pPr lvl="0" algn="ctr" defTabSz="311150">
            <a:lnSpc>
              <a:spcPct val="90000"/>
            </a:lnSpc>
            <a:spcBef>
              <a:spcPct val="0"/>
            </a:spcBef>
            <a:spcAft>
              <a:spcPct val="35000"/>
            </a:spcAft>
          </a:pPr>
          <a:r>
            <a:rPr lang="fr-CA" sz="700" b="0" kern="1200">
              <a:latin typeface="Times New Roman" pitchFamily="18" charset="0"/>
              <a:cs typeface="Times New Roman" pitchFamily="18" charset="0"/>
            </a:rPr>
            <a:t>-Règlement pour la bibliothèque, les salles publiques et le campus</a:t>
          </a:r>
        </a:p>
      </dsp:txBody>
      <dsp:txXfrm>
        <a:off x="1016621" y="1676234"/>
        <a:ext cx="1375585" cy="1320615"/>
      </dsp:txXfrm>
    </dsp:sp>
    <dsp:sp modelId="{47FB9E83-39E1-4D6D-8F7A-12E0A51A15C2}">
      <dsp:nvSpPr>
        <dsp:cNvPr id="0" name=""/>
        <dsp:cNvSpPr/>
      </dsp:nvSpPr>
      <dsp:spPr>
        <a:xfrm>
          <a:off x="967662" y="417236"/>
          <a:ext cx="1370041" cy="1368276"/>
        </a:xfrm>
        <a:prstGeom prst="ellipse">
          <a:avLst/>
        </a:prstGeom>
        <a:solidFill>
          <a:srgbClr val="00703C">
            <a:alpha val="8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fr-CA" sz="700" b="1" kern="1200">
              <a:latin typeface="Times New Roman" pitchFamily="18" charset="0"/>
              <a:cs typeface="Times New Roman" pitchFamily="18" charset="0"/>
            </a:rPr>
            <a:t>Rites et routines</a:t>
          </a:r>
        </a:p>
        <a:p>
          <a:pPr lvl="0" algn="ctr" defTabSz="311150">
            <a:lnSpc>
              <a:spcPct val="90000"/>
            </a:lnSpc>
            <a:spcBef>
              <a:spcPct val="0"/>
            </a:spcBef>
            <a:spcAft>
              <a:spcPct val="35000"/>
            </a:spcAft>
          </a:pPr>
          <a:r>
            <a:rPr lang="fr-CA" sz="700" b="0" kern="1200">
              <a:latin typeface="Times New Roman" pitchFamily="18" charset="0"/>
              <a:cs typeface="Times New Roman" pitchFamily="18" charset="0"/>
            </a:rPr>
            <a:t>-Diplomation</a:t>
          </a:r>
        </a:p>
        <a:p>
          <a:pPr lvl="0" algn="ctr" defTabSz="311150">
            <a:lnSpc>
              <a:spcPct val="90000"/>
            </a:lnSpc>
            <a:spcBef>
              <a:spcPct val="0"/>
            </a:spcBef>
            <a:spcAft>
              <a:spcPct val="35000"/>
            </a:spcAft>
          </a:pPr>
          <a:r>
            <a:rPr lang="fr-CA" sz="700" b="0" kern="1200">
              <a:latin typeface="Times New Roman" pitchFamily="18" charset="0"/>
              <a:cs typeface="Times New Roman" pitchFamily="18" charset="0"/>
            </a:rPr>
            <a:t>-Bal des finissants</a:t>
          </a:r>
        </a:p>
        <a:p>
          <a:pPr lvl="0" algn="ctr" defTabSz="311150">
            <a:lnSpc>
              <a:spcPct val="90000"/>
            </a:lnSpc>
            <a:spcBef>
              <a:spcPct val="0"/>
            </a:spcBef>
            <a:spcAft>
              <a:spcPct val="35000"/>
            </a:spcAft>
          </a:pPr>
          <a:r>
            <a:rPr lang="fr-CA" sz="700" b="0" kern="1200">
              <a:latin typeface="Times New Roman" pitchFamily="18" charset="0"/>
              <a:cs typeface="Times New Roman" pitchFamily="18" charset="0"/>
            </a:rPr>
            <a:t>-Initiations</a:t>
          </a:r>
        </a:p>
        <a:p>
          <a:pPr lvl="0" algn="ctr" defTabSz="311150">
            <a:lnSpc>
              <a:spcPct val="90000"/>
            </a:lnSpc>
            <a:spcBef>
              <a:spcPct val="0"/>
            </a:spcBef>
            <a:spcAft>
              <a:spcPct val="35000"/>
            </a:spcAft>
          </a:pPr>
          <a:r>
            <a:rPr lang="fr-CA" sz="700" b="0" kern="1200">
              <a:latin typeface="Times New Roman" pitchFamily="18" charset="0"/>
              <a:cs typeface="Times New Roman" pitchFamily="18" charset="0"/>
            </a:rPr>
            <a:t>-Sessions </a:t>
          </a:r>
        </a:p>
        <a:p>
          <a:pPr lvl="0" algn="ctr" defTabSz="311150">
            <a:lnSpc>
              <a:spcPct val="90000"/>
            </a:lnSpc>
            <a:spcBef>
              <a:spcPct val="0"/>
            </a:spcBef>
            <a:spcAft>
              <a:spcPct val="35000"/>
            </a:spcAft>
          </a:pPr>
          <a:r>
            <a:rPr lang="fr-CA" sz="700" b="0" kern="1200">
              <a:latin typeface="Times New Roman" pitchFamily="18" charset="0"/>
              <a:cs typeface="Times New Roman" pitchFamily="18" charset="0"/>
            </a:rPr>
            <a:t>-Portail électronique</a:t>
          </a:r>
        </a:p>
      </dsp:txBody>
      <dsp:txXfrm>
        <a:off x="967662" y="417236"/>
        <a:ext cx="1370041" cy="1368276"/>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404406A-96A5-4937-B0E8-C9F1DA14F685}">
      <dsp:nvSpPr>
        <dsp:cNvPr id="0" name=""/>
        <dsp:cNvSpPr/>
      </dsp:nvSpPr>
      <dsp:spPr>
        <a:xfrm>
          <a:off x="4612678" y="1158478"/>
          <a:ext cx="92285" cy="2406137"/>
        </a:xfrm>
        <a:custGeom>
          <a:avLst/>
          <a:gdLst/>
          <a:ahLst/>
          <a:cxnLst/>
          <a:rect l="0" t="0" r="0" b="0"/>
          <a:pathLst>
            <a:path>
              <a:moveTo>
                <a:pt x="0" y="0"/>
              </a:moveTo>
              <a:lnTo>
                <a:pt x="0" y="2406137"/>
              </a:lnTo>
              <a:lnTo>
                <a:pt x="92285" y="2406137"/>
              </a:lnTo>
            </a:path>
          </a:pathLst>
        </a:custGeom>
        <a:noFill/>
        <a:ln w="12700" cap="flat" cmpd="sng" algn="ctr">
          <a:solidFill>
            <a:schemeClr val="bg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1F2CE9D4-320B-4306-8C04-5D70E05E1121}">
      <dsp:nvSpPr>
        <dsp:cNvPr id="0" name=""/>
        <dsp:cNvSpPr/>
      </dsp:nvSpPr>
      <dsp:spPr>
        <a:xfrm>
          <a:off x="4612678" y="1158478"/>
          <a:ext cx="92285" cy="1742800"/>
        </a:xfrm>
        <a:custGeom>
          <a:avLst/>
          <a:gdLst/>
          <a:ahLst/>
          <a:cxnLst/>
          <a:rect l="0" t="0" r="0" b="0"/>
          <a:pathLst>
            <a:path>
              <a:moveTo>
                <a:pt x="0" y="0"/>
              </a:moveTo>
              <a:lnTo>
                <a:pt x="0" y="1742800"/>
              </a:lnTo>
              <a:lnTo>
                <a:pt x="92285" y="1742800"/>
              </a:lnTo>
            </a:path>
          </a:pathLst>
        </a:custGeom>
        <a:noFill/>
        <a:ln w="12700" cap="flat" cmpd="sng" algn="ctr">
          <a:solidFill>
            <a:schemeClr val="bg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92AAF338-71BD-4F9A-97A0-5EB05BBF3E79}">
      <dsp:nvSpPr>
        <dsp:cNvPr id="0" name=""/>
        <dsp:cNvSpPr/>
      </dsp:nvSpPr>
      <dsp:spPr>
        <a:xfrm>
          <a:off x="4612678" y="1158478"/>
          <a:ext cx="92285" cy="1079463"/>
        </a:xfrm>
        <a:custGeom>
          <a:avLst/>
          <a:gdLst/>
          <a:ahLst/>
          <a:cxnLst/>
          <a:rect l="0" t="0" r="0" b="0"/>
          <a:pathLst>
            <a:path>
              <a:moveTo>
                <a:pt x="0" y="0"/>
              </a:moveTo>
              <a:lnTo>
                <a:pt x="0" y="1079463"/>
              </a:lnTo>
              <a:lnTo>
                <a:pt x="92285" y="1079463"/>
              </a:lnTo>
            </a:path>
          </a:pathLst>
        </a:custGeom>
        <a:noFill/>
        <a:ln w="12700" cap="flat" cmpd="sng" algn="ctr">
          <a:solidFill>
            <a:schemeClr val="bg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7B2732E5-2484-41E9-9CC7-9E72CB825B57}">
      <dsp:nvSpPr>
        <dsp:cNvPr id="0" name=""/>
        <dsp:cNvSpPr/>
      </dsp:nvSpPr>
      <dsp:spPr>
        <a:xfrm>
          <a:off x="4612678" y="1158478"/>
          <a:ext cx="92285" cy="416126"/>
        </a:xfrm>
        <a:custGeom>
          <a:avLst/>
          <a:gdLst/>
          <a:ahLst/>
          <a:cxnLst/>
          <a:rect l="0" t="0" r="0" b="0"/>
          <a:pathLst>
            <a:path>
              <a:moveTo>
                <a:pt x="0" y="0"/>
              </a:moveTo>
              <a:lnTo>
                <a:pt x="0" y="416126"/>
              </a:lnTo>
              <a:lnTo>
                <a:pt x="92285" y="416126"/>
              </a:lnTo>
            </a:path>
          </a:pathLst>
        </a:custGeom>
        <a:noFill/>
        <a:ln w="12700" cap="flat" cmpd="sng" algn="ctr">
          <a:solidFill>
            <a:schemeClr val="bg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B8C05286-CC51-435C-99F7-BDF20AEBDA72}">
      <dsp:nvSpPr>
        <dsp:cNvPr id="0" name=""/>
        <dsp:cNvSpPr/>
      </dsp:nvSpPr>
      <dsp:spPr>
        <a:xfrm>
          <a:off x="3284867" y="495306"/>
          <a:ext cx="300523" cy="416126"/>
        </a:xfrm>
        <a:custGeom>
          <a:avLst/>
          <a:gdLst/>
          <a:ahLst/>
          <a:cxnLst/>
          <a:rect l="0" t="0" r="0" b="0"/>
          <a:pathLst>
            <a:path>
              <a:moveTo>
                <a:pt x="0" y="0"/>
              </a:moveTo>
              <a:lnTo>
                <a:pt x="0" y="416126"/>
              </a:lnTo>
              <a:lnTo>
                <a:pt x="300523" y="416126"/>
              </a:lnTo>
            </a:path>
          </a:pathLst>
        </a:custGeom>
        <a:noFill/>
        <a:ln w="12700" cap="flat" cmpd="sng" algn="ctr">
          <a:solidFill>
            <a:schemeClr val="bg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F275833F-18CD-4A8D-9326-B9F8C7BEE354}">
      <dsp:nvSpPr>
        <dsp:cNvPr id="0" name=""/>
        <dsp:cNvSpPr/>
      </dsp:nvSpPr>
      <dsp:spPr>
        <a:xfrm>
          <a:off x="2035568" y="1158478"/>
          <a:ext cx="91440" cy="1078574"/>
        </a:xfrm>
        <a:custGeom>
          <a:avLst/>
          <a:gdLst/>
          <a:ahLst/>
          <a:cxnLst/>
          <a:rect l="0" t="0" r="0" b="0"/>
          <a:pathLst>
            <a:path>
              <a:moveTo>
                <a:pt x="45720" y="0"/>
              </a:moveTo>
              <a:lnTo>
                <a:pt x="45720" y="1078574"/>
              </a:lnTo>
              <a:lnTo>
                <a:pt x="130260" y="1078574"/>
              </a:lnTo>
            </a:path>
          </a:pathLst>
        </a:custGeom>
        <a:noFill/>
        <a:ln w="12700" cap="flat" cmpd="sng" algn="ctr">
          <a:solidFill>
            <a:schemeClr val="bg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DA99C964-4502-4373-B273-414A3FDDA8DB}">
      <dsp:nvSpPr>
        <dsp:cNvPr id="0" name=""/>
        <dsp:cNvSpPr/>
      </dsp:nvSpPr>
      <dsp:spPr>
        <a:xfrm>
          <a:off x="1951028" y="1158478"/>
          <a:ext cx="91440" cy="1078574"/>
        </a:xfrm>
        <a:custGeom>
          <a:avLst/>
          <a:gdLst/>
          <a:ahLst/>
          <a:cxnLst/>
          <a:rect l="0" t="0" r="0" b="0"/>
          <a:pathLst>
            <a:path>
              <a:moveTo>
                <a:pt x="130260" y="0"/>
              </a:moveTo>
              <a:lnTo>
                <a:pt x="130260" y="1078574"/>
              </a:lnTo>
              <a:lnTo>
                <a:pt x="45720" y="1078574"/>
              </a:lnTo>
            </a:path>
          </a:pathLst>
        </a:custGeom>
        <a:noFill/>
        <a:ln w="12700" cap="flat" cmpd="sng" algn="ctr">
          <a:solidFill>
            <a:schemeClr val="bg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9599EAAB-357E-48C8-823C-37B6D6F69C31}">
      <dsp:nvSpPr>
        <dsp:cNvPr id="0" name=""/>
        <dsp:cNvSpPr/>
      </dsp:nvSpPr>
      <dsp:spPr>
        <a:xfrm>
          <a:off x="2035568" y="1158478"/>
          <a:ext cx="91440" cy="415884"/>
        </a:xfrm>
        <a:custGeom>
          <a:avLst/>
          <a:gdLst/>
          <a:ahLst/>
          <a:cxnLst/>
          <a:rect l="0" t="0" r="0" b="0"/>
          <a:pathLst>
            <a:path>
              <a:moveTo>
                <a:pt x="45720" y="0"/>
              </a:moveTo>
              <a:lnTo>
                <a:pt x="45720" y="415884"/>
              </a:lnTo>
              <a:lnTo>
                <a:pt x="130260" y="415884"/>
              </a:lnTo>
            </a:path>
          </a:pathLst>
        </a:custGeom>
        <a:noFill/>
        <a:ln w="12700" cap="flat" cmpd="sng" algn="ctr">
          <a:solidFill>
            <a:schemeClr val="bg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368E5BBB-1740-4EE4-9619-9A2DEB463279}">
      <dsp:nvSpPr>
        <dsp:cNvPr id="0" name=""/>
        <dsp:cNvSpPr/>
      </dsp:nvSpPr>
      <dsp:spPr>
        <a:xfrm>
          <a:off x="1951028" y="1158478"/>
          <a:ext cx="91440" cy="415884"/>
        </a:xfrm>
        <a:custGeom>
          <a:avLst/>
          <a:gdLst/>
          <a:ahLst/>
          <a:cxnLst/>
          <a:rect l="0" t="0" r="0" b="0"/>
          <a:pathLst>
            <a:path>
              <a:moveTo>
                <a:pt x="130260" y="0"/>
              </a:moveTo>
              <a:lnTo>
                <a:pt x="130260" y="415884"/>
              </a:lnTo>
              <a:lnTo>
                <a:pt x="45720" y="415884"/>
              </a:lnTo>
            </a:path>
          </a:pathLst>
        </a:custGeom>
        <a:noFill/>
        <a:ln w="12700" cap="flat" cmpd="sng" algn="ctr">
          <a:solidFill>
            <a:schemeClr val="bg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C4179974-56D9-4C7F-947F-5BB845358754}">
      <dsp:nvSpPr>
        <dsp:cNvPr id="0" name=""/>
        <dsp:cNvSpPr/>
      </dsp:nvSpPr>
      <dsp:spPr>
        <a:xfrm>
          <a:off x="2647749" y="495306"/>
          <a:ext cx="637118" cy="416126"/>
        </a:xfrm>
        <a:custGeom>
          <a:avLst/>
          <a:gdLst/>
          <a:ahLst/>
          <a:cxnLst/>
          <a:rect l="0" t="0" r="0" b="0"/>
          <a:pathLst>
            <a:path>
              <a:moveTo>
                <a:pt x="637118" y="0"/>
              </a:moveTo>
              <a:lnTo>
                <a:pt x="637118" y="416126"/>
              </a:lnTo>
              <a:lnTo>
                <a:pt x="0" y="416126"/>
              </a:lnTo>
            </a:path>
          </a:pathLst>
        </a:custGeom>
        <a:noFill/>
        <a:ln w="12700" cap="flat" cmpd="sng" algn="ctr">
          <a:solidFill>
            <a:schemeClr val="bg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F0B6F898-C2CE-4086-9801-56C045DA96FA}">
      <dsp:nvSpPr>
        <dsp:cNvPr id="0" name=""/>
        <dsp:cNvSpPr/>
      </dsp:nvSpPr>
      <dsp:spPr>
        <a:xfrm>
          <a:off x="2767154" y="1214"/>
          <a:ext cx="1035427" cy="494091"/>
        </a:xfrm>
        <a:prstGeom prst="rect">
          <a:avLst/>
        </a:prstGeom>
        <a:solidFill>
          <a:srgbClr val="00703C"/>
        </a:solidFill>
        <a:ln w="12700" cap="flat" cmpd="sng" algn="ctr">
          <a:solidFill>
            <a:schemeClr val="bg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fr-CA" sz="1600" b="1" kern="1200"/>
            <a:t>UQTR</a:t>
          </a:r>
        </a:p>
      </dsp:txBody>
      <dsp:txXfrm>
        <a:off x="2767154" y="1214"/>
        <a:ext cx="1035427" cy="494091"/>
      </dsp:txXfrm>
    </dsp:sp>
    <dsp:sp modelId="{F02CC53F-F191-4DD6-865A-DD513A7BF9CF}">
      <dsp:nvSpPr>
        <dsp:cNvPr id="0" name=""/>
        <dsp:cNvSpPr/>
      </dsp:nvSpPr>
      <dsp:spPr>
        <a:xfrm>
          <a:off x="1514828" y="664386"/>
          <a:ext cx="1132920" cy="494091"/>
        </a:xfrm>
        <a:prstGeom prst="rect">
          <a:avLst/>
        </a:prstGeom>
        <a:solidFill>
          <a:srgbClr val="00703C"/>
        </a:solidFill>
        <a:ln w="12700" cap="flat" cmpd="sng" algn="ctr">
          <a:solidFill>
            <a:schemeClr val="bg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CA" sz="1400" b="1" kern="1200">
              <a:solidFill>
                <a:srgbClr val="C4960C"/>
              </a:solidFill>
            </a:rPr>
            <a:t>Éducation universitaire</a:t>
          </a:r>
        </a:p>
      </dsp:txBody>
      <dsp:txXfrm>
        <a:off x="1514828" y="664386"/>
        <a:ext cx="1132920" cy="494091"/>
      </dsp:txXfrm>
    </dsp:sp>
    <dsp:sp modelId="{DAA8AC4B-80BF-442C-B67F-3344680B3838}">
      <dsp:nvSpPr>
        <dsp:cNvPr id="0" name=""/>
        <dsp:cNvSpPr/>
      </dsp:nvSpPr>
      <dsp:spPr>
        <a:xfrm>
          <a:off x="962332" y="1327558"/>
          <a:ext cx="1034416" cy="493609"/>
        </a:xfrm>
        <a:prstGeom prst="rect">
          <a:avLst/>
        </a:prstGeom>
        <a:solidFill>
          <a:srgbClr val="00703C"/>
        </a:solidFill>
        <a:ln w="12700" cap="flat" cmpd="sng" algn="ctr">
          <a:solidFill>
            <a:schemeClr val="bg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CA" sz="1100" kern="1200"/>
            <a:t>Étudiants en campus visant une diplômation</a:t>
          </a:r>
        </a:p>
      </dsp:txBody>
      <dsp:txXfrm>
        <a:off x="962332" y="1327558"/>
        <a:ext cx="1034416" cy="493609"/>
      </dsp:txXfrm>
    </dsp:sp>
    <dsp:sp modelId="{0781F767-F4E6-4B73-963A-4EC747690291}">
      <dsp:nvSpPr>
        <dsp:cNvPr id="0" name=""/>
        <dsp:cNvSpPr/>
      </dsp:nvSpPr>
      <dsp:spPr>
        <a:xfrm>
          <a:off x="2165828" y="1327558"/>
          <a:ext cx="1034416" cy="493609"/>
        </a:xfrm>
        <a:prstGeom prst="rect">
          <a:avLst/>
        </a:prstGeom>
        <a:solidFill>
          <a:srgbClr val="00703C"/>
        </a:solidFill>
        <a:ln w="12700" cap="flat" cmpd="sng" algn="ctr">
          <a:solidFill>
            <a:schemeClr val="bg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CA" sz="1100" kern="1200"/>
            <a:t>Étudiants hors campus visant une diplômation</a:t>
          </a:r>
        </a:p>
      </dsp:txBody>
      <dsp:txXfrm>
        <a:off x="2165828" y="1327558"/>
        <a:ext cx="1034416" cy="493609"/>
      </dsp:txXfrm>
    </dsp:sp>
    <dsp:sp modelId="{74BCC1D9-FE4D-42BA-8DA3-C04AAFE22657}">
      <dsp:nvSpPr>
        <dsp:cNvPr id="0" name=""/>
        <dsp:cNvSpPr/>
      </dsp:nvSpPr>
      <dsp:spPr>
        <a:xfrm>
          <a:off x="962332" y="1990247"/>
          <a:ext cx="1034416" cy="493609"/>
        </a:xfrm>
        <a:prstGeom prst="rect">
          <a:avLst/>
        </a:prstGeom>
        <a:solidFill>
          <a:srgbClr val="00703C"/>
        </a:solidFill>
        <a:ln w="12700" cap="flat" cmpd="sng" algn="ctr">
          <a:solidFill>
            <a:schemeClr val="bg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CA" sz="1100" kern="1200"/>
            <a:t>Université du troisième âge</a:t>
          </a:r>
        </a:p>
      </dsp:txBody>
      <dsp:txXfrm>
        <a:off x="962332" y="1990247"/>
        <a:ext cx="1034416" cy="493609"/>
      </dsp:txXfrm>
    </dsp:sp>
    <dsp:sp modelId="{3E7FBC34-A93B-47BD-B407-4DFFBBC80502}">
      <dsp:nvSpPr>
        <dsp:cNvPr id="0" name=""/>
        <dsp:cNvSpPr/>
      </dsp:nvSpPr>
      <dsp:spPr>
        <a:xfrm>
          <a:off x="2165828" y="1990247"/>
          <a:ext cx="1034416" cy="493609"/>
        </a:xfrm>
        <a:prstGeom prst="rect">
          <a:avLst/>
        </a:prstGeom>
        <a:solidFill>
          <a:srgbClr val="00703C"/>
        </a:solidFill>
        <a:ln w="12700" cap="flat" cmpd="sng" algn="ctr">
          <a:solidFill>
            <a:schemeClr val="bg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CA" sz="1100" kern="1200"/>
            <a:t>Cours en ligne ouverts aux masses (MOOC)</a:t>
          </a:r>
        </a:p>
      </dsp:txBody>
      <dsp:txXfrm>
        <a:off x="2165828" y="1990247"/>
        <a:ext cx="1034416" cy="493609"/>
      </dsp:txXfrm>
    </dsp:sp>
    <dsp:sp modelId="{BFFD506F-71FA-47C1-B598-06D26B66DEA6}">
      <dsp:nvSpPr>
        <dsp:cNvPr id="0" name=""/>
        <dsp:cNvSpPr/>
      </dsp:nvSpPr>
      <dsp:spPr>
        <a:xfrm>
          <a:off x="3585391" y="664386"/>
          <a:ext cx="2054574" cy="494091"/>
        </a:xfrm>
        <a:prstGeom prst="rect">
          <a:avLst/>
        </a:prstGeom>
        <a:solidFill>
          <a:srgbClr val="00703C"/>
        </a:solidFill>
        <a:ln w="12700" cap="flat" cmpd="sng" algn="ctr">
          <a:solidFill>
            <a:schemeClr val="bg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CA" sz="1400" b="1" kern="1200">
              <a:solidFill>
                <a:srgbClr val="C4960C"/>
              </a:solidFill>
            </a:rPr>
            <a:t>Services à la communauté</a:t>
          </a:r>
          <a:br>
            <a:rPr lang="fr-CA" sz="1400" b="1" kern="1200">
              <a:solidFill>
                <a:srgbClr val="C4960C"/>
              </a:solidFill>
            </a:rPr>
          </a:br>
          <a:r>
            <a:rPr lang="fr-CA" sz="1400" b="1" kern="1200">
              <a:solidFill>
                <a:srgbClr val="C4960C"/>
              </a:solidFill>
            </a:rPr>
            <a:t>par domaines</a:t>
          </a:r>
        </a:p>
      </dsp:txBody>
      <dsp:txXfrm>
        <a:off x="3585391" y="664386"/>
        <a:ext cx="2054574" cy="494091"/>
      </dsp:txXfrm>
    </dsp:sp>
    <dsp:sp modelId="{3D014A7C-9AA3-4045-8BB8-AC08CBD6DC16}">
      <dsp:nvSpPr>
        <dsp:cNvPr id="0" name=""/>
        <dsp:cNvSpPr/>
      </dsp:nvSpPr>
      <dsp:spPr>
        <a:xfrm>
          <a:off x="4704964" y="1327558"/>
          <a:ext cx="1035427" cy="494091"/>
        </a:xfrm>
        <a:prstGeom prst="rect">
          <a:avLst/>
        </a:prstGeom>
        <a:solidFill>
          <a:srgbClr val="00703C"/>
        </a:solidFill>
        <a:ln w="12700" cap="flat" cmpd="sng" algn="ctr">
          <a:solidFill>
            <a:schemeClr val="bg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CA" sz="1100" kern="1200"/>
            <a:t>Vie culturelle, sociale et sportive</a:t>
          </a:r>
        </a:p>
      </dsp:txBody>
      <dsp:txXfrm>
        <a:off x="4704964" y="1327558"/>
        <a:ext cx="1035427" cy="494091"/>
      </dsp:txXfrm>
    </dsp:sp>
    <dsp:sp modelId="{A3420F93-208E-470D-B2B1-DA08642CA247}">
      <dsp:nvSpPr>
        <dsp:cNvPr id="0" name=""/>
        <dsp:cNvSpPr/>
      </dsp:nvSpPr>
      <dsp:spPr>
        <a:xfrm>
          <a:off x="4704964" y="1990895"/>
          <a:ext cx="1035427" cy="494091"/>
        </a:xfrm>
        <a:prstGeom prst="rect">
          <a:avLst/>
        </a:prstGeom>
        <a:solidFill>
          <a:srgbClr val="00703C"/>
        </a:solidFill>
        <a:ln w="12700" cap="flat" cmpd="sng" algn="ctr">
          <a:solidFill>
            <a:schemeClr val="bg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CA" sz="1100" kern="1200"/>
            <a:t>Médias d'information</a:t>
          </a:r>
        </a:p>
      </dsp:txBody>
      <dsp:txXfrm>
        <a:off x="4704964" y="1990895"/>
        <a:ext cx="1035427" cy="494091"/>
      </dsp:txXfrm>
    </dsp:sp>
    <dsp:sp modelId="{1C4417BD-46A6-4D43-BC1D-60FA72967F1E}">
      <dsp:nvSpPr>
        <dsp:cNvPr id="0" name=""/>
        <dsp:cNvSpPr/>
      </dsp:nvSpPr>
      <dsp:spPr>
        <a:xfrm>
          <a:off x="4704964" y="2654232"/>
          <a:ext cx="1035427" cy="494091"/>
        </a:xfrm>
        <a:prstGeom prst="rect">
          <a:avLst/>
        </a:prstGeom>
        <a:solidFill>
          <a:srgbClr val="00703C"/>
        </a:solidFill>
        <a:ln w="12700" cap="flat" cmpd="sng" algn="ctr">
          <a:solidFill>
            <a:schemeClr val="bg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CA" sz="1100" kern="1200"/>
            <a:t>Cliniques de santé universitaires</a:t>
          </a:r>
        </a:p>
      </dsp:txBody>
      <dsp:txXfrm>
        <a:off x="4704964" y="2654232"/>
        <a:ext cx="1035427" cy="494091"/>
      </dsp:txXfrm>
    </dsp:sp>
    <dsp:sp modelId="{5B77F60F-1745-4DF8-880A-FE3A39313938}">
      <dsp:nvSpPr>
        <dsp:cNvPr id="0" name=""/>
        <dsp:cNvSpPr/>
      </dsp:nvSpPr>
      <dsp:spPr>
        <a:xfrm>
          <a:off x="4704964" y="3317569"/>
          <a:ext cx="1035427" cy="494091"/>
        </a:xfrm>
        <a:prstGeom prst="rect">
          <a:avLst/>
        </a:prstGeom>
        <a:solidFill>
          <a:srgbClr val="00703C"/>
        </a:solidFill>
        <a:ln w="12700" cap="flat" cmpd="sng" algn="ctr">
          <a:solidFill>
            <a:schemeClr val="bg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CA" sz="1100" kern="1200"/>
            <a:t>Services et unités en lien avec l'UQTR</a:t>
          </a:r>
        </a:p>
      </dsp:txBody>
      <dsp:txXfrm>
        <a:off x="4704964" y="3317569"/>
        <a:ext cx="1035427" cy="494091"/>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9E7EFE2-8542-412C-BD05-75E5677A02BD}">
      <dsp:nvSpPr>
        <dsp:cNvPr id="0" name=""/>
        <dsp:cNvSpPr/>
      </dsp:nvSpPr>
      <dsp:spPr>
        <a:xfrm>
          <a:off x="4771794" y="1166226"/>
          <a:ext cx="191575" cy="838346"/>
        </a:xfrm>
        <a:custGeom>
          <a:avLst/>
          <a:gdLst/>
          <a:ahLst/>
          <a:cxnLst/>
          <a:rect l="0" t="0" r="0" b="0"/>
          <a:pathLst>
            <a:path>
              <a:moveTo>
                <a:pt x="0" y="0"/>
              </a:moveTo>
              <a:lnTo>
                <a:pt x="0" y="838346"/>
              </a:lnTo>
              <a:lnTo>
                <a:pt x="191575" y="838346"/>
              </a:lnTo>
            </a:path>
          </a:pathLst>
        </a:custGeom>
        <a:noFill/>
        <a:ln w="12700" cap="flat" cmpd="sng" algn="ctr">
          <a:solidFill>
            <a:schemeClr val="bg1">
              <a:lumMod val="65000"/>
            </a:schemeClr>
          </a:solidFill>
          <a:prstDash val="solid"/>
          <a:miter lim="800000"/>
        </a:ln>
        <a:effectLst/>
      </dsp:spPr>
      <dsp:style>
        <a:lnRef idx="2">
          <a:scrgbClr r="0" g="0" b="0"/>
        </a:lnRef>
        <a:fillRef idx="0">
          <a:scrgbClr r="0" g="0" b="0"/>
        </a:fillRef>
        <a:effectRef idx="0">
          <a:scrgbClr r="0" g="0" b="0"/>
        </a:effectRef>
        <a:fontRef idx="minor"/>
      </dsp:style>
    </dsp:sp>
    <dsp:sp modelId="{F2BAD5EE-898D-418F-8952-6C26E4134B98}">
      <dsp:nvSpPr>
        <dsp:cNvPr id="0" name=""/>
        <dsp:cNvSpPr/>
      </dsp:nvSpPr>
      <dsp:spPr>
        <a:xfrm>
          <a:off x="4771794" y="1166226"/>
          <a:ext cx="191575" cy="291511"/>
        </a:xfrm>
        <a:custGeom>
          <a:avLst/>
          <a:gdLst/>
          <a:ahLst/>
          <a:cxnLst/>
          <a:rect l="0" t="0" r="0" b="0"/>
          <a:pathLst>
            <a:path>
              <a:moveTo>
                <a:pt x="0" y="0"/>
              </a:moveTo>
              <a:lnTo>
                <a:pt x="0" y="291511"/>
              </a:lnTo>
              <a:lnTo>
                <a:pt x="191575" y="291511"/>
              </a:lnTo>
            </a:path>
          </a:pathLst>
        </a:custGeom>
        <a:noFill/>
        <a:ln w="12700" cap="flat" cmpd="sng" algn="ctr">
          <a:solidFill>
            <a:schemeClr val="bg1">
              <a:lumMod val="65000"/>
            </a:schemeClr>
          </a:solidFill>
          <a:prstDash val="solid"/>
          <a:miter lim="800000"/>
        </a:ln>
        <a:effectLst/>
      </dsp:spPr>
      <dsp:style>
        <a:lnRef idx="2">
          <a:scrgbClr r="0" g="0" b="0"/>
        </a:lnRef>
        <a:fillRef idx="0">
          <a:scrgbClr r="0" g="0" b="0"/>
        </a:fillRef>
        <a:effectRef idx="0">
          <a:scrgbClr r="0" g="0" b="0"/>
        </a:effectRef>
        <a:fontRef idx="minor"/>
      </dsp:style>
    </dsp:sp>
    <dsp:sp modelId="{7404406A-96A5-4937-B0E8-C9F1DA14F685}">
      <dsp:nvSpPr>
        <dsp:cNvPr id="0" name=""/>
        <dsp:cNvSpPr/>
      </dsp:nvSpPr>
      <dsp:spPr>
        <a:xfrm>
          <a:off x="4035372" y="741374"/>
          <a:ext cx="1247291" cy="108397"/>
        </a:xfrm>
        <a:custGeom>
          <a:avLst/>
          <a:gdLst/>
          <a:ahLst/>
          <a:cxnLst/>
          <a:rect l="0" t="0" r="0" b="0"/>
          <a:pathLst>
            <a:path>
              <a:moveTo>
                <a:pt x="0" y="0"/>
              </a:moveTo>
              <a:lnTo>
                <a:pt x="0" y="54198"/>
              </a:lnTo>
              <a:lnTo>
                <a:pt x="1247291" y="54198"/>
              </a:lnTo>
              <a:lnTo>
                <a:pt x="1247291" y="108397"/>
              </a:lnTo>
            </a:path>
          </a:pathLst>
        </a:custGeom>
        <a:noFill/>
        <a:ln w="12700" cap="flat" cmpd="sng" algn="ctr">
          <a:solidFill>
            <a:schemeClr val="bg1">
              <a:lumMod val="65000"/>
            </a:schemeClr>
          </a:solidFill>
          <a:prstDash val="solid"/>
          <a:miter lim="800000"/>
        </a:ln>
        <a:effectLst/>
      </dsp:spPr>
      <dsp:style>
        <a:lnRef idx="2">
          <a:scrgbClr r="0" g="0" b="0"/>
        </a:lnRef>
        <a:fillRef idx="0">
          <a:scrgbClr r="0" g="0" b="0"/>
        </a:fillRef>
        <a:effectRef idx="0">
          <a:scrgbClr r="0" g="0" b="0"/>
        </a:effectRef>
        <a:fontRef idx="minor"/>
      </dsp:style>
    </dsp:sp>
    <dsp:sp modelId="{277D34DD-781C-403F-81B6-C2C40B6B74BF}">
      <dsp:nvSpPr>
        <dsp:cNvPr id="0" name=""/>
        <dsp:cNvSpPr/>
      </dsp:nvSpPr>
      <dsp:spPr>
        <a:xfrm>
          <a:off x="3386223" y="1166226"/>
          <a:ext cx="191575" cy="648734"/>
        </a:xfrm>
        <a:custGeom>
          <a:avLst/>
          <a:gdLst/>
          <a:ahLst/>
          <a:cxnLst/>
          <a:rect l="0" t="0" r="0" b="0"/>
          <a:pathLst>
            <a:path>
              <a:moveTo>
                <a:pt x="0" y="0"/>
              </a:moveTo>
              <a:lnTo>
                <a:pt x="0" y="648734"/>
              </a:lnTo>
              <a:lnTo>
                <a:pt x="191575" y="6487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319E7F-F8A1-43DA-9BAC-941750DED466}">
      <dsp:nvSpPr>
        <dsp:cNvPr id="0" name=""/>
        <dsp:cNvSpPr/>
      </dsp:nvSpPr>
      <dsp:spPr>
        <a:xfrm>
          <a:off x="3386223" y="1166226"/>
          <a:ext cx="191575" cy="259844"/>
        </a:xfrm>
        <a:custGeom>
          <a:avLst/>
          <a:gdLst/>
          <a:ahLst/>
          <a:cxnLst/>
          <a:rect l="0" t="0" r="0" b="0"/>
          <a:pathLst>
            <a:path>
              <a:moveTo>
                <a:pt x="0" y="0"/>
              </a:moveTo>
              <a:lnTo>
                <a:pt x="0" y="259844"/>
              </a:lnTo>
              <a:lnTo>
                <a:pt x="191575" y="259844"/>
              </a:lnTo>
            </a:path>
          </a:pathLst>
        </a:custGeom>
        <a:noFill/>
        <a:ln w="12700" cap="flat" cmpd="sng" algn="ctr">
          <a:solidFill>
            <a:schemeClr val="bg1">
              <a:lumMod val="65000"/>
            </a:schemeClr>
          </a:solidFill>
          <a:prstDash val="solid"/>
          <a:miter lim="800000"/>
        </a:ln>
        <a:effectLst/>
      </dsp:spPr>
      <dsp:style>
        <a:lnRef idx="2">
          <a:scrgbClr r="0" g="0" b="0"/>
        </a:lnRef>
        <a:fillRef idx="0">
          <a:scrgbClr r="0" g="0" b="0"/>
        </a:fillRef>
        <a:effectRef idx="0">
          <a:scrgbClr r="0" g="0" b="0"/>
        </a:effectRef>
        <a:fontRef idx="minor"/>
      </dsp:style>
    </dsp:sp>
    <dsp:sp modelId="{1F2CE9D4-320B-4306-8C04-5D70E05E1121}">
      <dsp:nvSpPr>
        <dsp:cNvPr id="0" name=""/>
        <dsp:cNvSpPr/>
      </dsp:nvSpPr>
      <dsp:spPr>
        <a:xfrm>
          <a:off x="3897092" y="741374"/>
          <a:ext cx="138279" cy="108397"/>
        </a:xfrm>
        <a:custGeom>
          <a:avLst/>
          <a:gdLst/>
          <a:ahLst/>
          <a:cxnLst/>
          <a:rect l="0" t="0" r="0" b="0"/>
          <a:pathLst>
            <a:path>
              <a:moveTo>
                <a:pt x="138279" y="0"/>
              </a:moveTo>
              <a:lnTo>
                <a:pt x="138279" y="54198"/>
              </a:lnTo>
              <a:lnTo>
                <a:pt x="0" y="54198"/>
              </a:lnTo>
              <a:lnTo>
                <a:pt x="0" y="108397"/>
              </a:lnTo>
            </a:path>
          </a:pathLst>
        </a:custGeom>
        <a:noFill/>
        <a:ln w="12700" cap="flat" cmpd="sng" algn="ctr">
          <a:solidFill>
            <a:schemeClr val="bg1">
              <a:lumMod val="65000"/>
            </a:schemeClr>
          </a:solidFill>
          <a:prstDash val="solid"/>
          <a:miter lim="800000"/>
        </a:ln>
        <a:effectLst/>
      </dsp:spPr>
      <dsp:style>
        <a:lnRef idx="2">
          <a:scrgbClr r="0" g="0" b="0"/>
        </a:lnRef>
        <a:fillRef idx="0">
          <a:scrgbClr r="0" g="0" b="0"/>
        </a:fillRef>
        <a:effectRef idx="0">
          <a:scrgbClr r="0" g="0" b="0"/>
        </a:effectRef>
        <a:fontRef idx="minor"/>
      </dsp:style>
    </dsp:sp>
    <dsp:sp modelId="{9ECF47F5-D483-41A1-913E-307DE812DCD4}">
      <dsp:nvSpPr>
        <dsp:cNvPr id="0" name=""/>
        <dsp:cNvSpPr/>
      </dsp:nvSpPr>
      <dsp:spPr>
        <a:xfrm>
          <a:off x="2000652" y="1166226"/>
          <a:ext cx="191575" cy="367005"/>
        </a:xfrm>
        <a:custGeom>
          <a:avLst/>
          <a:gdLst/>
          <a:ahLst/>
          <a:cxnLst/>
          <a:rect l="0" t="0" r="0" b="0"/>
          <a:pathLst>
            <a:path>
              <a:moveTo>
                <a:pt x="0" y="0"/>
              </a:moveTo>
              <a:lnTo>
                <a:pt x="0" y="367005"/>
              </a:lnTo>
              <a:lnTo>
                <a:pt x="191575" y="367005"/>
              </a:lnTo>
            </a:path>
          </a:pathLst>
        </a:custGeom>
        <a:noFill/>
        <a:ln w="12700" cap="flat" cmpd="sng" algn="ctr">
          <a:solidFill>
            <a:schemeClr val="bg1">
              <a:lumMod val="65000"/>
            </a:schemeClr>
          </a:solidFill>
          <a:prstDash val="solid"/>
          <a:miter lim="800000"/>
        </a:ln>
        <a:effectLst/>
      </dsp:spPr>
      <dsp:style>
        <a:lnRef idx="2">
          <a:scrgbClr r="0" g="0" b="0"/>
        </a:lnRef>
        <a:fillRef idx="0">
          <a:scrgbClr r="0" g="0" b="0"/>
        </a:fillRef>
        <a:effectRef idx="0">
          <a:scrgbClr r="0" g="0" b="0"/>
        </a:effectRef>
        <a:fontRef idx="minor"/>
      </dsp:style>
    </dsp:sp>
    <dsp:sp modelId="{7B2732E5-2484-41E9-9CC7-9E72CB825B57}">
      <dsp:nvSpPr>
        <dsp:cNvPr id="0" name=""/>
        <dsp:cNvSpPr/>
      </dsp:nvSpPr>
      <dsp:spPr>
        <a:xfrm>
          <a:off x="2511521" y="741374"/>
          <a:ext cx="1523850" cy="108397"/>
        </a:xfrm>
        <a:custGeom>
          <a:avLst/>
          <a:gdLst/>
          <a:ahLst/>
          <a:cxnLst/>
          <a:rect l="0" t="0" r="0" b="0"/>
          <a:pathLst>
            <a:path>
              <a:moveTo>
                <a:pt x="1523850" y="0"/>
              </a:moveTo>
              <a:lnTo>
                <a:pt x="1523850" y="54198"/>
              </a:lnTo>
              <a:lnTo>
                <a:pt x="0" y="54198"/>
              </a:lnTo>
              <a:lnTo>
                <a:pt x="0" y="108397"/>
              </a:lnTo>
            </a:path>
          </a:pathLst>
        </a:custGeom>
        <a:noFill/>
        <a:ln w="12700" cap="flat" cmpd="sng" algn="ctr">
          <a:solidFill>
            <a:schemeClr val="bg1">
              <a:lumMod val="65000"/>
            </a:schemeClr>
          </a:solidFill>
          <a:prstDash val="solid"/>
          <a:miter lim="800000"/>
        </a:ln>
        <a:effectLst/>
      </dsp:spPr>
      <dsp:style>
        <a:lnRef idx="2">
          <a:scrgbClr r="0" g="0" b="0"/>
        </a:lnRef>
        <a:fillRef idx="0">
          <a:scrgbClr r="0" g="0" b="0"/>
        </a:fillRef>
        <a:effectRef idx="0">
          <a:scrgbClr r="0" g="0" b="0"/>
        </a:effectRef>
        <a:fontRef idx="minor"/>
      </dsp:style>
    </dsp:sp>
    <dsp:sp modelId="{B8C05286-CC51-435C-99F7-BDF20AEBDA72}">
      <dsp:nvSpPr>
        <dsp:cNvPr id="0" name=""/>
        <dsp:cNvSpPr/>
      </dsp:nvSpPr>
      <dsp:spPr>
        <a:xfrm>
          <a:off x="2084491" y="316454"/>
          <a:ext cx="683747" cy="266692"/>
        </a:xfrm>
        <a:custGeom>
          <a:avLst/>
          <a:gdLst/>
          <a:ahLst/>
          <a:cxnLst/>
          <a:rect l="0" t="0" r="0" b="0"/>
          <a:pathLst>
            <a:path>
              <a:moveTo>
                <a:pt x="0" y="0"/>
              </a:moveTo>
              <a:lnTo>
                <a:pt x="0" y="266692"/>
              </a:lnTo>
              <a:lnTo>
                <a:pt x="683747" y="266692"/>
              </a:lnTo>
            </a:path>
          </a:pathLst>
        </a:custGeom>
        <a:noFill/>
        <a:ln w="12700" cap="flat" cmpd="sng" algn="ctr">
          <a:solidFill>
            <a:schemeClr val="bg1">
              <a:lumMod val="65000"/>
            </a:schemeClr>
          </a:solidFill>
          <a:prstDash val="solid"/>
          <a:miter lim="800000"/>
        </a:ln>
        <a:effectLst/>
      </dsp:spPr>
      <dsp:style>
        <a:lnRef idx="2">
          <a:scrgbClr r="0" g="0" b="0"/>
        </a:lnRef>
        <a:fillRef idx="0">
          <a:scrgbClr r="0" g="0" b="0"/>
        </a:fillRef>
        <a:effectRef idx="0">
          <a:scrgbClr r="0" g="0" b="0"/>
        </a:effectRef>
        <a:fontRef idx="minor"/>
      </dsp:style>
    </dsp:sp>
    <dsp:sp modelId="{77FEDE4A-12AE-4983-9595-21C098C51334}">
      <dsp:nvSpPr>
        <dsp:cNvPr id="0" name=""/>
        <dsp:cNvSpPr/>
      </dsp:nvSpPr>
      <dsp:spPr>
        <a:xfrm>
          <a:off x="965904" y="741374"/>
          <a:ext cx="91440" cy="237442"/>
        </a:xfrm>
        <a:custGeom>
          <a:avLst/>
          <a:gdLst/>
          <a:ahLst/>
          <a:cxnLst/>
          <a:rect l="0" t="0" r="0" b="0"/>
          <a:pathLst>
            <a:path>
              <a:moveTo>
                <a:pt x="99918" y="0"/>
              </a:moveTo>
              <a:lnTo>
                <a:pt x="99918" y="237442"/>
              </a:lnTo>
              <a:lnTo>
                <a:pt x="45720" y="237442"/>
              </a:lnTo>
            </a:path>
          </a:pathLst>
        </a:custGeom>
        <a:noFill/>
        <a:ln w="12700" cap="flat" cmpd="sng" algn="ctr">
          <a:solidFill>
            <a:schemeClr val="bg1">
              <a:lumMod val="65000"/>
            </a:schemeClr>
          </a:solidFill>
          <a:prstDash val="solid"/>
          <a:miter lim="800000"/>
        </a:ln>
        <a:effectLst/>
      </dsp:spPr>
      <dsp:style>
        <a:lnRef idx="2">
          <a:scrgbClr r="0" g="0" b="0"/>
        </a:lnRef>
        <a:fillRef idx="0">
          <a:scrgbClr r="0" g="0" b="0"/>
        </a:fillRef>
        <a:effectRef idx="0">
          <a:scrgbClr r="0" g="0" b="0"/>
        </a:effectRef>
        <a:fontRef idx="minor"/>
      </dsp:style>
    </dsp:sp>
    <dsp:sp modelId="{C4179974-56D9-4C7F-947F-5BB845358754}">
      <dsp:nvSpPr>
        <dsp:cNvPr id="0" name=""/>
        <dsp:cNvSpPr/>
      </dsp:nvSpPr>
      <dsp:spPr>
        <a:xfrm>
          <a:off x="1764537" y="316454"/>
          <a:ext cx="319954" cy="266692"/>
        </a:xfrm>
        <a:custGeom>
          <a:avLst/>
          <a:gdLst/>
          <a:ahLst/>
          <a:cxnLst/>
          <a:rect l="0" t="0" r="0" b="0"/>
          <a:pathLst>
            <a:path>
              <a:moveTo>
                <a:pt x="319954" y="0"/>
              </a:moveTo>
              <a:lnTo>
                <a:pt x="319954" y="266692"/>
              </a:lnTo>
              <a:lnTo>
                <a:pt x="0" y="266692"/>
              </a:lnTo>
            </a:path>
          </a:pathLst>
        </a:custGeom>
        <a:noFill/>
        <a:ln w="12700" cap="flat" cmpd="sng" algn="ctr">
          <a:solidFill>
            <a:schemeClr val="bg1">
              <a:lumMod val="65000"/>
            </a:schemeClr>
          </a:solidFill>
          <a:prstDash val="solid"/>
          <a:miter lim="800000"/>
        </a:ln>
        <a:effectLst/>
      </dsp:spPr>
      <dsp:style>
        <a:lnRef idx="2">
          <a:scrgbClr r="0" g="0" b="0"/>
        </a:lnRef>
        <a:fillRef idx="0">
          <a:scrgbClr r="0" g="0" b="0"/>
        </a:fillRef>
        <a:effectRef idx="0">
          <a:scrgbClr r="0" g="0" b="0"/>
        </a:effectRef>
        <a:fontRef idx="minor"/>
      </dsp:style>
    </dsp:sp>
    <dsp:sp modelId="{F0B6F898-C2CE-4086-9801-56C045DA96FA}">
      <dsp:nvSpPr>
        <dsp:cNvPr id="0" name=""/>
        <dsp:cNvSpPr/>
      </dsp:nvSpPr>
      <dsp:spPr>
        <a:xfrm>
          <a:off x="1445904" y="0"/>
          <a:ext cx="1277173" cy="316454"/>
        </a:xfrm>
        <a:prstGeom prst="rect">
          <a:avLst/>
        </a:prstGeom>
        <a:noFill/>
        <a:ln w="12700" cap="flat" cmpd="sng" algn="ctr">
          <a:solidFill>
            <a:schemeClr val="bg1">
              <a:lumMod val="6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CA" sz="900" b="0" kern="1200">
              <a:solidFill>
                <a:sysClr val="windowText" lastClr="000000"/>
              </a:solidFill>
            </a:rPr>
            <a:t>UQTR</a:t>
          </a:r>
        </a:p>
      </dsp:txBody>
      <dsp:txXfrm>
        <a:off x="1445904" y="0"/>
        <a:ext cx="1277173" cy="316454"/>
      </dsp:txXfrm>
    </dsp:sp>
    <dsp:sp modelId="{F02CC53F-F191-4DD6-865A-DD513A7BF9CF}">
      <dsp:nvSpPr>
        <dsp:cNvPr id="0" name=""/>
        <dsp:cNvSpPr/>
      </dsp:nvSpPr>
      <dsp:spPr>
        <a:xfrm>
          <a:off x="367109" y="424919"/>
          <a:ext cx="1397427" cy="316454"/>
        </a:xfrm>
        <a:prstGeom prst="rect">
          <a:avLst/>
        </a:prstGeom>
        <a:noFill/>
        <a:ln w="12700" cap="flat" cmpd="sng" algn="ctr">
          <a:solidFill>
            <a:schemeClr val="bg1">
              <a:lumMod val="6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CA" sz="900" b="0" kern="1200">
              <a:solidFill>
                <a:sysClr val="windowText" lastClr="000000"/>
              </a:solidFill>
            </a:rPr>
            <a:t>Éducation universitaire</a:t>
          </a:r>
        </a:p>
      </dsp:txBody>
      <dsp:txXfrm>
        <a:off x="367109" y="424919"/>
        <a:ext cx="1397427" cy="316454"/>
      </dsp:txXfrm>
    </dsp:sp>
    <dsp:sp modelId="{C0B6C99F-7B7B-4D27-95C9-5E604F0DCF8B}">
      <dsp:nvSpPr>
        <dsp:cNvPr id="0" name=""/>
        <dsp:cNvSpPr/>
      </dsp:nvSpPr>
      <dsp:spPr>
        <a:xfrm>
          <a:off x="17529" y="849771"/>
          <a:ext cx="994095" cy="258089"/>
        </a:xfrm>
        <a:prstGeom prst="rect">
          <a:avLst/>
        </a:prstGeom>
        <a:solidFill>
          <a:srgbClr val="C4960C"/>
        </a:solidFill>
        <a:ln w="12700" cap="flat" cmpd="sng" algn="ctr">
          <a:solidFill>
            <a:schemeClr val="bg1">
              <a:lumMod val="6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CA" sz="900" b="0" kern="1200">
              <a:solidFill>
                <a:sysClr val="windowText" lastClr="000000"/>
              </a:solidFill>
            </a:rPr>
            <a:t>Domination par les coûts</a:t>
          </a:r>
        </a:p>
      </dsp:txBody>
      <dsp:txXfrm>
        <a:off x="17529" y="849771"/>
        <a:ext cx="994095" cy="258089"/>
      </dsp:txXfrm>
    </dsp:sp>
    <dsp:sp modelId="{BFFD506F-71FA-47C1-B598-06D26B66DEA6}">
      <dsp:nvSpPr>
        <dsp:cNvPr id="0" name=""/>
        <dsp:cNvSpPr/>
      </dsp:nvSpPr>
      <dsp:spPr>
        <a:xfrm>
          <a:off x="2768238" y="424919"/>
          <a:ext cx="2534266" cy="316454"/>
        </a:xfrm>
        <a:prstGeom prst="rect">
          <a:avLst/>
        </a:prstGeom>
        <a:noFill/>
        <a:ln w="12700" cap="flat" cmpd="sng" algn="ctr">
          <a:solidFill>
            <a:schemeClr val="bg1">
              <a:lumMod val="6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CA" sz="900" b="0" kern="1200">
              <a:solidFill>
                <a:sysClr val="windowText" lastClr="000000"/>
              </a:solidFill>
            </a:rPr>
            <a:t>Services à la communauté</a:t>
          </a:r>
        </a:p>
      </dsp:txBody>
      <dsp:txXfrm>
        <a:off x="2768238" y="424919"/>
        <a:ext cx="2534266" cy="316454"/>
      </dsp:txXfrm>
    </dsp:sp>
    <dsp:sp modelId="{3D014A7C-9AA3-4045-8BB8-AC08CBD6DC16}">
      <dsp:nvSpPr>
        <dsp:cNvPr id="0" name=""/>
        <dsp:cNvSpPr/>
      </dsp:nvSpPr>
      <dsp:spPr>
        <a:xfrm>
          <a:off x="1872935" y="849771"/>
          <a:ext cx="1277173" cy="316454"/>
        </a:xfrm>
        <a:prstGeom prst="rect">
          <a:avLst/>
        </a:prstGeom>
        <a:noFill/>
        <a:ln w="12700" cap="flat" cmpd="sng" algn="ctr">
          <a:solidFill>
            <a:schemeClr val="bg1">
              <a:lumMod val="6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CA" sz="900" b="0" kern="1200">
              <a:solidFill>
                <a:sysClr val="windowText" lastClr="000000"/>
              </a:solidFill>
            </a:rPr>
            <a:t>Vie culturelle, sociale et sportive (ici, CAPS)</a:t>
          </a:r>
        </a:p>
      </dsp:txBody>
      <dsp:txXfrm>
        <a:off x="1872935" y="849771"/>
        <a:ext cx="1277173" cy="316454"/>
      </dsp:txXfrm>
    </dsp:sp>
    <dsp:sp modelId="{29427974-D314-484B-A425-03B2322FB6AA}">
      <dsp:nvSpPr>
        <dsp:cNvPr id="0" name=""/>
        <dsp:cNvSpPr/>
      </dsp:nvSpPr>
      <dsp:spPr>
        <a:xfrm>
          <a:off x="2192228" y="1274623"/>
          <a:ext cx="1145841" cy="517214"/>
        </a:xfrm>
        <a:prstGeom prst="rect">
          <a:avLst/>
        </a:prstGeom>
        <a:solidFill>
          <a:srgbClr val="00703C"/>
        </a:solidFill>
        <a:ln w="12700" cap="flat" cmpd="sng" algn="ctr">
          <a:solidFill>
            <a:schemeClr val="bg1">
              <a:lumMod val="6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CA" sz="900" b="0" kern="1200">
              <a:solidFill>
                <a:sysClr val="windowText" lastClr="000000"/>
              </a:solidFill>
            </a:rPr>
            <a:t>Différentiation</a:t>
          </a:r>
        </a:p>
      </dsp:txBody>
      <dsp:txXfrm>
        <a:off x="2192228" y="1274623"/>
        <a:ext cx="1145841" cy="517214"/>
      </dsp:txXfrm>
    </dsp:sp>
    <dsp:sp modelId="{1C4417BD-46A6-4D43-BC1D-60FA72967F1E}">
      <dsp:nvSpPr>
        <dsp:cNvPr id="0" name=""/>
        <dsp:cNvSpPr/>
      </dsp:nvSpPr>
      <dsp:spPr>
        <a:xfrm>
          <a:off x="3258506" y="849771"/>
          <a:ext cx="1277173" cy="316454"/>
        </a:xfrm>
        <a:prstGeom prst="rect">
          <a:avLst/>
        </a:prstGeom>
        <a:noFill/>
        <a:ln w="12700" cap="flat" cmpd="sng" algn="ctr">
          <a:solidFill>
            <a:schemeClr val="bg1">
              <a:lumMod val="6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CA" sz="900" b="0" kern="1200">
              <a:solidFill>
                <a:sysClr val="windowText" lastClr="000000"/>
              </a:solidFill>
            </a:rPr>
            <a:t>Cliniques de santé universitaires</a:t>
          </a:r>
        </a:p>
      </dsp:txBody>
      <dsp:txXfrm>
        <a:off x="3258506" y="849771"/>
        <a:ext cx="1277173" cy="316454"/>
      </dsp:txXfrm>
    </dsp:sp>
    <dsp:sp modelId="{CAE49859-BC31-4772-B438-79069E0385D0}">
      <dsp:nvSpPr>
        <dsp:cNvPr id="0" name=""/>
        <dsp:cNvSpPr/>
      </dsp:nvSpPr>
      <dsp:spPr>
        <a:xfrm>
          <a:off x="3577799" y="1274623"/>
          <a:ext cx="994095" cy="302894"/>
        </a:xfrm>
        <a:prstGeom prst="rect">
          <a:avLst/>
        </a:prstGeom>
        <a:solidFill>
          <a:srgbClr val="00703C"/>
        </a:solidFill>
        <a:ln w="12700" cap="flat" cmpd="sng" algn="ctr">
          <a:solidFill>
            <a:schemeClr val="bg1">
              <a:lumMod val="6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CA" sz="900" b="0" kern="1200">
              <a:solidFill>
                <a:sysClr val="windowText" lastClr="000000"/>
              </a:solidFill>
            </a:rPr>
            <a:t>Différentiation</a:t>
          </a:r>
        </a:p>
      </dsp:txBody>
      <dsp:txXfrm>
        <a:off x="3577799" y="1274623"/>
        <a:ext cx="994095" cy="302894"/>
      </dsp:txXfrm>
    </dsp:sp>
    <dsp:sp modelId="{DAAB917D-984A-43E7-868F-3611B76D0F3C}">
      <dsp:nvSpPr>
        <dsp:cNvPr id="0" name=""/>
        <dsp:cNvSpPr/>
      </dsp:nvSpPr>
      <dsp:spPr>
        <a:xfrm>
          <a:off x="3577799" y="1685915"/>
          <a:ext cx="947499" cy="258089"/>
        </a:xfrm>
        <a:prstGeom prst="rect">
          <a:avLst/>
        </a:prstGeom>
        <a:solidFill>
          <a:srgbClr val="00703C"/>
        </a:solidFill>
        <a:ln w="12700" cap="flat" cmpd="sng" algn="ctr">
          <a:solidFill>
            <a:schemeClr val="bg1">
              <a:lumMod val="6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CA" sz="900" b="0" kern="1200">
              <a:solidFill>
                <a:sysClr val="windowText" lastClr="000000"/>
              </a:solidFill>
            </a:rPr>
            <a:t>Focalisation</a:t>
          </a:r>
        </a:p>
      </dsp:txBody>
      <dsp:txXfrm>
        <a:off x="3577799" y="1685915"/>
        <a:ext cx="947499" cy="258089"/>
      </dsp:txXfrm>
    </dsp:sp>
    <dsp:sp modelId="{5B77F60F-1745-4DF8-880A-FE3A39313938}">
      <dsp:nvSpPr>
        <dsp:cNvPr id="0" name=""/>
        <dsp:cNvSpPr/>
      </dsp:nvSpPr>
      <dsp:spPr>
        <a:xfrm>
          <a:off x="4644077" y="849771"/>
          <a:ext cx="1277173" cy="316454"/>
        </a:xfrm>
        <a:prstGeom prst="rect">
          <a:avLst/>
        </a:prstGeom>
        <a:noFill/>
        <a:ln w="12700" cap="flat" cmpd="sng" algn="ctr">
          <a:solidFill>
            <a:schemeClr val="bg1">
              <a:lumMod val="6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CA" sz="900" b="0" kern="1200">
              <a:solidFill>
                <a:sysClr val="windowText" lastClr="000000"/>
              </a:solidFill>
            </a:rPr>
            <a:t>Services et unités en lien avec l'UQTR</a:t>
          </a:r>
        </a:p>
      </dsp:txBody>
      <dsp:txXfrm>
        <a:off x="4644077" y="849771"/>
        <a:ext cx="1277173" cy="316454"/>
      </dsp:txXfrm>
    </dsp:sp>
    <dsp:sp modelId="{CCA8BADF-A610-4BA9-847D-FB4C7C21079D}">
      <dsp:nvSpPr>
        <dsp:cNvPr id="0" name=""/>
        <dsp:cNvSpPr/>
      </dsp:nvSpPr>
      <dsp:spPr>
        <a:xfrm>
          <a:off x="4963370" y="1274623"/>
          <a:ext cx="1169709" cy="366226"/>
        </a:xfrm>
        <a:prstGeom prst="rect">
          <a:avLst/>
        </a:prstGeom>
        <a:solidFill>
          <a:srgbClr val="0070C0"/>
        </a:solidFill>
        <a:ln w="12700" cap="flat" cmpd="sng" algn="ctr">
          <a:solidFill>
            <a:schemeClr val="bg1">
              <a:lumMod val="6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CA" sz="900" b="0" kern="1200">
              <a:solidFill>
                <a:sysClr val="windowText" lastClr="000000"/>
              </a:solidFill>
            </a:rPr>
            <a:t>Focalisation</a:t>
          </a:r>
        </a:p>
      </dsp:txBody>
      <dsp:txXfrm>
        <a:off x="4963370" y="1274623"/>
        <a:ext cx="1169709" cy="366226"/>
      </dsp:txXfrm>
    </dsp:sp>
    <dsp:sp modelId="{E05C42C4-F649-4085-B068-C5F23BBC45B1}">
      <dsp:nvSpPr>
        <dsp:cNvPr id="0" name=""/>
        <dsp:cNvSpPr/>
      </dsp:nvSpPr>
      <dsp:spPr>
        <a:xfrm>
          <a:off x="4963370" y="1749248"/>
          <a:ext cx="1169709" cy="510648"/>
        </a:xfrm>
        <a:prstGeom prst="rect">
          <a:avLst/>
        </a:prstGeom>
        <a:solidFill>
          <a:schemeClr val="bg1">
            <a:lumMod val="85000"/>
          </a:schemeClr>
        </a:solidFill>
        <a:ln w="12700" cap="flat" cmpd="sng" algn="ctr">
          <a:solidFill>
            <a:schemeClr val="bg1">
              <a:lumMod val="6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CA" sz="900" b="0" kern="1200">
              <a:solidFill>
                <a:sysClr val="windowText" lastClr="000000"/>
              </a:solidFill>
            </a:rPr>
            <a:t>Non-applicable</a:t>
          </a:r>
        </a:p>
      </dsp:txBody>
      <dsp:txXfrm>
        <a:off x="4963370" y="1749248"/>
        <a:ext cx="1169709" cy="510648"/>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82AA43B-2DB2-4673-A319-5D8020318D96}">
      <dsp:nvSpPr>
        <dsp:cNvPr id="0" name=""/>
        <dsp:cNvSpPr/>
      </dsp:nvSpPr>
      <dsp:spPr>
        <a:xfrm>
          <a:off x="842962" y="0"/>
          <a:ext cx="3705225" cy="3705225"/>
        </a:xfrm>
        <a:prstGeom prst="quadArrow">
          <a:avLst>
            <a:gd name="adj1" fmla="val 2000"/>
            <a:gd name="adj2" fmla="val 4000"/>
            <a:gd name="adj3" fmla="val 5000"/>
          </a:avLst>
        </a:prstGeom>
        <a:solidFill>
          <a:srgbClr val="C4960C"/>
        </a:solidFill>
        <a:ln>
          <a:noFill/>
        </a:ln>
        <a:effectLst/>
      </dsp:spPr>
      <dsp:style>
        <a:lnRef idx="0">
          <a:scrgbClr r="0" g="0" b="0"/>
        </a:lnRef>
        <a:fillRef idx="1">
          <a:scrgbClr r="0" g="0" b="0"/>
        </a:fillRef>
        <a:effectRef idx="0">
          <a:scrgbClr r="0" g="0" b="0"/>
        </a:effectRef>
        <a:fontRef idx="minor"/>
      </dsp:style>
    </dsp:sp>
    <dsp:sp modelId="{67E64AE8-D95E-475F-8CE0-D4064A0E7CCA}">
      <dsp:nvSpPr>
        <dsp:cNvPr id="0" name=""/>
        <dsp:cNvSpPr/>
      </dsp:nvSpPr>
      <dsp:spPr>
        <a:xfrm>
          <a:off x="2179511" y="1362055"/>
          <a:ext cx="1011348" cy="872802"/>
        </a:xfrm>
        <a:prstGeom prst="roundRect">
          <a:avLst/>
        </a:prstGeom>
        <a:solidFill>
          <a:srgbClr val="00703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CA" sz="1200" kern="1200"/>
            <a:t>Distribution du savoir</a:t>
          </a:r>
        </a:p>
      </dsp:txBody>
      <dsp:txXfrm>
        <a:off x="2179511" y="1362055"/>
        <a:ext cx="1011348" cy="872802"/>
      </dsp:txXfrm>
    </dsp:sp>
    <dsp:sp modelId="{200F5747-0FF2-41BA-82C3-7EC415260868}">
      <dsp:nvSpPr>
        <dsp:cNvPr id="0" name=""/>
        <dsp:cNvSpPr/>
      </dsp:nvSpPr>
      <dsp:spPr>
        <a:xfrm>
          <a:off x="2199386" y="2447923"/>
          <a:ext cx="991488" cy="842034"/>
        </a:xfrm>
        <a:prstGeom prst="roundRect">
          <a:avLst/>
        </a:prstGeom>
        <a:solidFill>
          <a:srgbClr val="00703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CA" sz="1200" kern="1200"/>
            <a:t>Production du savoir</a:t>
          </a:r>
        </a:p>
      </dsp:txBody>
      <dsp:txXfrm>
        <a:off x="2199386" y="2447923"/>
        <a:ext cx="991488" cy="842034"/>
      </dsp:txXfrm>
    </dsp:sp>
    <dsp:sp modelId="{E13C412D-63B8-454F-89E6-03784BE54BE5}">
      <dsp:nvSpPr>
        <dsp:cNvPr id="0" name=""/>
        <dsp:cNvSpPr/>
      </dsp:nvSpPr>
      <dsp:spPr>
        <a:xfrm>
          <a:off x="3274494" y="1419241"/>
          <a:ext cx="983188" cy="824975"/>
        </a:xfrm>
        <a:prstGeom prst="roundRect">
          <a:avLst/>
        </a:prstGeom>
        <a:solidFill>
          <a:srgbClr val="00703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CA" sz="1200" kern="1200"/>
            <a:t>Presse-Universitaire</a:t>
          </a:r>
        </a:p>
      </dsp:txBody>
      <dsp:txXfrm>
        <a:off x="3274494" y="1419241"/>
        <a:ext cx="983188" cy="824975"/>
      </dsp:txXfrm>
    </dsp:sp>
    <dsp:sp modelId="{70B0FEA8-ABDC-4E9A-A6EA-37B934F69BB6}">
      <dsp:nvSpPr>
        <dsp:cNvPr id="0" name=""/>
        <dsp:cNvSpPr/>
      </dsp:nvSpPr>
      <dsp:spPr>
        <a:xfrm>
          <a:off x="1219198" y="1409712"/>
          <a:ext cx="902518" cy="848037"/>
        </a:xfrm>
        <a:prstGeom prst="roundRect">
          <a:avLst/>
        </a:prstGeom>
        <a:solidFill>
          <a:srgbClr val="00703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CA" sz="1200" kern="1200" baseline="0"/>
            <a:t>Cours en ligne</a:t>
          </a:r>
        </a:p>
      </dsp:txBody>
      <dsp:txXfrm>
        <a:off x="1219198" y="1409712"/>
        <a:ext cx="902518" cy="848037"/>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404406A-96A5-4937-B0E8-C9F1DA14F685}">
      <dsp:nvSpPr>
        <dsp:cNvPr id="0" name=""/>
        <dsp:cNvSpPr/>
      </dsp:nvSpPr>
      <dsp:spPr>
        <a:xfrm>
          <a:off x="3972544" y="1126470"/>
          <a:ext cx="128565" cy="1946947"/>
        </a:xfrm>
        <a:custGeom>
          <a:avLst/>
          <a:gdLst/>
          <a:ahLst/>
          <a:cxnLst/>
          <a:rect l="0" t="0" r="0" b="0"/>
          <a:pathLst>
            <a:path>
              <a:moveTo>
                <a:pt x="0" y="0"/>
              </a:moveTo>
              <a:lnTo>
                <a:pt x="0" y="1946947"/>
              </a:lnTo>
              <a:lnTo>
                <a:pt x="128565" y="1946947"/>
              </a:lnTo>
            </a:path>
          </a:pathLst>
        </a:custGeom>
        <a:noFill/>
        <a:ln w="12700" cap="flat" cmpd="sng" algn="ctr">
          <a:solidFill>
            <a:schemeClr val="bg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1F2CE9D4-320B-4306-8C04-5D70E05E1121}">
      <dsp:nvSpPr>
        <dsp:cNvPr id="0" name=""/>
        <dsp:cNvSpPr/>
      </dsp:nvSpPr>
      <dsp:spPr>
        <a:xfrm>
          <a:off x="3972544" y="1126470"/>
          <a:ext cx="128565" cy="1410491"/>
        </a:xfrm>
        <a:custGeom>
          <a:avLst/>
          <a:gdLst/>
          <a:ahLst/>
          <a:cxnLst/>
          <a:rect l="0" t="0" r="0" b="0"/>
          <a:pathLst>
            <a:path>
              <a:moveTo>
                <a:pt x="0" y="0"/>
              </a:moveTo>
              <a:lnTo>
                <a:pt x="0" y="1410491"/>
              </a:lnTo>
              <a:lnTo>
                <a:pt x="128565" y="1410491"/>
              </a:lnTo>
            </a:path>
          </a:pathLst>
        </a:custGeom>
        <a:noFill/>
        <a:ln w="12700" cap="flat" cmpd="sng" algn="ctr">
          <a:solidFill>
            <a:schemeClr val="bg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92AAF338-71BD-4F9A-97A0-5EB05BBF3E79}">
      <dsp:nvSpPr>
        <dsp:cNvPr id="0" name=""/>
        <dsp:cNvSpPr/>
      </dsp:nvSpPr>
      <dsp:spPr>
        <a:xfrm>
          <a:off x="3972544" y="1126470"/>
          <a:ext cx="128565" cy="874035"/>
        </a:xfrm>
        <a:custGeom>
          <a:avLst/>
          <a:gdLst/>
          <a:ahLst/>
          <a:cxnLst/>
          <a:rect l="0" t="0" r="0" b="0"/>
          <a:pathLst>
            <a:path>
              <a:moveTo>
                <a:pt x="0" y="0"/>
              </a:moveTo>
              <a:lnTo>
                <a:pt x="0" y="874035"/>
              </a:lnTo>
              <a:lnTo>
                <a:pt x="128565" y="874035"/>
              </a:lnTo>
            </a:path>
          </a:pathLst>
        </a:custGeom>
        <a:noFill/>
        <a:ln w="12700" cap="flat" cmpd="sng" algn="ctr">
          <a:solidFill>
            <a:schemeClr val="bg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7B2732E5-2484-41E9-9CC7-9E72CB825B57}">
      <dsp:nvSpPr>
        <dsp:cNvPr id="0" name=""/>
        <dsp:cNvSpPr/>
      </dsp:nvSpPr>
      <dsp:spPr>
        <a:xfrm>
          <a:off x="3972544" y="1126470"/>
          <a:ext cx="128565" cy="337579"/>
        </a:xfrm>
        <a:custGeom>
          <a:avLst/>
          <a:gdLst/>
          <a:ahLst/>
          <a:cxnLst/>
          <a:rect l="0" t="0" r="0" b="0"/>
          <a:pathLst>
            <a:path>
              <a:moveTo>
                <a:pt x="0" y="0"/>
              </a:moveTo>
              <a:lnTo>
                <a:pt x="0" y="337579"/>
              </a:lnTo>
              <a:lnTo>
                <a:pt x="128565" y="337579"/>
              </a:lnTo>
            </a:path>
          </a:pathLst>
        </a:custGeom>
        <a:noFill/>
        <a:ln w="12700" cap="flat" cmpd="sng" algn="ctr">
          <a:solidFill>
            <a:schemeClr val="bg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B8C05286-CC51-435C-99F7-BDF20AEBDA72}">
      <dsp:nvSpPr>
        <dsp:cNvPr id="0" name=""/>
        <dsp:cNvSpPr/>
      </dsp:nvSpPr>
      <dsp:spPr>
        <a:xfrm>
          <a:off x="3067771" y="401599"/>
          <a:ext cx="243040" cy="430871"/>
        </a:xfrm>
        <a:custGeom>
          <a:avLst/>
          <a:gdLst/>
          <a:ahLst/>
          <a:cxnLst/>
          <a:rect l="0" t="0" r="0" b="0"/>
          <a:pathLst>
            <a:path>
              <a:moveTo>
                <a:pt x="0" y="0"/>
              </a:moveTo>
              <a:lnTo>
                <a:pt x="0" y="430871"/>
              </a:lnTo>
              <a:lnTo>
                <a:pt x="243040" y="430871"/>
              </a:lnTo>
            </a:path>
          </a:pathLst>
        </a:custGeom>
        <a:noFill/>
        <a:ln w="12700" cap="flat" cmpd="sng" algn="ctr">
          <a:solidFill>
            <a:schemeClr val="bg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ED1A57F4-21A7-447D-8C89-2A181F835109}">
      <dsp:nvSpPr>
        <dsp:cNvPr id="0" name=""/>
        <dsp:cNvSpPr/>
      </dsp:nvSpPr>
      <dsp:spPr>
        <a:xfrm>
          <a:off x="2046436" y="938055"/>
          <a:ext cx="91440" cy="894530"/>
        </a:xfrm>
        <a:custGeom>
          <a:avLst/>
          <a:gdLst/>
          <a:ahLst/>
          <a:cxnLst/>
          <a:rect l="0" t="0" r="0" b="0"/>
          <a:pathLst>
            <a:path>
              <a:moveTo>
                <a:pt x="114156" y="0"/>
              </a:moveTo>
              <a:lnTo>
                <a:pt x="114156" y="894530"/>
              </a:lnTo>
              <a:lnTo>
                <a:pt x="45720" y="894530"/>
              </a:lnTo>
            </a:path>
          </a:pathLst>
        </a:custGeom>
        <a:noFill/>
        <a:ln w="12700" cap="flat" cmpd="sng" algn="ctr">
          <a:solidFill>
            <a:schemeClr val="bg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F237E681-F190-48D4-9628-8B6EE7C5CA31}">
      <dsp:nvSpPr>
        <dsp:cNvPr id="0" name=""/>
        <dsp:cNvSpPr/>
      </dsp:nvSpPr>
      <dsp:spPr>
        <a:xfrm>
          <a:off x="2114872" y="938055"/>
          <a:ext cx="91440" cy="365793"/>
        </a:xfrm>
        <a:custGeom>
          <a:avLst/>
          <a:gdLst/>
          <a:ahLst/>
          <a:cxnLst/>
          <a:rect l="0" t="0" r="0" b="0"/>
          <a:pathLst>
            <a:path>
              <a:moveTo>
                <a:pt x="45720" y="0"/>
              </a:moveTo>
              <a:lnTo>
                <a:pt x="45720" y="365793"/>
              </a:lnTo>
              <a:lnTo>
                <a:pt x="114156" y="365793"/>
              </a:lnTo>
            </a:path>
          </a:pathLst>
        </a:custGeom>
        <a:noFill/>
        <a:ln w="12700" cap="flat" cmpd="sng" algn="ctr">
          <a:solidFill>
            <a:schemeClr val="bg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4CA09E3D-2054-496B-9C07-DF89C0537A07}">
      <dsp:nvSpPr>
        <dsp:cNvPr id="0" name=""/>
        <dsp:cNvSpPr/>
      </dsp:nvSpPr>
      <dsp:spPr>
        <a:xfrm>
          <a:off x="2046436" y="938055"/>
          <a:ext cx="91440" cy="299816"/>
        </a:xfrm>
        <a:custGeom>
          <a:avLst/>
          <a:gdLst/>
          <a:ahLst/>
          <a:cxnLst/>
          <a:rect l="0" t="0" r="0" b="0"/>
          <a:pathLst>
            <a:path>
              <a:moveTo>
                <a:pt x="114156" y="0"/>
              </a:moveTo>
              <a:lnTo>
                <a:pt x="114156" y="299816"/>
              </a:lnTo>
              <a:lnTo>
                <a:pt x="45720" y="299816"/>
              </a:lnTo>
            </a:path>
          </a:pathLst>
        </a:custGeom>
        <a:noFill/>
        <a:ln w="12700" cap="flat" cmpd="sng" algn="ctr">
          <a:solidFill>
            <a:schemeClr val="bg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C4179974-56D9-4C7F-947F-5BB845358754}">
      <dsp:nvSpPr>
        <dsp:cNvPr id="0" name=""/>
        <dsp:cNvSpPr/>
      </dsp:nvSpPr>
      <dsp:spPr>
        <a:xfrm>
          <a:off x="2618702" y="401599"/>
          <a:ext cx="449069" cy="336664"/>
        </a:xfrm>
        <a:custGeom>
          <a:avLst/>
          <a:gdLst/>
          <a:ahLst/>
          <a:cxnLst/>
          <a:rect l="0" t="0" r="0" b="0"/>
          <a:pathLst>
            <a:path>
              <a:moveTo>
                <a:pt x="449069" y="0"/>
              </a:moveTo>
              <a:lnTo>
                <a:pt x="449069" y="336664"/>
              </a:lnTo>
              <a:lnTo>
                <a:pt x="0" y="336664"/>
              </a:lnTo>
            </a:path>
          </a:pathLst>
        </a:custGeom>
        <a:noFill/>
        <a:ln w="12700" cap="flat" cmpd="sng" algn="ctr">
          <a:solidFill>
            <a:schemeClr val="bg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2AE4223F-223F-45D4-9717-D0B34237AE7B}">
      <dsp:nvSpPr>
        <dsp:cNvPr id="0" name=""/>
        <dsp:cNvSpPr/>
      </dsp:nvSpPr>
      <dsp:spPr>
        <a:xfrm>
          <a:off x="3067771" y="401599"/>
          <a:ext cx="857855" cy="3007566"/>
        </a:xfrm>
        <a:custGeom>
          <a:avLst/>
          <a:gdLst/>
          <a:ahLst/>
          <a:cxnLst/>
          <a:rect l="0" t="0" r="0" b="0"/>
          <a:pathLst>
            <a:path>
              <a:moveTo>
                <a:pt x="0" y="0"/>
              </a:moveTo>
              <a:lnTo>
                <a:pt x="0" y="2939129"/>
              </a:lnTo>
              <a:lnTo>
                <a:pt x="857855" y="2939129"/>
              </a:lnTo>
              <a:lnTo>
                <a:pt x="857855" y="3007566"/>
              </a:lnTo>
            </a:path>
          </a:pathLst>
        </a:custGeom>
        <a:noFill/>
        <a:ln w="12700" cap="flat" cmpd="sng" algn="ctr">
          <a:solidFill>
            <a:schemeClr val="bg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A9B9B840-731C-4AA7-B187-E63AA5466DC2}">
      <dsp:nvSpPr>
        <dsp:cNvPr id="0" name=""/>
        <dsp:cNvSpPr/>
      </dsp:nvSpPr>
      <dsp:spPr>
        <a:xfrm>
          <a:off x="2975957" y="401599"/>
          <a:ext cx="91440" cy="3007566"/>
        </a:xfrm>
        <a:custGeom>
          <a:avLst/>
          <a:gdLst/>
          <a:ahLst/>
          <a:cxnLst/>
          <a:rect l="0" t="0" r="0" b="0"/>
          <a:pathLst>
            <a:path>
              <a:moveTo>
                <a:pt x="91813" y="0"/>
              </a:moveTo>
              <a:lnTo>
                <a:pt x="91813" y="2939129"/>
              </a:lnTo>
              <a:lnTo>
                <a:pt x="45720" y="2939129"/>
              </a:lnTo>
              <a:lnTo>
                <a:pt x="45720" y="300756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D0F590-B358-47E3-B694-695FD4B9761B}">
      <dsp:nvSpPr>
        <dsp:cNvPr id="0" name=""/>
        <dsp:cNvSpPr/>
      </dsp:nvSpPr>
      <dsp:spPr>
        <a:xfrm>
          <a:off x="2163822" y="401599"/>
          <a:ext cx="903948" cy="3007566"/>
        </a:xfrm>
        <a:custGeom>
          <a:avLst/>
          <a:gdLst/>
          <a:ahLst/>
          <a:cxnLst/>
          <a:rect l="0" t="0" r="0" b="0"/>
          <a:pathLst>
            <a:path>
              <a:moveTo>
                <a:pt x="903948" y="0"/>
              </a:moveTo>
              <a:lnTo>
                <a:pt x="903948" y="2939129"/>
              </a:lnTo>
              <a:lnTo>
                <a:pt x="0" y="2939129"/>
              </a:lnTo>
              <a:lnTo>
                <a:pt x="0" y="3007566"/>
              </a:lnTo>
            </a:path>
          </a:pathLst>
        </a:custGeom>
        <a:noFill/>
        <a:ln w="12700" cap="flat" cmpd="sng" algn="ctr">
          <a:solidFill>
            <a:schemeClr val="bg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F0B6F898-C2CE-4086-9801-56C045DA96FA}">
      <dsp:nvSpPr>
        <dsp:cNvPr id="0" name=""/>
        <dsp:cNvSpPr/>
      </dsp:nvSpPr>
      <dsp:spPr>
        <a:xfrm>
          <a:off x="2649084" y="2016"/>
          <a:ext cx="837373" cy="399583"/>
        </a:xfrm>
        <a:prstGeom prst="rect">
          <a:avLst/>
        </a:prstGeom>
        <a:solidFill>
          <a:schemeClr val="bg1">
            <a:lumMod val="95000"/>
          </a:schemeClr>
        </a:solidFill>
        <a:ln w="12700" cap="flat" cmpd="sng" algn="ctr">
          <a:solidFill>
            <a:schemeClr val="bg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CA" sz="1100" b="0" kern="1200">
              <a:solidFill>
                <a:sysClr val="windowText" lastClr="000000"/>
              </a:solidFill>
            </a:rPr>
            <a:t>UQTR</a:t>
          </a:r>
        </a:p>
      </dsp:txBody>
      <dsp:txXfrm>
        <a:off x="2649084" y="2016"/>
        <a:ext cx="837373" cy="399583"/>
      </dsp:txXfrm>
    </dsp:sp>
    <dsp:sp modelId="{DB60AC2A-C1F0-46FB-B786-B4D10E7D0ADA}">
      <dsp:nvSpPr>
        <dsp:cNvPr id="0" name=""/>
        <dsp:cNvSpPr/>
      </dsp:nvSpPr>
      <dsp:spPr>
        <a:xfrm>
          <a:off x="1768726" y="3409166"/>
          <a:ext cx="790191" cy="325887"/>
        </a:xfrm>
        <a:prstGeom prst="rect">
          <a:avLst/>
        </a:prstGeom>
        <a:solidFill>
          <a:srgbClr val="C4960C"/>
        </a:solidFill>
        <a:ln w="12700" cap="flat" cmpd="sng" algn="ctr">
          <a:solidFill>
            <a:schemeClr val="bg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CA" sz="1100" b="0" kern="1200">
              <a:solidFill>
                <a:sysClr val="windowText" lastClr="000000"/>
              </a:solidFill>
            </a:rPr>
            <a:t>Maintenance</a:t>
          </a:r>
        </a:p>
      </dsp:txBody>
      <dsp:txXfrm>
        <a:off x="1768726" y="3409166"/>
        <a:ext cx="790191" cy="325887"/>
      </dsp:txXfrm>
    </dsp:sp>
    <dsp:sp modelId="{D966EA06-956D-48ED-AE3F-B8AF43C5242F}">
      <dsp:nvSpPr>
        <dsp:cNvPr id="0" name=""/>
        <dsp:cNvSpPr/>
      </dsp:nvSpPr>
      <dsp:spPr>
        <a:xfrm>
          <a:off x="2695790" y="3409166"/>
          <a:ext cx="651774" cy="325887"/>
        </a:xfrm>
        <a:prstGeom prst="rect">
          <a:avLst/>
        </a:prstGeom>
        <a:solidFill>
          <a:srgbClr val="C4960C"/>
        </a:solidFill>
        <a:ln w="12700" cap="flat" cmpd="sng" algn="ctr">
          <a:solidFill>
            <a:schemeClr val="bg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CA" sz="1100" b="0" kern="1200">
              <a:solidFill>
                <a:sysClr val="windowText" lastClr="000000"/>
              </a:solidFill>
            </a:rPr>
            <a:t>Sécurité</a:t>
          </a:r>
        </a:p>
      </dsp:txBody>
      <dsp:txXfrm>
        <a:off x="2695790" y="3409166"/>
        <a:ext cx="651774" cy="325887"/>
      </dsp:txXfrm>
    </dsp:sp>
    <dsp:sp modelId="{3C411877-C8D9-4C1C-8CBD-D692A78D5551}">
      <dsp:nvSpPr>
        <dsp:cNvPr id="0" name=""/>
        <dsp:cNvSpPr/>
      </dsp:nvSpPr>
      <dsp:spPr>
        <a:xfrm>
          <a:off x="3484437" y="3409166"/>
          <a:ext cx="882378" cy="398817"/>
        </a:xfrm>
        <a:prstGeom prst="rect">
          <a:avLst/>
        </a:prstGeom>
        <a:solidFill>
          <a:srgbClr val="00703C"/>
        </a:solidFill>
        <a:ln w="12700" cap="flat" cmpd="sng" algn="ctr">
          <a:solidFill>
            <a:schemeClr val="bg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CA" sz="1100" b="0" kern="1200">
              <a:solidFill>
                <a:sysClr val="windowText" lastClr="000000"/>
              </a:solidFill>
            </a:rPr>
            <a:t>Services administratifs</a:t>
          </a:r>
        </a:p>
      </dsp:txBody>
      <dsp:txXfrm>
        <a:off x="3484437" y="3409166"/>
        <a:ext cx="882378" cy="398817"/>
      </dsp:txXfrm>
    </dsp:sp>
    <dsp:sp modelId="{F02CC53F-F191-4DD6-865A-DD513A7BF9CF}">
      <dsp:nvSpPr>
        <dsp:cNvPr id="0" name=""/>
        <dsp:cNvSpPr/>
      </dsp:nvSpPr>
      <dsp:spPr>
        <a:xfrm>
          <a:off x="1702483" y="538472"/>
          <a:ext cx="916218" cy="399583"/>
        </a:xfrm>
        <a:prstGeom prst="rect">
          <a:avLst/>
        </a:prstGeom>
        <a:solidFill>
          <a:schemeClr val="bg1">
            <a:lumMod val="95000"/>
          </a:schemeClr>
        </a:solidFill>
        <a:ln w="12700" cap="flat" cmpd="sng" algn="ctr">
          <a:solidFill>
            <a:schemeClr val="bg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CA" sz="1100" b="0" kern="1200">
              <a:solidFill>
                <a:sysClr val="windowText" lastClr="000000"/>
              </a:solidFill>
            </a:rPr>
            <a:t>Éducation universitaire</a:t>
          </a:r>
        </a:p>
      </dsp:txBody>
      <dsp:txXfrm>
        <a:off x="1702483" y="538472"/>
        <a:ext cx="916218" cy="399583"/>
      </dsp:txXfrm>
    </dsp:sp>
    <dsp:sp modelId="{9F9742A3-CFD2-4FA5-850E-206EC3D24F9A}">
      <dsp:nvSpPr>
        <dsp:cNvPr id="0" name=""/>
        <dsp:cNvSpPr/>
      </dsp:nvSpPr>
      <dsp:spPr>
        <a:xfrm>
          <a:off x="1440382" y="1074928"/>
          <a:ext cx="651774" cy="325887"/>
        </a:xfrm>
        <a:prstGeom prst="rect">
          <a:avLst/>
        </a:prstGeom>
        <a:solidFill>
          <a:srgbClr val="0070C0"/>
        </a:solidFill>
        <a:ln w="12700" cap="flat" cmpd="sng" algn="ctr">
          <a:solidFill>
            <a:schemeClr val="bg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CA" sz="1100" b="0" kern="1200">
              <a:solidFill>
                <a:sysClr val="windowText" lastClr="000000"/>
              </a:solidFill>
            </a:rPr>
            <a:t>Chargés de cours</a:t>
          </a:r>
        </a:p>
      </dsp:txBody>
      <dsp:txXfrm>
        <a:off x="1440382" y="1074928"/>
        <a:ext cx="651774" cy="325887"/>
      </dsp:txXfrm>
    </dsp:sp>
    <dsp:sp modelId="{47FE9582-55A8-49D5-9F32-0081E125DCAF}">
      <dsp:nvSpPr>
        <dsp:cNvPr id="0" name=""/>
        <dsp:cNvSpPr/>
      </dsp:nvSpPr>
      <dsp:spPr>
        <a:xfrm>
          <a:off x="2229029" y="1074928"/>
          <a:ext cx="770305" cy="457842"/>
        </a:xfrm>
        <a:prstGeom prst="rect">
          <a:avLst/>
        </a:prstGeom>
        <a:solidFill>
          <a:srgbClr val="00703C"/>
        </a:solidFill>
        <a:ln w="12700" cap="flat" cmpd="sng" algn="ctr">
          <a:solidFill>
            <a:schemeClr val="bg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CA" sz="1100" b="0" kern="1200">
              <a:solidFill>
                <a:schemeClr val="tx1"/>
              </a:solidFill>
            </a:rPr>
            <a:t>Professorat et recherche</a:t>
          </a:r>
        </a:p>
      </dsp:txBody>
      <dsp:txXfrm>
        <a:off x="2229029" y="1074928"/>
        <a:ext cx="770305" cy="457842"/>
      </dsp:txXfrm>
    </dsp:sp>
    <dsp:sp modelId="{C0E85A03-CFB0-4746-9305-18E46ED1A85F}">
      <dsp:nvSpPr>
        <dsp:cNvPr id="0" name=""/>
        <dsp:cNvSpPr/>
      </dsp:nvSpPr>
      <dsp:spPr>
        <a:xfrm>
          <a:off x="1440382" y="1669642"/>
          <a:ext cx="651774" cy="325887"/>
        </a:xfrm>
        <a:prstGeom prst="rect">
          <a:avLst/>
        </a:prstGeom>
        <a:solidFill>
          <a:srgbClr val="00703C"/>
        </a:solidFill>
        <a:ln w="12700" cap="flat" cmpd="sng" algn="ctr">
          <a:solidFill>
            <a:schemeClr val="bg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CA" sz="1100" b="0" kern="1200">
              <a:solidFill>
                <a:sysClr val="windowText" lastClr="000000"/>
              </a:solidFill>
            </a:rPr>
            <a:t>Cours en ligne</a:t>
          </a:r>
        </a:p>
      </dsp:txBody>
      <dsp:txXfrm>
        <a:off x="1440382" y="1669642"/>
        <a:ext cx="651774" cy="325887"/>
      </dsp:txXfrm>
    </dsp:sp>
    <dsp:sp modelId="{BFFD506F-71FA-47C1-B598-06D26B66DEA6}">
      <dsp:nvSpPr>
        <dsp:cNvPr id="0" name=""/>
        <dsp:cNvSpPr/>
      </dsp:nvSpPr>
      <dsp:spPr>
        <a:xfrm>
          <a:off x="3310811" y="538472"/>
          <a:ext cx="1323466" cy="587998"/>
        </a:xfrm>
        <a:prstGeom prst="rect">
          <a:avLst/>
        </a:prstGeom>
        <a:solidFill>
          <a:schemeClr val="bg1">
            <a:lumMod val="95000"/>
          </a:schemeClr>
        </a:solidFill>
        <a:ln w="12700" cap="flat" cmpd="sng" algn="ctr">
          <a:solidFill>
            <a:schemeClr val="bg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CA" sz="1100" b="0" kern="1200">
              <a:solidFill>
                <a:sysClr val="windowText" lastClr="000000"/>
              </a:solidFill>
            </a:rPr>
            <a:t>Services à la communauté</a:t>
          </a:r>
          <a:br>
            <a:rPr lang="fr-CA" sz="1100" b="0" kern="1200">
              <a:solidFill>
                <a:sysClr val="windowText" lastClr="000000"/>
              </a:solidFill>
            </a:rPr>
          </a:br>
          <a:r>
            <a:rPr lang="fr-CA" sz="1100" b="0" kern="1200">
              <a:solidFill>
                <a:sysClr val="windowText" lastClr="000000"/>
              </a:solidFill>
            </a:rPr>
            <a:t>par domaines</a:t>
          </a:r>
        </a:p>
      </dsp:txBody>
      <dsp:txXfrm>
        <a:off x="3310811" y="538472"/>
        <a:ext cx="1323466" cy="587998"/>
      </dsp:txXfrm>
    </dsp:sp>
    <dsp:sp modelId="{3D014A7C-9AA3-4045-8BB8-AC08CBD6DC16}">
      <dsp:nvSpPr>
        <dsp:cNvPr id="0" name=""/>
        <dsp:cNvSpPr/>
      </dsp:nvSpPr>
      <dsp:spPr>
        <a:xfrm>
          <a:off x="4101109" y="1264258"/>
          <a:ext cx="1062118" cy="399583"/>
        </a:xfrm>
        <a:prstGeom prst="rect">
          <a:avLst/>
        </a:prstGeom>
        <a:solidFill>
          <a:srgbClr val="0070C0"/>
        </a:solidFill>
        <a:ln w="12700" cap="flat" cmpd="sng" algn="ctr">
          <a:solidFill>
            <a:schemeClr val="bg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CA" sz="1100" b="0" kern="1200">
              <a:solidFill>
                <a:sysClr val="windowText" lastClr="000000"/>
              </a:solidFill>
            </a:rPr>
            <a:t>Vie culturelle, sociale et sportive</a:t>
          </a:r>
        </a:p>
      </dsp:txBody>
      <dsp:txXfrm>
        <a:off x="4101109" y="1264258"/>
        <a:ext cx="1062118" cy="399583"/>
      </dsp:txXfrm>
    </dsp:sp>
    <dsp:sp modelId="{A3420F93-208E-470D-B2B1-DA08642CA247}">
      <dsp:nvSpPr>
        <dsp:cNvPr id="0" name=""/>
        <dsp:cNvSpPr/>
      </dsp:nvSpPr>
      <dsp:spPr>
        <a:xfrm>
          <a:off x="4101109" y="1800714"/>
          <a:ext cx="837373" cy="399583"/>
        </a:xfrm>
        <a:prstGeom prst="rect">
          <a:avLst/>
        </a:prstGeom>
        <a:solidFill>
          <a:srgbClr val="0070C0"/>
        </a:solidFill>
        <a:ln w="12700" cap="flat" cmpd="sng" algn="ctr">
          <a:solidFill>
            <a:schemeClr val="bg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CA" sz="1100" b="0" kern="1200">
              <a:solidFill>
                <a:sysClr val="windowText" lastClr="000000"/>
              </a:solidFill>
            </a:rPr>
            <a:t>Médias d'information</a:t>
          </a:r>
        </a:p>
      </dsp:txBody>
      <dsp:txXfrm>
        <a:off x="4101109" y="1800714"/>
        <a:ext cx="837373" cy="399583"/>
      </dsp:txXfrm>
    </dsp:sp>
    <dsp:sp modelId="{1C4417BD-46A6-4D43-BC1D-60FA72967F1E}">
      <dsp:nvSpPr>
        <dsp:cNvPr id="0" name=""/>
        <dsp:cNvSpPr/>
      </dsp:nvSpPr>
      <dsp:spPr>
        <a:xfrm>
          <a:off x="4101109" y="2337170"/>
          <a:ext cx="1268756" cy="399583"/>
        </a:xfrm>
        <a:prstGeom prst="rect">
          <a:avLst/>
        </a:prstGeom>
        <a:solidFill>
          <a:srgbClr val="0070C0"/>
        </a:solidFill>
        <a:ln w="12700" cap="flat" cmpd="sng" algn="ctr">
          <a:solidFill>
            <a:schemeClr val="bg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CA" sz="1100" b="0" kern="1200">
              <a:solidFill>
                <a:sysClr val="windowText" lastClr="000000"/>
              </a:solidFill>
            </a:rPr>
            <a:t>Cliniques de santé universitaires</a:t>
          </a:r>
        </a:p>
      </dsp:txBody>
      <dsp:txXfrm>
        <a:off x="4101109" y="2337170"/>
        <a:ext cx="1268756" cy="399583"/>
      </dsp:txXfrm>
    </dsp:sp>
    <dsp:sp modelId="{5B77F60F-1745-4DF8-880A-FE3A39313938}">
      <dsp:nvSpPr>
        <dsp:cNvPr id="0" name=""/>
        <dsp:cNvSpPr/>
      </dsp:nvSpPr>
      <dsp:spPr>
        <a:xfrm>
          <a:off x="4101109" y="2873626"/>
          <a:ext cx="1167601" cy="399583"/>
        </a:xfrm>
        <a:prstGeom prst="rect">
          <a:avLst/>
        </a:prstGeom>
        <a:solidFill>
          <a:srgbClr val="0070C0"/>
        </a:solidFill>
        <a:ln w="12700" cap="flat" cmpd="sng" algn="ctr">
          <a:solidFill>
            <a:schemeClr val="bg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CA" sz="1100" b="0" kern="1200">
              <a:solidFill>
                <a:sysClr val="windowText" lastClr="000000"/>
              </a:solidFill>
            </a:rPr>
            <a:t>Services et unités en lien avec l'UQTR</a:t>
          </a:r>
        </a:p>
      </dsp:txBody>
      <dsp:txXfrm>
        <a:off x="4101109" y="2873626"/>
        <a:ext cx="1167601" cy="399583"/>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9E7EFE2-8542-412C-BD05-75E5677A02BD}">
      <dsp:nvSpPr>
        <dsp:cNvPr id="0" name=""/>
        <dsp:cNvSpPr/>
      </dsp:nvSpPr>
      <dsp:spPr>
        <a:xfrm>
          <a:off x="4510672" y="2080599"/>
          <a:ext cx="142308" cy="1199182"/>
        </a:xfrm>
        <a:custGeom>
          <a:avLst/>
          <a:gdLst/>
          <a:ahLst/>
          <a:cxnLst/>
          <a:rect l="0" t="0" r="0" b="0"/>
          <a:pathLst>
            <a:path>
              <a:moveTo>
                <a:pt x="0" y="0"/>
              </a:moveTo>
              <a:lnTo>
                <a:pt x="0" y="1199182"/>
              </a:lnTo>
              <a:lnTo>
                <a:pt x="142308" y="119918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BAD5EE-898D-418F-8952-6C26E4134B98}">
      <dsp:nvSpPr>
        <dsp:cNvPr id="0" name=""/>
        <dsp:cNvSpPr/>
      </dsp:nvSpPr>
      <dsp:spPr>
        <a:xfrm>
          <a:off x="4510672" y="2080599"/>
          <a:ext cx="142308" cy="416882"/>
        </a:xfrm>
        <a:custGeom>
          <a:avLst/>
          <a:gdLst/>
          <a:ahLst/>
          <a:cxnLst/>
          <a:rect l="0" t="0" r="0" b="0"/>
          <a:pathLst>
            <a:path>
              <a:moveTo>
                <a:pt x="0" y="0"/>
              </a:moveTo>
              <a:lnTo>
                <a:pt x="0" y="416882"/>
              </a:lnTo>
              <a:lnTo>
                <a:pt x="142308" y="41688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04406A-96A5-4937-B0E8-C9F1DA14F685}">
      <dsp:nvSpPr>
        <dsp:cNvPr id="0" name=""/>
        <dsp:cNvSpPr/>
      </dsp:nvSpPr>
      <dsp:spPr>
        <a:xfrm>
          <a:off x="3984187" y="1472959"/>
          <a:ext cx="905973" cy="154921"/>
        </a:xfrm>
        <a:custGeom>
          <a:avLst/>
          <a:gdLst/>
          <a:ahLst/>
          <a:cxnLst/>
          <a:rect l="0" t="0" r="0" b="0"/>
          <a:pathLst>
            <a:path>
              <a:moveTo>
                <a:pt x="0" y="0"/>
              </a:moveTo>
              <a:lnTo>
                <a:pt x="0" y="77460"/>
              </a:lnTo>
              <a:lnTo>
                <a:pt x="905973" y="77460"/>
              </a:lnTo>
              <a:lnTo>
                <a:pt x="905973" y="154921"/>
              </a:lnTo>
            </a:path>
          </a:pathLst>
        </a:custGeom>
        <a:noFill/>
        <a:ln w="12700" cap="flat" cmpd="sng" algn="ctr">
          <a:solidFill>
            <a:schemeClr val="bg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00319E7F-F8A1-43DA-9BAC-941750DED466}">
      <dsp:nvSpPr>
        <dsp:cNvPr id="0" name=""/>
        <dsp:cNvSpPr/>
      </dsp:nvSpPr>
      <dsp:spPr>
        <a:xfrm>
          <a:off x="3406876" y="2080599"/>
          <a:ext cx="142308" cy="371580"/>
        </a:xfrm>
        <a:custGeom>
          <a:avLst/>
          <a:gdLst/>
          <a:ahLst/>
          <a:cxnLst/>
          <a:rect l="0" t="0" r="0" b="0"/>
          <a:pathLst>
            <a:path>
              <a:moveTo>
                <a:pt x="0" y="0"/>
              </a:moveTo>
              <a:lnTo>
                <a:pt x="0" y="371580"/>
              </a:lnTo>
              <a:lnTo>
                <a:pt x="142308" y="3715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2CE9D4-320B-4306-8C04-5D70E05E1121}">
      <dsp:nvSpPr>
        <dsp:cNvPr id="0" name=""/>
        <dsp:cNvSpPr/>
      </dsp:nvSpPr>
      <dsp:spPr>
        <a:xfrm>
          <a:off x="3786365" y="1472959"/>
          <a:ext cx="197821" cy="154921"/>
        </a:xfrm>
        <a:custGeom>
          <a:avLst/>
          <a:gdLst/>
          <a:ahLst/>
          <a:cxnLst/>
          <a:rect l="0" t="0" r="0" b="0"/>
          <a:pathLst>
            <a:path>
              <a:moveTo>
                <a:pt x="197821" y="0"/>
              </a:moveTo>
              <a:lnTo>
                <a:pt x="197821" y="77460"/>
              </a:lnTo>
              <a:lnTo>
                <a:pt x="0" y="77460"/>
              </a:lnTo>
              <a:lnTo>
                <a:pt x="0" y="154921"/>
              </a:lnTo>
            </a:path>
          </a:pathLst>
        </a:custGeom>
        <a:noFill/>
        <a:ln w="12700" cap="flat" cmpd="sng" algn="ctr">
          <a:solidFill>
            <a:schemeClr val="bg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9ECF47F5-D483-41A1-913E-307DE812DCD4}">
      <dsp:nvSpPr>
        <dsp:cNvPr id="0" name=""/>
        <dsp:cNvSpPr/>
      </dsp:nvSpPr>
      <dsp:spPr>
        <a:xfrm>
          <a:off x="2303081" y="2080599"/>
          <a:ext cx="142308" cy="524883"/>
        </a:xfrm>
        <a:custGeom>
          <a:avLst/>
          <a:gdLst/>
          <a:ahLst/>
          <a:cxnLst/>
          <a:rect l="0" t="0" r="0" b="0"/>
          <a:pathLst>
            <a:path>
              <a:moveTo>
                <a:pt x="0" y="0"/>
              </a:moveTo>
              <a:lnTo>
                <a:pt x="0" y="524883"/>
              </a:lnTo>
              <a:lnTo>
                <a:pt x="142308" y="5248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2732E5-2484-41E9-9CC7-9E72CB825B57}">
      <dsp:nvSpPr>
        <dsp:cNvPr id="0" name=""/>
        <dsp:cNvSpPr/>
      </dsp:nvSpPr>
      <dsp:spPr>
        <a:xfrm>
          <a:off x="2682570" y="1472959"/>
          <a:ext cx="1301617" cy="154921"/>
        </a:xfrm>
        <a:custGeom>
          <a:avLst/>
          <a:gdLst/>
          <a:ahLst/>
          <a:cxnLst/>
          <a:rect l="0" t="0" r="0" b="0"/>
          <a:pathLst>
            <a:path>
              <a:moveTo>
                <a:pt x="1301617" y="0"/>
              </a:moveTo>
              <a:lnTo>
                <a:pt x="1301617" y="77460"/>
              </a:lnTo>
              <a:lnTo>
                <a:pt x="0" y="77460"/>
              </a:lnTo>
              <a:lnTo>
                <a:pt x="0" y="154921"/>
              </a:lnTo>
            </a:path>
          </a:pathLst>
        </a:custGeom>
        <a:noFill/>
        <a:ln w="12700" cap="flat" cmpd="sng" algn="ctr">
          <a:solidFill>
            <a:schemeClr val="bg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B8C05286-CC51-435C-99F7-BDF20AEBDA72}">
      <dsp:nvSpPr>
        <dsp:cNvPr id="0" name=""/>
        <dsp:cNvSpPr/>
      </dsp:nvSpPr>
      <dsp:spPr>
        <a:xfrm>
          <a:off x="2130672" y="865320"/>
          <a:ext cx="912250" cy="381280"/>
        </a:xfrm>
        <a:custGeom>
          <a:avLst/>
          <a:gdLst/>
          <a:ahLst/>
          <a:cxnLst/>
          <a:rect l="0" t="0" r="0" b="0"/>
          <a:pathLst>
            <a:path>
              <a:moveTo>
                <a:pt x="0" y="0"/>
              </a:moveTo>
              <a:lnTo>
                <a:pt x="0" y="381280"/>
              </a:lnTo>
              <a:lnTo>
                <a:pt x="912250" y="381280"/>
              </a:lnTo>
            </a:path>
          </a:pathLst>
        </a:custGeom>
        <a:noFill/>
        <a:ln w="12700" cap="flat" cmpd="sng" algn="ctr">
          <a:solidFill>
            <a:schemeClr val="bg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F275833F-18CD-4A8D-9326-B9F8C7BEE354}">
      <dsp:nvSpPr>
        <dsp:cNvPr id="0" name=""/>
        <dsp:cNvSpPr/>
      </dsp:nvSpPr>
      <dsp:spPr>
        <a:xfrm>
          <a:off x="982159" y="1472959"/>
          <a:ext cx="91440" cy="988256"/>
        </a:xfrm>
        <a:custGeom>
          <a:avLst/>
          <a:gdLst/>
          <a:ahLst/>
          <a:cxnLst/>
          <a:rect l="0" t="0" r="0" b="0"/>
          <a:pathLst>
            <a:path>
              <a:moveTo>
                <a:pt x="45720" y="0"/>
              </a:moveTo>
              <a:lnTo>
                <a:pt x="45720" y="988256"/>
              </a:lnTo>
              <a:lnTo>
                <a:pt x="123180" y="988256"/>
              </a:lnTo>
            </a:path>
          </a:pathLst>
        </a:custGeom>
        <a:noFill/>
        <a:ln w="12700" cap="flat" cmpd="sng" algn="ctr">
          <a:solidFill>
            <a:schemeClr val="bg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DA99C964-4502-4373-B273-414A3FDDA8DB}">
      <dsp:nvSpPr>
        <dsp:cNvPr id="0" name=""/>
        <dsp:cNvSpPr/>
      </dsp:nvSpPr>
      <dsp:spPr>
        <a:xfrm>
          <a:off x="904698" y="1472959"/>
          <a:ext cx="91440" cy="988256"/>
        </a:xfrm>
        <a:custGeom>
          <a:avLst/>
          <a:gdLst/>
          <a:ahLst/>
          <a:cxnLst/>
          <a:rect l="0" t="0" r="0" b="0"/>
          <a:pathLst>
            <a:path>
              <a:moveTo>
                <a:pt x="123180" y="0"/>
              </a:moveTo>
              <a:lnTo>
                <a:pt x="123180" y="988256"/>
              </a:lnTo>
              <a:lnTo>
                <a:pt x="45720" y="988256"/>
              </a:lnTo>
            </a:path>
          </a:pathLst>
        </a:custGeom>
        <a:noFill/>
        <a:ln w="12700" cap="flat" cmpd="sng" algn="ctr">
          <a:solidFill>
            <a:schemeClr val="bg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9599EAAB-357E-48C8-823C-37B6D6F69C31}">
      <dsp:nvSpPr>
        <dsp:cNvPr id="0" name=""/>
        <dsp:cNvSpPr/>
      </dsp:nvSpPr>
      <dsp:spPr>
        <a:xfrm>
          <a:off x="982159" y="1472959"/>
          <a:ext cx="91440" cy="381059"/>
        </a:xfrm>
        <a:custGeom>
          <a:avLst/>
          <a:gdLst/>
          <a:ahLst/>
          <a:cxnLst/>
          <a:rect l="0" t="0" r="0" b="0"/>
          <a:pathLst>
            <a:path>
              <a:moveTo>
                <a:pt x="45720" y="0"/>
              </a:moveTo>
              <a:lnTo>
                <a:pt x="45720" y="381059"/>
              </a:lnTo>
              <a:lnTo>
                <a:pt x="123180" y="381059"/>
              </a:lnTo>
            </a:path>
          </a:pathLst>
        </a:custGeom>
        <a:noFill/>
        <a:ln w="12700" cap="flat" cmpd="sng" algn="ctr">
          <a:solidFill>
            <a:schemeClr val="bg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368E5BBB-1740-4EE4-9619-9A2DEB463279}">
      <dsp:nvSpPr>
        <dsp:cNvPr id="0" name=""/>
        <dsp:cNvSpPr/>
      </dsp:nvSpPr>
      <dsp:spPr>
        <a:xfrm>
          <a:off x="904698" y="1472959"/>
          <a:ext cx="91440" cy="381059"/>
        </a:xfrm>
        <a:custGeom>
          <a:avLst/>
          <a:gdLst/>
          <a:ahLst/>
          <a:cxnLst/>
          <a:rect l="0" t="0" r="0" b="0"/>
          <a:pathLst>
            <a:path>
              <a:moveTo>
                <a:pt x="123180" y="0"/>
              </a:moveTo>
              <a:lnTo>
                <a:pt x="123180" y="381059"/>
              </a:lnTo>
              <a:lnTo>
                <a:pt x="45720" y="381059"/>
              </a:lnTo>
            </a:path>
          </a:pathLst>
        </a:custGeom>
        <a:noFill/>
        <a:ln w="12700" cap="flat" cmpd="sng" algn="ctr">
          <a:solidFill>
            <a:schemeClr val="bg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C4179974-56D9-4C7F-947F-5BB845358754}">
      <dsp:nvSpPr>
        <dsp:cNvPr id="0" name=""/>
        <dsp:cNvSpPr/>
      </dsp:nvSpPr>
      <dsp:spPr>
        <a:xfrm>
          <a:off x="1546905" y="865320"/>
          <a:ext cx="583767" cy="381280"/>
        </a:xfrm>
        <a:custGeom>
          <a:avLst/>
          <a:gdLst/>
          <a:ahLst/>
          <a:cxnLst/>
          <a:rect l="0" t="0" r="0" b="0"/>
          <a:pathLst>
            <a:path>
              <a:moveTo>
                <a:pt x="583767" y="0"/>
              </a:moveTo>
              <a:lnTo>
                <a:pt x="583767" y="381280"/>
              </a:lnTo>
              <a:lnTo>
                <a:pt x="0" y="381280"/>
              </a:lnTo>
            </a:path>
          </a:pathLst>
        </a:custGeom>
        <a:noFill/>
        <a:ln w="12700" cap="flat" cmpd="sng" algn="ctr">
          <a:solidFill>
            <a:schemeClr val="bg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F0B6F898-C2CE-4086-9801-56C045DA96FA}">
      <dsp:nvSpPr>
        <dsp:cNvPr id="0" name=""/>
        <dsp:cNvSpPr/>
      </dsp:nvSpPr>
      <dsp:spPr>
        <a:xfrm>
          <a:off x="1656311" y="412603"/>
          <a:ext cx="948722" cy="452717"/>
        </a:xfrm>
        <a:prstGeom prst="rect">
          <a:avLst/>
        </a:prstGeom>
        <a:noFill/>
        <a:ln w="12700" cap="flat" cmpd="sng" algn="ctr">
          <a:solidFill>
            <a:schemeClr val="bg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CA" sz="1100" b="1" kern="1200">
              <a:solidFill>
                <a:sysClr val="windowText" lastClr="000000"/>
              </a:solidFill>
            </a:rPr>
            <a:t>UQTR</a:t>
          </a:r>
        </a:p>
      </dsp:txBody>
      <dsp:txXfrm>
        <a:off x="1656311" y="412603"/>
        <a:ext cx="948722" cy="452717"/>
      </dsp:txXfrm>
    </dsp:sp>
    <dsp:sp modelId="{F02CC53F-F191-4DD6-865A-DD513A7BF9CF}">
      <dsp:nvSpPr>
        <dsp:cNvPr id="0" name=""/>
        <dsp:cNvSpPr/>
      </dsp:nvSpPr>
      <dsp:spPr>
        <a:xfrm>
          <a:off x="508853" y="1020242"/>
          <a:ext cx="1038051" cy="452717"/>
        </a:xfrm>
        <a:prstGeom prst="rect">
          <a:avLst/>
        </a:prstGeom>
        <a:noFill/>
        <a:ln w="12700" cap="flat" cmpd="sng" algn="ctr">
          <a:solidFill>
            <a:schemeClr val="bg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CA" sz="900" b="1" kern="1200">
              <a:solidFill>
                <a:sysClr val="windowText" lastClr="000000"/>
              </a:solidFill>
            </a:rPr>
            <a:t>Éducation universitaire</a:t>
          </a:r>
        </a:p>
      </dsp:txBody>
      <dsp:txXfrm>
        <a:off x="508853" y="1020242"/>
        <a:ext cx="1038051" cy="452717"/>
      </dsp:txXfrm>
    </dsp:sp>
    <dsp:sp modelId="{DAA8AC4B-80BF-442C-B67F-3344680B3838}">
      <dsp:nvSpPr>
        <dsp:cNvPr id="0" name=""/>
        <dsp:cNvSpPr/>
      </dsp:nvSpPr>
      <dsp:spPr>
        <a:xfrm>
          <a:off x="2622" y="1627881"/>
          <a:ext cx="947795" cy="452275"/>
        </a:xfrm>
        <a:prstGeom prst="rect">
          <a:avLst/>
        </a:prstGeom>
        <a:noFill/>
        <a:ln w="12700" cap="flat" cmpd="sng" algn="ctr">
          <a:solidFill>
            <a:schemeClr val="bg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CA" sz="900" kern="1200">
              <a:solidFill>
                <a:sysClr val="windowText" lastClr="000000"/>
              </a:solidFill>
            </a:rPr>
            <a:t>Étudiants en campus visant une diplômation</a:t>
          </a:r>
        </a:p>
      </dsp:txBody>
      <dsp:txXfrm>
        <a:off x="2622" y="1627881"/>
        <a:ext cx="947795" cy="452275"/>
      </dsp:txXfrm>
    </dsp:sp>
    <dsp:sp modelId="{0781F767-F4E6-4B73-963A-4EC747690291}">
      <dsp:nvSpPr>
        <dsp:cNvPr id="0" name=""/>
        <dsp:cNvSpPr/>
      </dsp:nvSpPr>
      <dsp:spPr>
        <a:xfrm>
          <a:off x="1105340" y="1627881"/>
          <a:ext cx="947795" cy="452275"/>
        </a:xfrm>
        <a:prstGeom prst="rect">
          <a:avLst/>
        </a:prstGeom>
        <a:noFill/>
        <a:ln w="12700" cap="flat" cmpd="sng" algn="ctr">
          <a:solidFill>
            <a:schemeClr val="bg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CA" sz="900" kern="1200">
              <a:solidFill>
                <a:sysClr val="windowText" lastClr="000000"/>
              </a:solidFill>
            </a:rPr>
            <a:t>Étudiants hors campus visant une diplômation</a:t>
          </a:r>
        </a:p>
      </dsp:txBody>
      <dsp:txXfrm>
        <a:off x="1105340" y="1627881"/>
        <a:ext cx="947795" cy="452275"/>
      </dsp:txXfrm>
    </dsp:sp>
    <dsp:sp modelId="{74BCC1D9-FE4D-42BA-8DA3-C04AAFE22657}">
      <dsp:nvSpPr>
        <dsp:cNvPr id="0" name=""/>
        <dsp:cNvSpPr/>
      </dsp:nvSpPr>
      <dsp:spPr>
        <a:xfrm>
          <a:off x="2622" y="2235078"/>
          <a:ext cx="947795" cy="452275"/>
        </a:xfrm>
        <a:prstGeom prst="rect">
          <a:avLst/>
        </a:prstGeom>
        <a:noFill/>
        <a:ln w="12700" cap="flat" cmpd="sng" algn="ctr">
          <a:solidFill>
            <a:schemeClr val="bg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CA" sz="900" kern="1200">
              <a:solidFill>
                <a:sysClr val="windowText" lastClr="000000"/>
              </a:solidFill>
            </a:rPr>
            <a:t>Université du troisième âge</a:t>
          </a:r>
        </a:p>
      </dsp:txBody>
      <dsp:txXfrm>
        <a:off x="2622" y="2235078"/>
        <a:ext cx="947795" cy="452275"/>
      </dsp:txXfrm>
    </dsp:sp>
    <dsp:sp modelId="{3E7FBC34-A93B-47BD-B407-4DFFBBC80502}">
      <dsp:nvSpPr>
        <dsp:cNvPr id="0" name=""/>
        <dsp:cNvSpPr/>
      </dsp:nvSpPr>
      <dsp:spPr>
        <a:xfrm>
          <a:off x="1105340" y="2235078"/>
          <a:ext cx="947795" cy="452275"/>
        </a:xfrm>
        <a:prstGeom prst="rect">
          <a:avLst/>
        </a:prstGeom>
        <a:noFill/>
        <a:ln w="12700" cap="flat" cmpd="sng" algn="ctr">
          <a:solidFill>
            <a:schemeClr val="bg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CA" sz="900" kern="1200">
              <a:solidFill>
                <a:sysClr val="windowText" lastClr="000000"/>
              </a:solidFill>
            </a:rPr>
            <a:t>Cours en ligne ouverts aux masses (MOOC)</a:t>
          </a:r>
        </a:p>
      </dsp:txBody>
      <dsp:txXfrm>
        <a:off x="1105340" y="2235078"/>
        <a:ext cx="947795" cy="452275"/>
      </dsp:txXfrm>
    </dsp:sp>
    <dsp:sp modelId="{BFFD506F-71FA-47C1-B598-06D26B66DEA6}">
      <dsp:nvSpPr>
        <dsp:cNvPr id="0" name=""/>
        <dsp:cNvSpPr/>
      </dsp:nvSpPr>
      <dsp:spPr>
        <a:xfrm>
          <a:off x="3042923" y="1020242"/>
          <a:ext cx="1882528" cy="452717"/>
        </a:xfrm>
        <a:prstGeom prst="rect">
          <a:avLst/>
        </a:prstGeom>
        <a:noFill/>
        <a:ln w="12700" cap="flat" cmpd="sng" algn="ctr">
          <a:solidFill>
            <a:srgbClr val="FFC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CA" sz="1400" b="1" kern="1200">
              <a:solidFill>
                <a:sysClr val="windowText" lastClr="000000"/>
              </a:solidFill>
            </a:rPr>
            <a:t>CSCPM</a:t>
          </a:r>
        </a:p>
      </dsp:txBody>
      <dsp:txXfrm>
        <a:off x="3042923" y="1020242"/>
        <a:ext cx="1882528" cy="452717"/>
      </dsp:txXfrm>
    </dsp:sp>
    <dsp:sp modelId="{3D014A7C-9AA3-4045-8BB8-AC08CBD6DC16}">
      <dsp:nvSpPr>
        <dsp:cNvPr id="0" name=""/>
        <dsp:cNvSpPr/>
      </dsp:nvSpPr>
      <dsp:spPr>
        <a:xfrm>
          <a:off x="2208209" y="1627881"/>
          <a:ext cx="948722" cy="452717"/>
        </a:xfrm>
        <a:prstGeom prst="rect">
          <a:avLst/>
        </a:prstGeom>
        <a:noFill/>
        <a:ln w="12700" cap="flat" cmpd="sng" algn="ctr">
          <a:solidFill>
            <a:schemeClr val="bg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CA" sz="1000" b="1" kern="1200">
              <a:solidFill>
                <a:srgbClr val="00B050"/>
              </a:solidFill>
            </a:rPr>
            <a:t>Vie culturelle, sociale et sportive</a:t>
          </a:r>
        </a:p>
      </dsp:txBody>
      <dsp:txXfrm>
        <a:off x="2208209" y="1627881"/>
        <a:ext cx="948722" cy="452717"/>
      </dsp:txXfrm>
    </dsp:sp>
    <dsp:sp modelId="{29427974-D314-484B-A425-03B2322FB6AA}">
      <dsp:nvSpPr>
        <dsp:cNvPr id="0" name=""/>
        <dsp:cNvSpPr/>
      </dsp:nvSpPr>
      <dsp:spPr>
        <a:xfrm>
          <a:off x="2445389" y="2235520"/>
          <a:ext cx="851166" cy="739923"/>
        </a:xfrm>
        <a:prstGeom prst="rect">
          <a:avLst/>
        </a:prstGeom>
        <a:noFill/>
        <a:ln w="12700" cap="flat" cmpd="sng" algn="ctr">
          <a:solidFill>
            <a:schemeClr val="bg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CA" sz="1000" kern="1200">
              <a:solidFill>
                <a:srgbClr val="FF0000"/>
              </a:solidFill>
            </a:rPr>
            <a:t>Centre de l'activité physique et sportive (CAPS)</a:t>
          </a:r>
        </a:p>
      </dsp:txBody>
      <dsp:txXfrm>
        <a:off x="2445389" y="2235520"/>
        <a:ext cx="851166" cy="739923"/>
      </dsp:txXfrm>
    </dsp:sp>
    <dsp:sp modelId="{1C4417BD-46A6-4D43-BC1D-60FA72967F1E}">
      <dsp:nvSpPr>
        <dsp:cNvPr id="0" name=""/>
        <dsp:cNvSpPr/>
      </dsp:nvSpPr>
      <dsp:spPr>
        <a:xfrm>
          <a:off x="3312004" y="1627881"/>
          <a:ext cx="948722" cy="452717"/>
        </a:xfrm>
        <a:prstGeom prst="rect">
          <a:avLst/>
        </a:prstGeom>
        <a:noFill/>
        <a:ln w="12700" cap="flat" cmpd="sng" algn="ctr">
          <a:solidFill>
            <a:schemeClr val="bg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CA" sz="1000" b="1" kern="1200">
              <a:solidFill>
                <a:srgbClr val="00B050"/>
              </a:solidFill>
            </a:rPr>
            <a:t>Cliniques de santé universitaires</a:t>
          </a:r>
        </a:p>
      </dsp:txBody>
      <dsp:txXfrm>
        <a:off x="3312004" y="1627881"/>
        <a:ext cx="948722" cy="452717"/>
      </dsp:txXfrm>
    </dsp:sp>
    <dsp:sp modelId="{CAE49859-BC31-4772-B438-79069E0385D0}">
      <dsp:nvSpPr>
        <dsp:cNvPr id="0" name=""/>
        <dsp:cNvSpPr/>
      </dsp:nvSpPr>
      <dsp:spPr>
        <a:xfrm>
          <a:off x="3549185" y="2235520"/>
          <a:ext cx="738443" cy="433318"/>
        </a:xfrm>
        <a:prstGeom prst="rect">
          <a:avLst/>
        </a:prstGeom>
        <a:noFill/>
        <a:ln w="12700" cap="flat" cmpd="sng" algn="ctr">
          <a:solidFill>
            <a:schemeClr val="bg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CA" sz="1000" b="0" kern="1200">
              <a:solidFill>
                <a:srgbClr val="FF0000"/>
              </a:solidFill>
            </a:rPr>
            <a:t>Ensemble des cliniques de santé</a:t>
          </a:r>
        </a:p>
      </dsp:txBody>
      <dsp:txXfrm>
        <a:off x="3549185" y="2235520"/>
        <a:ext cx="738443" cy="433318"/>
      </dsp:txXfrm>
    </dsp:sp>
    <dsp:sp modelId="{5B77F60F-1745-4DF8-880A-FE3A39313938}">
      <dsp:nvSpPr>
        <dsp:cNvPr id="0" name=""/>
        <dsp:cNvSpPr/>
      </dsp:nvSpPr>
      <dsp:spPr>
        <a:xfrm>
          <a:off x="4415800" y="1627881"/>
          <a:ext cx="948722" cy="452717"/>
        </a:xfrm>
        <a:prstGeom prst="rect">
          <a:avLst/>
        </a:prstGeom>
        <a:noFill/>
        <a:ln w="12700" cap="flat" cmpd="sng" algn="ctr">
          <a:solidFill>
            <a:schemeClr val="bg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CA" sz="1000" b="1" kern="1200">
              <a:solidFill>
                <a:srgbClr val="00B050"/>
              </a:solidFill>
            </a:rPr>
            <a:t>Services et unités en lien avec l'UQTR</a:t>
          </a:r>
        </a:p>
      </dsp:txBody>
      <dsp:txXfrm>
        <a:off x="4415800" y="1627881"/>
        <a:ext cx="948722" cy="452717"/>
      </dsp:txXfrm>
    </dsp:sp>
    <dsp:sp modelId="{CCA8BADF-A610-4BA9-847D-FB4C7C21079D}">
      <dsp:nvSpPr>
        <dsp:cNvPr id="0" name=""/>
        <dsp:cNvSpPr/>
      </dsp:nvSpPr>
      <dsp:spPr>
        <a:xfrm>
          <a:off x="4652980" y="2235520"/>
          <a:ext cx="868896" cy="523921"/>
        </a:xfrm>
        <a:prstGeom prst="rect">
          <a:avLst/>
        </a:prstGeom>
        <a:noFill/>
        <a:ln w="12700" cap="flat" cmpd="sng" algn="ctr">
          <a:solidFill>
            <a:schemeClr val="bg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CA" sz="1000" kern="1200">
              <a:solidFill>
                <a:srgbClr val="FF0000"/>
              </a:solidFill>
            </a:rPr>
            <a:t>Orientation scolaire et professionnelle</a:t>
          </a:r>
        </a:p>
      </dsp:txBody>
      <dsp:txXfrm>
        <a:off x="4652980" y="2235520"/>
        <a:ext cx="868896" cy="523921"/>
      </dsp:txXfrm>
    </dsp:sp>
    <dsp:sp modelId="{E05C42C4-F649-4085-B068-C5F23BBC45B1}">
      <dsp:nvSpPr>
        <dsp:cNvPr id="0" name=""/>
        <dsp:cNvSpPr/>
      </dsp:nvSpPr>
      <dsp:spPr>
        <a:xfrm>
          <a:off x="4652980" y="2914515"/>
          <a:ext cx="868896" cy="730530"/>
        </a:xfrm>
        <a:prstGeom prst="rect">
          <a:avLst/>
        </a:prstGeom>
        <a:noFill/>
        <a:ln w="12700" cap="flat" cmpd="sng" algn="ctr">
          <a:solidFill>
            <a:schemeClr val="bg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CA" sz="1000" kern="1200">
              <a:solidFill>
                <a:srgbClr val="FF0000"/>
              </a:solidFill>
            </a:rPr>
            <a:t>Service d'aide aux devoirs pour élèves du primaire et secondaire</a:t>
          </a:r>
        </a:p>
      </dsp:txBody>
      <dsp:txXfrm>
        <a:off x="4652980" y="2914515"/>
        <a:ext cx="868896" cy="730530"/>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660512D-6D77-49D2-8D3F-F99FA4DFBBDC}">
      <dsp:nvSpPr>
        <dsp:cNvPr id="0" name=""/>
        <dsp:cNvSpPr/>
      </dsp:nvSpPr>
      <dsp:spPr>
        <a:xfrm>
          <a:off x="1931025" y="1455127"/>
          <a:ext cx="1323994" cy="1105484"/>
        </a:xfrm>
        <a:prstGeom prst="ellipse">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fr-CA" sz="1800" kern="1200"/>
            <a:t>Mandat de L'UQTR</a:t>
          </a:r>
        </a:p>
      </dsp:txBody>
      <dsp:txXfrm>
        <a:off x="1931025" y="1455127"/>
        <a:ext cx="1323994" cy="1105484"/>
      </dsp:txXfrm>
    </dsp:sp>
    <dsp:sp modelId="{0DC0640E-F25F-40D5-810F-2A9FF77B28BB}">
      <dsp:nvSpPr>
        <dsp:cNvPr id="0" name=""/>
        <dsp:cNvSpPr/>
      </dsp:nvSpPr>
      <dsp:spPr>
        <a:xfrm rot="16200000">
          <a:off x="2528431" y="1371352"/>
          <a:ext cx="129181" cy="38369"/>
        </a:xfrm>
        <a:custGeom>
          <a:avLst/>
          <a:gdLst/>
          <a:ahLst/>
          <a:cxnLst/>
          <a:rect l="0" t="0" r="0" b="0"/>
          <a:pathLst>
            <a:path>
              <a:moveTo>
                <a:pt x="0" y="19184"/>
              </a:moveTo>
              <a:lnTo>
                <a:pt x="129181" y="191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fr-CA" sz="700" kern="1200"/>
        </a:p>
      </dsp:txBody>
      <dsp:txXfrm rot="16200000">
        <a:off x="2589792" y="1387307"/>
        <a:ext cx="6459" cy="6459"/>
      </dsp:txXfrm>
    </dsp:sp>
    <dsp:sp modelId="{DB6DEBE2-27F8-4901-BCD1-EF37D6E87EE8}">
      <dsp:nvSpPr>
        <dsp:cNvPr id="0" name=""/>
        <dsp:cNvSpPr/>
      </dsp:nvSpPr>
      <dsp:spPr>
        <a:xfrm>
          <a:off x="1824539" y="-189562"/>
          <a:ext cx="1536966" cy="1515509"/>
        </a:xfrm>
        <a:prstGeom prst="ellipse">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CA" sz="1100" kern="1200"/>
            <a:t>Développer la formation,</a:t>
          </a:r>
        </a:p>
        <a:p>
          <a:pPr lvl="0" algn="ctr" defTabSz="488950">
            <a:lnSpc>
              <a:spcPct val="90000"/>
            </a:lnSpc>
            <a:spcBef>
              <a:spcPct val="0"/>
            </a:spcBef>
            <a:spcAft>
              <a:spcPct val="35000"/>
            </a:spcAft>
          </a:pPr>
          <a:r>
            <a:rPr lang="fr-CA" sz="1100" kern="1200"/>
            <a:t>enrichir le contexte d’apprentissage</a:t>
          </a:r>
        </a:p>
        <a:p>
          <a:pPr lvl="0" algn="ctr" defTabSz="488950">
            <a:lnSpc>
              <a:spcPct val="90000"/>
            </a:lnSpc>
            <a:spcBef>
              <a:spcPct val="0"/>
            </a:spcBef>
            <a:spcAft>
              <a:spcPct val="35000"/>
            </a:spcAft>
          </a:pPr>
          <a:r>
            <a:rPr lang="fr-CA" sz="1100" kern="1200"/>
            <a:t>et soutenir la réussite</a:t>
          </a:r>
        </a:p>
      </dsp:txBody>
      <dsp:txXfrm>
        <a:off x="1824539" y="-189562"/>
        <a:ext cx="1536966" cy="1515509"/>
      </dsp:txXfrm>
    </dsp:sp>
    <dsp:sp modelId="{869FF3E1-4C8E-4B07-8F54-1C453BA27946}">
      <dsp:nvSpPr>
        <dsp:cNvPr id="0" name=""/>
        <dsp:cNvSpPr/>
      </dsp:nvSpPr>
      <dsp:spPr>
        <a:xfrm>
          <a:off x="3255019" y="1988685"/>
          <a:ext cx="9197" cy="38369"/>
        </a:xfrm>
        <a:custGeom>
          <a:avLst/>
          <a:gdLst/>
          <a:ahLst/>
          <a:cxnLst/>
          <a:rect l="0" t="0" r="0" b="0"/>
          <a:pathLst>
            <a:path>
              <a:moveTo>
                <a:pt x="0" y="19184"/>
              </a:moveTo>
              <a:lnTo>
                <a:pt x="9197" y="191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fr-CA" sz="700" kern="1200"/>
        </a:p>
      </dsp:txBody>
      <dsp:txXfrm>
        <a:off x="3259388" y="2007640"/>
        <a:ext cx="459" cy="459"/>
      </dsp:txXfrm>
    </dsp:sp>
    <dsp:sp modelId="{B66147CA-76C6-4A94-A15A-2A003C6586BD}">
      <dsp:nvSpPr>
        <dsp:cNvPr id="0" name=""/>
        <dsp:cNvSpPr/>
      </dsp:nvSpPr>
      <dsp:spPr>
        <a:xfrm>
          <a:off x="3264217" y="1250115"/>
          <a:ext cx="1536966" cy="1515509"/>
        </a:xfrm>
        <a:prstGeom prst="ellipse">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CA" sz="1100" kern="1200"/>
            <a:t>Affirmer</a:t>
          </a:r>
        </a:p>
        <a:p>
          <a:pPr lvl="0" algn="ctr" defTabSz="488950">
            <a:lnSpc>
              <a:spcPct val="90000"/>
            </a:lnSpc>
            <a:spcBef>
              <a:spcPct val="0"/>
            </a:spcBef>
            <a:spcAft>
              <a:spcPct val="35000"/>
            </a:spcAft>
          </a:pPr>
          <a:r>
            <a:rPr lang="fr-CA" sz="1100" kern="1200"/>
            <a:t>notre leadership en recherche</a:t>
          </a:r>
        </a:p>
        <a:p>
          <a:pPr lvl="0" algn="ctr" defTabSz="488950">
            <a:lnSpc>
              <a:spcPct val="90000"/>
            </a:lnSpc>
            <a:spcBef>
              <a:spcPct val="0"/>
            </a:spcBef>
            <a:spcAft>
              <a:spcPct val="35000"/>
            </a:spcAft>
          </a:pPr>
          <a:r>
            <a:rPr lang="fr-CA" sz="1100" kern="1200"/>
            <a:t>et préparer la relève scientifique</a:t>
          </a:r>
        </a:p>
      </dsp:txBody>
      <dsp:txXfrm>
        <a:off x="3264217" y="1250115"/>
        <a:ext cx="1536966" cy="1515509"/>
      </dsp:txXfrm>
    </dsp:sp>
    <dsp:sp modelId="{833857A9-488F-40EF-8B57-D509B87172F4}">
      <dsp:nvSpPr>
        <dsp:cNvPr id="0" name=""/>
        <dsp:cNvSpPr/>
      </dsp:nvSpPr>
      <dsp:spPr>
        <a:xfrm rot="5400000">
          <a:off x="2528431" y="2606018"/>
          <a:ext cx="129181" cy="38369"/>
        </a:xfrm>
        <a:custGeom>
          <a:avLst/>
          <a:gdLst/>
          <a:ahLst/>
          <a:cxnLst/>
          <a:rect l="0" t="0" r="0" b="0"/>
          <a:pathLst>
            <a:path>
              <a:moveTo>
                <a:pt x="0" y="19184"/>
              </a:moveTo>
              <a:lnTo>
                <a:pt x="129181" y="191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fr-CA" sz="700" kern="1200"/>
        </a:p>
      </dsp:txBody>
      <dsp:txXfrm rot="5400000">
        <a:off x="2589792" y="2621973"/>
        <a:ext cx="6459" cy="6459"/>
      </dsp:txXfrm>
    </dsp:sp>
    <dsp:sp modelId="{B4C5C60C-9CF0-436D-ADC7-B2A0A318CC66}">
      <dsp:nvSpPr>
        <dsp:cNvPr id="0" name=""/>
        <dsp:cNvSpPr/>
      </dsp:nvSpPr>
      <dsp:spPr>
        <a:xfrm>
          <a:off x="1352878" y="2689793"/>
          <a:ext cx="2480287" cy="1515509"/>
        </a:xfrm>
        <a:prstGeom prst="ellipse">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CA" sz="1100" kern="1200"/>
            <a:t>Au cœur d’une région universitaire,</a:t>
          </a:r>
        </a:p>
        <a:p>
          <a:pPr lvl="0" algn="ctr" defTabSz="488950">
            <a:lnSpc>
              <a:spcPct val="90000"/>
            </a:lnSpc>
            <a:spcBef>
              <a:spcPct val="0"/>
            </a:spcBef>
            <a:spcAft>
              <a:spcPct val="35000"/>
            </a:spcAft>
          </a:pPr>
          <a:r>
            <a:rPr lang="fr-CA" sz="1100" kern="1200"/>
            <a:t>assumer</a:t>
          </a:r>
        </a:p>
        <a:p>
          <a:pPr lvl="0" algn="ctr" defTabSz="488950">
            <a:lnSpc>
              <a:spcPct val="90000"/>
            </a:lnSpc>
            <a:spcBef>
              <a:spcPct val="0"/>
            </a:spcBef>
            <a:spcAft>
              <a:spcPct val="35000"/>
            </a:spcAft>
          </a:pPr>
          <a:r>
            <a:rPr lang="fr-CA" sz="1100" kern="1200"/>
            <a:t>notre rôle de vecteur</a:t>
          </a:r>
        </a:p>
        <a:p>
          <a:pPr lvl="0" algn="ctr" defTabSz="488950">
            <a:lnSpc>
              <a:spcPct val="90000"/>
            </a:lnSpc>
            <a:spcBef>
              <a:spcPct val="0"/>
            </a:spcBef>
            <a:spcAft>
              <a:spcPct val="35000"/>
            </a:spcAft>
          </a:pPr>
          <a:r>
            <a:rPr lang="fr-CA" sz="1100" kern="1200"/>
            <a:t>de développement et de</a:t>
          </a:r>
        </a:p>
        <a:p>
          <a:pPr lvl="0" algn="ctr" defTabSz="488950">
            <a:lnSpc>
              <a:spcPct val="90000"/>
            </a:lnSpc>
            <a:spcBef>
              <a:spcPct val="0"/>
            </a:spcBef>
            <a:spcAft>
              <a:spcPct val="35000"/>
            </a:spcAft>
          </a:pPr>
          <a:r>
            <a:rPr lang="fr-CA" sz="1100" kern="1200"/>
            <a:t>déploiement des forces du milieu</a:t>
          </a:r>
        </a:p>
      </dsp:txBody>
      <dsp:txXfrm>
        <a:off x="1352878" y="2689793"/>
        <a:ext cx="2480287" cy="1515509"/>
      </dsp:txXfrm>
    </dsp:sp>
    <dsp:sp modelId="{80B89F0B-2AB4-4EB4-8308-AD48812BA7CA}">
      <dsp:nvSpPr>
        <dsp:cNvPr id="0" name=""/>
        <dsp:cNvSpPr/>
      </dsp:nvSpPr>
      <dsp:spPr>
        <a:xfrm rot="10800000">
          <a:off x="1921827" y="1988685"/>
          <a:ext cx="9197" cy="38369"/>
        </a:xfrm>
        <a:custGeom>
          <a:avLst/>
          <a:gdLst/>
          <a:ahLst/>
          <a:cxnLst/>
          <a:rect l="0" t="0" r="0" b="0"/>
          <a:pathLst>
            <a:path>
              <a:moveTo>
                <a:pt x="0" y="19184"/>
              </a:moveTo>
              <a:lnTo>
                <a:pt x="9197" y="191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fr-CA" sz="700" kern="1200"/>
        </a:p>
      </dsp:txBody>
      <dsp:txXfrm rot="10800000">
        <a:off x="1926196" y="2007640"/>
        <a:ext cx="459" cy="459"/>
      </dsp:txXfrm>
    </dsp:sp>
    <dsp:sp modelId="{B76701AE-0E10-4FAC-AAC4-F677139BABBF}">
      <dsp:nvSpPr>
        <dsp:cNvPr id="0" name=""/>
        <dsp:cNvSpPr/>
      </dsp:nvSpPr>
      <dsp:spPr>
        <a:xfrm>
          <a:off x="384860" y="1250115"/>
          <a:ext cx="1536966" cy="1515509"/>
        </a:xfrm>
        <a:prstGeom prst="ellipse">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CA" sz="1100" kern="1200">
              <a:solidFill>
                <a:schemeClr val="bg1"/>
              </a:solidFill>
            </a:rPr>
            <a:t>Proposer un milieu de vie épanouissant et attrayant</a:t>
          </a:r>
        </a:p>
      </dsp:txBody>
      <dsp:txXfrm>
        <a:off x="384860" y="1250115"/>
        <a:ext cx="1536966" cy="1515509"/>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0.61151</cdr:x>
      <cdr:y>0</cdr:y>
    </cdr:from>
    <cdr:to>
      <cdr:x>0.78449</cdr:x>
      <cdr:y>0.8427</cdr:y>
    </cdr:to>
    <cdr:sp macro="" textlink="">
      <cdr:nvSpPr>
        <cdr:cNvPr id="2" name="Rectangle 1"/>
        <cdr:cNvSpPr/>
      </cdr:nvSpPr>
      <cdr:spPr>
        <a:xfrm xmlns:a="http://schemas.openxmlformats.org/drawingml/2006/main">
          <a:off x="3672237" y="0"/>
          <a:ext cx="1038778" cy="2775104"/>
        </a:xfrm>
        <a:prstGeom xmlns:a="http://schemas.openxmlformats.org/drawingml/2006/main" prst="rect">
          <a:avLst/>
        </a:prstGeom>
        <a:solidFill xmlns:a="http://schemas.openxmlformats.org/drawingml/2006/main">
          <a:srgbClr val="0070C0">
            <a:alpha val="30000"/>
          </a:srgbClr>
        </a:solidFill>
        <a:ln xmlns:a="http://schemas.openxmlformats.org/drawingml/2006/main" w="9525">
          <a:prstDash val="sysDot"/>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fr-FR"/>
        </a:p>
      </cdr:txBody>
    </cdr:sp>
  </cdr:relSizeAnchor>
</c:userShapes>
</file>

<file path=word/drawings/drawing2.xml><?xml version="1.0" encoding="utf-8"?>
<c:userShapes xmlns:c="http://schemas.openxmlformats.org/drawingml/2006/chart">
  <cdr:relSizeAnchor xmlns:cdr="http://schemas.openxmlformats.org/drawingml/2006/chartDrawing">
    <cdr:from>
      <cdr:x>0.52327</cdr:x>
      <cdr:y>0.09962</cdr:y>
    </cdr:from>
    <cdr:to>
      <cdr:x>0.69502</cdr:x>
      <cdr:y>0.30263</cdr:y>
    </cdr:to>
    <cdr:sp macro="" textlink="">
      <cdr:nvSpPr>
        <cdr:cNvPr id="2" name="Zone de texte 1"/>
        <cdr:cNvSpPr txBox="1"/>
      </cdr:nvSpPr>
      <cdr:spPr>
        <a:xfrm xmlns:a="http://schemas.openxmlformats.org/drawingml/2006/main">
          <a:off x="2377438" y="504824"/>
          <a:ext cx="780333" cy="10287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fr-CA" sz="1100"/>
        </a:p>
        <a:p xmlns:a="http://schemas.openxmlformats.org/drawingml/2006/main">
          <a:endParaRPr lang="fr-CA" sz="1100"/>
        </a:p>
        <a:p xmlns:a="http://schemas.openxmlformats.org/drawingml/2006/main">
          <a:r>
            <a:rPr lang="fr-CA" sz="1100"/>
            <a:t>McGill</a:t>
          </a:r>
        </a:p>
        <a:p xmlns:a="http://schemas.openxmlformats.org/drawingml/2006/main">
          <a:endParaRPr lang="fr-CA" sz="1100"/>
        </a:p>
        <a:p xmlns:a="http://schemas.openxmlformats.org/drawingml/2006/main">
          <a:endParaRPr lang="fr-CA" sz="1100"/>
        </a:p>
      </cdr:txBody>
    </cdr:sp>
  </cdr:relSizeAnchor>
  <cdr:relSizeAnchor xmlns:cdr="http://schemas.openxmlformats.org/drawingml/2006/chartDrawing">
    <cdr:from>
      <cdr:x>0.14109</cdr:x>
      <cdr:y>0.42221</cdr:y>
    </cdr:from>
    <cdr:to>
      <cdr:x>0.40112</cdr:x>
      <cdr:y>0.67409</cdr:y>
    </cdr:to>
    <cdr:sp macro="" textlink="">
      <cdr:nvSpPr>
        <cdr:cNvPr id="3" name="Zone de texte 2"/>
        <cdr:cNvSpPr txBox="1"/>
      </cdr:nvSpPr>
      <cdr:spPr>
        <a:xfrm xmlns:a="http://schemas.openxmlformats.org/drawingml/2006/main">
          <a:off x="525470" y="1697102"/>
          <a:ext cx="968423" cy="10124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CA" sz="1100"/>
            <a:t>USherbrooke</a:t>
          </a:r>
        </a:p>
        <a:p xmlns:a="http://schemas.openxmlformats.org/drawingml/2006/main">
          <a:r>
            <a:rPr lang="fr-CA" sz="1100"/>
            <a:t>UQTR</a:t>
          </a:r>
        </a:p>
        <a:p xmlns:a="http://schemas.openxmlformats.org/drawingml/2006/main">
          <a:r>
            <a:rPr lang="fr-CA" sz="1100"/>
            <a:t>U Laval</a:t>
          </a:r>
        </a:p>
        <a:p xmlns:a="http://schemas.openxmlformats.org/drawingml/2006/main">
          <a:endParaRPr lang="fr-CA" sz="1100"/>
        </a:p>
      </cdr:txBody>
    </cdr:sp>
  </cdr:relSizeAnchor>
  <cdr:relSizeAnchor xmlns:cdr="http://schemas.openxmlformats.org/drawingml/2006/chartDrawing">
    <cdr:from>
      <cdr:x>0.17804</cdr:x>
      <cdr:y>0.18011</cdr:y>
    </cdr:from>
    <cdr:to>
      <cdr:x>0.46696</cdr:x>
      <cdr:y>0.5282</cdr:y>
    </cdr:to>
    <cdr:sp macro="" textlink="">
      <cdr:nvSpPr>
        <cdr:cNvPr id="4" name="Zone de texte 3"/>
        <cdr:cNvSpPr txBox="1"/>
      </cdr:nvSpPr>
      <cdr:spPr>
        <a:xfrm xmlns:a="http://schemas.openxmlformats.org/drawingml/2006/main">
          <a:off x="808908" y="912665"/>
          <a:ext cx="1312687" cy="17638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CA" sz="1100"/>
            <a:t>Concordia</a:t>
          </a:r>
        </a:p>
        <a:p xmlns:a="http://schemas.openxmlformats.org/drawingml/2006/main">
          <a:r>
            <a:rPr lang="fr-CA" sz="1100"/>
            <a:t>Bishop</a:t>
          </a:r>
        </a:p>
        <a:p xmlns:a="http://schemas.openxmlformats.org/drawingml/2006/main">
          <a:r>
            <a:rPr lang="fr-CA" sz="1100"/>
            <a:t>Polytechnique</a:t>
          </a:r>
        </a:p>
        <a:p xmlns:a="http://schemas.openxmlformats.org/drawingml/2006/main">
          <a:r>
            <a:rPr lang="fr-CA" sz="1100"/>
            <a:t>HEC</a:t>
          </a:r>
        </a:p>
        <a:p xmlns:a="http://schemas.openxmlformats.org/drawingml/2006/main">
          <a:r>
            <a:rPr lang="fr-CA" sz="1100"/>
            <a:t>UdeM</a:t>
          </a:r>
        </a:p>
      </cdr:txBody>
    </cdr:sp>
  </cdr:relSizeAnchor>
  <cdr:relSizeAnchor xmlns:cdr="http://schemas.openxmlformats.org/drawingml/2006/chartDrawing">
    <cdr:from>
      <cdr:x>0.52809</cdr:x>
      <cdr:y>0.58333</cdr:y>
    </cdr:from>
    <cdr:to>
      <cdr:x>0.73491</cdr:x>
      <cdr:y>0.69103</cdr:y>
    </cdr:to>
    <cdr:sp macro="" textlink="">
      <cdr:nvSpPr>
        <cdr:cNvPr id="5" name="Zone de texte 4"/>
        <cdr:cNvSpPr txBox="1"/>
      </cdr:nvSpPr>
      <cdr:spPr>
        <a:xfrm xmlns:a="http://schemas.openxmlformats.org/drawingml/2006/main">
          <a:off x="1916450" y="2344724"/>
          <a:ext cx="750549" cy="43290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CA" sz="1100"/>
            <a:t>UQAM</a:t>
          </a:r>
        </a:p>
      </cdr:txBody>
    </cdr:sp>
  </cdr:relSizeAnchor>
</c:userShapes>
</file>

<file path=word/theme/theme1.xml><?xml version="1.0" encoding="utf-8"?>
<a:theme xmlns:a="http://schemas.openxmlformats.org/drawingml/2006/main" name="Thème Office">
  <a:themeElements>
    <a:clrScheme name="Personnalisé 1">
      <a:dk1>
        <a:sysClr val="windowText" lastClr="000000"/>
      </a:dk1>
      <a:lt1>
        <a:sysClr val="window" lastClr="FFFFFF"/>
      </a:lt1>
      <a:dk2>
        <a:srgbClr val="696464"/>
      </a:dk2>
      <a:lt2>
        <a:srgbClr val="E9E5DC"/>
      </a:lt2>
      <a:accent1>
        <a:srgbClr val="00703C"/>
      </a:accent1>
      <a:accent2>
        <a:srgbClr val="00B050"/>
      </a:accent2>
      <a:accent3>
        <a:srgbClr val="FFE084"/>
      </a:accent3>
      <a:accent4>
        <a:srgbClr val="FFD147"/>
      </a:accent4>
      <a:accent5>
        <a:srgbClr val="33CC33"/>
      </a:accent5>
      <a:accent6>
        <a:srgbClr val="855D5D"/>
      </a:accent6>
      <a:hlink>
        <a:srgbClr val="CC9900"/>
      </a:hlink>
      <a:folHlink>
        <a:srgbClr val="96A9A9"/>
      </a:folHlink>
    </a:clrScheme>
    <a:fontScheme name="Personnalisé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8C25B6-83DE-4883-BBD5-DA313250E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126</Pages>
  <Words>23897</Words>
  <Characters>131436</Characters>
  <Application>Microsoft Office Word</Application>
  <DocSecurity>0</DocSecurity>
  <Lines>1095</Lines>
  <Paragraphs>310</Paragraphs>
  <ScaleCrop>false</ScaleCrop>
  <HeadingPairs>
    <vt:vector size="2" baseType="variant">
      <vt:variant>
        <vt:lpstr>Titre</vt:lpstr>
      </vt:variant>
      <vt:variant>
        <vt:i4>1</vt:i4>
      </vt:variant>
    </vt:vector>
  </HeadingPairs>
  <TitlesOfParts>
    <vt:vector size="1" baseType="lpstr">
      <vt:lpstr/>
    </vt:vector>
  </TitlesOfParts>
  <Company>UQTR</Company>
  <LinksUpToDate>false</LinksUpToDate>
  <CharactersWithSpaces>155023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uqtr autologon</dc:creator>
  <cp:lastModifiedBy>Célia</cp:lastModifiedBy>
  <cp:revision>18</cp:revision>
  <cp:lastPrinted>2015-02-24T12:11:00Z</cp:lastPrinted>
  <dcterms:created xsi:type="dcterms:W3CDTF">2015-04-18T01:24:00Z</dcterms:created>
  <dcterms:modified xsi:type="dcterms:W3CDTF">2015-04-22T21:16:00Z</dcterms:modified>
</cp:coreProperties>
</file>