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E42" w:rsidRDefault="00C97E42" w:rsidP="005517FB">
      <w:pPr>
        <w:jc w:val="center"/>
        <w:rPr>
          <w:rFonts w:ascii="Century Gothic" w:hAnsi="Century Gothic"/>
          <w:sz w:val="40"/>
        </w:rPr>
      </w:pPr>
    </w:p>
    <w:p w:rsidR="005517FB" w:rsidRDefault="005517FB" w:rsidP="00694E86">
      <w:pPr>
        <w:jc w:val="center"/>
        <w:rPr>
          <w:rFonts w:ascii="Century Gothic" w:hAnsi="Century Gothic"/>
          <w:sz w:val="40"/>
        </w:rPr>
      </w:pPr>
      <w:r>
        <w:rPr>
          <w:noProof/>
          <w:lang w:eastAsia="fr-FR"/>
        </w:rPr>
        <w:drawing>
          <wp:inline distT="0" distB="0" distL="0" distR="0" wp14:anchorId="59A193B3" wp14:editId="26AC10F2">
            <wp:extent cx="2166010" cy="1647825"/>
            <wp:effectExtent l="0" t="0" r="571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extLst>
                        <a:ext uri="{28A0092B-C50C-407E-A947-70E740481C1C}">
                          <a14:useLocalDpi xmlns:a14="http://schemas.microsoft.com/office/drawing/2010/main" val="0"/>
                        </a:ext>
                      </a:extLst>
                    </a:blip>
                    <a:stretch>
                      <a:fillRect/>
                    </a:stretch>
                  </pic:blipFill>
                  <pic:spPr>
                    <a:xfrm>
                      <a:off x="0" y="0"/>
                      <a:ext cx="2165838" cy="1647694"/>
                    </a:xfrm>
                    <a:prstGeom prst="rect">
                      <a:avLst/>
                    </a:prstGeom>
                    <a:noFill/>
                    <a:ln>
                      <a:noFill/>
                    </a:ln>
                  </pic:spPr>
                </pic:pic>
              </a:graphicData>
            </a:graphic>
          </wp:inline>
        </w:drawing>
      </w:r>
    </w:p>
    <w:p w:rsidR="00C97E42" w:rsidRDefault="00C97E42" w:rsidP="005517FB">
      <w:pPr>
        <w:jc w:val="center"/>
        <w:rPr>
          <w:rFonts w:ascii="Century Gothic" w:hAnsi="Century Gothic"/>
          <w:sz w:val="40"/>
        </w:rPr>
      </w:pPr>
    </w:p>
    <w:p w:rsidR="005517FB" w:rsidRPr="00801597" w:rsidRDefault="00C97E42" w:rsidP="00C97E42">
      <w:pPr>
        <w:pBdr>
          <w:bottom w:val="single" w:sz="4" w:space="1" w:color="auto"/>
        </w:pBdr>
        <w:jc w:val="center"/>
        <w:rPr>
          <w:rFonts w:ascii="Century Gothic" w:hAnsi="Century Gothic"/>
          <w:b/>
          <w:color w:val="31849B" w:themeColor="accent5" w:themeShade="BF"/>
          <w:sz w:val="44"/>
          <w14:shadow w14:blurRad="50800" w14:dist="38100" w14:dir="5400000" w14:sx="100000" w14:sy="100000" w14:kx="0" w14:ky="0" w14:algn="t">
            <w14:srgbClr w14:val="000000">
              <w14:alpha w14:val="60000"/>
            </w14:srgbClr>
          </w14:shadow>
        </w:rPr>
      </w:pPr>
      <w:r w:rsidRPr="00801597">
        <w:rPr>
          <w:rFonts w:ascii="Century Gothic" w:hAnsi="Century Gothic"/>
          <w:b/>
          <w:color w:val="31849B" w:themeColor="accent5" w:themeShade="BF"/>
          <w:sz w:val="44"/>
          <w14:shadow w14:blurRad="50800" w14:dist="38100" w14:dir="5400000" w14:sx="100000" w14:sy="100000" w14:kx="0" w14:ky="0" w14:algn="t">
            <w14:srgbClr w14:val="000000">
              <w14:alpha w14:val="60000"/>
            </w14:srgbClr>
          </w14:shadow>
        </w:rPr>
        <w:t>MEMENTO DES NOUVEAUTES FISCALES 2015</w:t>
      </w:r>
    </w:p>
    <w:p w:rsidR="005517FB" w:rsidRDefault="005517FB" w:rsidP="005517FB">
      <w:pPr>
        <w:jc w:val="center"/>
        <w:rPr>
          <w:rFonts w:ascii="Century Gothic" w:hAnsi="Century Gothic"/>
          <w:sz w:val="40"/>
        </w:rPr>
      </w:pPr>
    </w:p>
    <w:p w:rsidR="003D541C" w:rsidRDefault="00EC3796" w:rsidP="00EC3796">
      <w:pPr>
        <w:jc w:val="center"/>
        <w:rPr>
          <w:rFonts w:ascii="Century Gothic" w:hAnsi="Century Gothic"/>
          <w:sz w:val="40"/>
        </w:rPr>
      </w:pPr>
      <w:r>
        <w:rPr>
          <w:noProof/>
          <w:lang w:eastAsia="fr-FR"/>
        </w:rPr>
        <w:drawing>
          <wp:inline distT="0" distB="0" distL="0" distR="0">
            <wp:extent cx="6578600" cy="4933950"/>
            <wp:effectExtent l="0" t="0" r="0" b="0"/>
            <wp:docPr id="1" name="Image 1" descr="http://www.huwans-clubaventure.fr/upload_1000/tunisie_img_0480_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uwans-clubaventure.fr/upload_1000/tunisie_img_0480_o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2374" cy="4936781"/>
                    </a:xfrm>
                    <a:prstGeom prst="rect">
                      <a:avLst/>
                    </a:prstGeom>
                    <a:noFill/>
                    <a:ln>
                      <a:noFill/>
                    </a:ln>
                  </pic:spPr>
                </pic:pic>
              </a:graphicData>
            </a:graphic>
          </wp:inline>
        </w:drawing>
      </w:r>
      <w:r w:rsidR="003D541C">
        <w:rPr>
          <w:rFonts w:ascii="Century Gothic" w:hAnsi="Century Gothic"/>
          <w:sz w:val="40"/>
        </w:rPr>
        <w:br w:type="page"/>
      </w:r>
    </w:p>
    <w:p w:rsidR="003D541C" w:rsidRDefault="003D541C" w:rsidP="003D541C">
      <w:pPr>
        <w:rPr>
          <w:rFonts w:ascii="Century Gothic" w:hAnsi="Century Gothic"/>
          <w:b/>
          <w:sz w:val="20"/>
        </w:rPr>
        <w:sectPr w:rsidR="003D541C" w:rsidSect="005517FB">
          <w:headerReference w:type="even" r:id="rId11"/>
          <w:headerReference w:type="default" r:id="rId12"/>
          <w:footerReference w:type="default" r:id="rId13"/>
          <w:headerReference w:type="first" r:id="rId14"/>
          <w:pgSz w:w="11906" w:h="16838"/>
          <w:pgMar w:top="720" w:right="720" w:bottom="720" w:left="720" w:header="708" w:footer="708" w:gutter="0"/>
          <w:cols w:space="708"/>
          <w:docGrid w:linePitch="360"/>
        </w:sect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3918"/>
      </w:tblGrid>
      <w:tr w:rsidR="00FE1F8A" w:rsidRPr="00FE1F8A" w:rsidTr="00FE1F8A">
        <w:tc>
          <w:tcPr>
            <w:tcW w:w="993" w:type="dxa"/>
          </w:tcPr>
          <w:p w:rsidR="00FE1F8A" w:rsidRPr="00FE1F8A" w:rsidRDefault="00FE1F8A" w:rsidP="003D541C">
            <w:pPr>
              <w:rPr>
                <w:rFonts w:ascii="Century Gothic" w:hAnsi="Century Gothic"/>
                <w:b/>
                <w:sz w:val="20"/>
              </w:rPr>
            </w:pPr>
            <w:r w:rsidRPr="00FE1F8A">
              <w:rPr>
                <w:rFonts w:ascii="Century Gothic" w:hAnsi="Century Gothic"/>
                <w:b/>
                <w:noProof/>
                <w:sz w:val="20"/>
                <w:lang w:eastAsia="fr-FR"/>
              </w:rPr>
              <w:lastRenderedPageBreak/>
              <w:drawing>
                <wp:inline distT="0" distB="0" distL="0" distR="0" wp14:anchorId="659990D2" wp14:editId="4F55A56D">
                  <wp:extent cx="657225" cy="4381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57225" cy="438150"/>
                          </a:xfrm>
                          <a:prstGeom prst="rect">
                            <a:avLst/>
                          </a:prstGeom>
                        </pic:spPr>
                      </pic:pic>
                    </a:graphicData>
                  </a:graphic>
                </wp:inline>
              </w:drawing>
            </w:r>
          </w:p>
        </w:tc>
        <w:tc>
          <w:tcPr>
            <w:tcW w:w="3918" w:type="dxa"/>
          </w:tcPr>
          <w:p w:rsidR="00FE1F8A" w:rsidRPr="00FE1F8A" w:rsidRDefault="00FE1F8A" w:rsidP="003D541C">
            <w:pPr>
              <w:rPr>
                <w:rFonts w:ascii="Century Gothic" w:hAnsi="Century Gothic"/>
                <w:b/>
                <w:sz w:val="20"/>
              </w:rPr>
            </w:pPr>
            <w:r w:rsidRPr="00C117DC">
              <w:rPr>
                <w:rFonts w:ascii="Century Gothic" w:hAnsi="Century Gothic"/>
                <w:b/>
                <w:sz w:val="20"/>
                <w14:shadow w14:blurRad="50800" w14:dist="38100" w14:dir="0" w14:sx="100000" w14:sy="100000" w14:kx="0" w14:ky="0" w14:algn="l">
                  <w14:srgbClr w14:val="000000">
                    <w14:alpha w14:val="60000"/>
                  </w14:srgbClr>
                </w14:shadow>
              </w:rPr>
              <w:t>Nouvelles mesures concernant l’impôt sur le revenu des personnes physiques et l’impôt sur les sociétés :</w:t>
            </w:r>
          </w:p>
        </w:tc>
      </w:tr>
    </w:tbl>
    <w:p w:rsidR="00FE1F8A" w:rsidRDefault="00FE1F8A" w:rsidP="003D541C">
      <w:pPr>
        <w:rPr>
          <w:rFonts w:ascii="Century Gothic" w:hAnsi="Century Gothic"/>
          <w:b/>
          <w:sz w:val="20"/>
        </w:rPr>
      </w:pPr>
    </w:p>
    <w:p w:rsidR="003D541C" w:rsidRPr="00EA5CC7" w:rsidRDefault="003D541C" w:rsidP="003D541C">
      <w:pPr>
        <w:rPr>
          <w:rFonts w:ascii="Century Gothic" w:hAnsi="Century Gothic"/>
          <w:b/>
          <w:color w:val="17365D" w:themeColor="text2" w:themeShade="BF"/>
          <w:sz w:val="20"/>
        </w:rPr>
      </w:pPr>
      <w:r w:rsidRPr="00EA5CC7">
        <w:rPr>
          <w:rFonts w:ascii="Century Gothic" w:hAnsi="Century Gothic"/>
          <w:b/>
          <w:color w:val="17365D" w:themeColor="text2" w:themeShade="BF"/>
          <w:sz w:val="20"/>
        </w:rPr>
        <w:t>1- Réduction des taux de retenue à la source au titre des opérations d’exportation :</w:t>
      </w:r>
    </w:p>
    <w:p w:rsidR="003D541C" w:rsidRDefault="003D541C" w:rsidP="00EA5CC7">
      <w:pPr>
        <w:pStyle w:val="Paragraphedeliste"/>
        <w:numPr>
          <w:ilvl w:val="0"/>
          <w:numId w:val="3"/>
        </w:numPr>
        <w:ind w:left="284" w:hanging="284"/>
        <w:rPr>
          <w:rFonts w:ascii="Century Gothic" w:hAnsi="Century Gothic"/>
          <w:color w:val="000000" w:themeColor="text1"/>
          <w:sz w:val="18"/>
        </w:rPr>
      </w:pPr>
      <w:r w:rsidRPr="00EA5CC7">
        <w:rPr>
          <w:rFonts w:ascii="Century Gothic" w:hAnsi="Century Gothic"/>
          <w:color w:val="000000" w:themeColor="text1"/>
          <w:sz w:val="18"/>
        </w:rPr>
        <w:t xml:space="preserve">Le taux de 5% au titre des honoraires, commissions, courtages et loyers </w:t>
      </w:r>
      <w:r w:rsidR="00EA5CC7" w:rsidRPr="00EA5CC7">
        <w:rPr>
          <w:rFonts w:ascii="Century Gothic" w:hAnsi="Century Gothic"/>
          <w:color w:val="000000" w:themeColor="text1"/>
          <w:sz w:val="18"/>
        </w:rPr>
        <w:t xml:space="preserve">est ramené à </w:t>
      </w:r>
      <w:r w:rsidR="00EA5CC7" w:rsidRPr="001952C5">
        <w:rPr>
          <w:rFonts w:ascii="Century Gothic" w:hAnsi="Century Gothic"/>
          <w:b/>
          <w:color w:val="0070C0"/>
          <w:sz w:val="18"/>
          <w:u w:val="single"/>
        </w:rPr>
        <w:t>2,5%</w:t>
      </w:r>
      <w:r w:rsidR="00EA5CC7" w:rsidRPr="001952C5">
        <w:rPr>
          <w:rFonts w:ascii="Century Gothic" w:hAnsi="Century Gothic"/>
          <w:color w:val="0070C0"/>
          <w:sz w:val="18"/>
        </w:rPr>
        <w:t xml:space="preserve"> </w:t>
      </w:r>
      <w:r w:rsidR="00EA5CC7" w:rsidRPr="00EA5CC7">
        <w:rPr>
          <w:rFonts w:ascii="Century Gothic" w:hAnsi="Century Gothic"/>
          <w:color w:val="000000" w:themeColor="text1"/>
          <w:sz w:val="18"/>
        </w:rPr>
        <w:t xml:space="preserve">lorsqu’ils </w:t>
      </w:r>
      <w:r w:rsidRPr="00EA5CC7">
        <w:rPr>
          <w:rFonts w:ascii="Century Gothic" w:hAnsi="Century Gothic"/>
          <w:color w:val="000000" w:themeColor="text1"/>
          <w:sz w:val="18"/>
        </w:rPr>
        <w:t>provie</w:t>
      </w:r>
      <w:bookmarkStart w:id="0" w:name="_GoBack"/>
      <w:bookmarkEnd w:id="0"/>
      <w:r w:rsidRPr="00EA5CC7">
        <w:rPr>
          <w:rFonts w:ascii="Century Gothic" w:hAnsi="Century Gothic"/>
          <w:color w:val="000000" w:themeColor="text1"/>
          <w:sz w:val="18"/>
        </w:rPr>
        <w:t>nnent des opérations d’exportations</w:t>
      </w:r>
    </w:p>
    <w:p w:rsidR="00EA5CC7" w:rsidRDefault="00EA5CC7" w:rsidP="00EA5CC7">
      <w:pPr>
        <w:pStyle w:val="Paragraphedeliste"/>
        <w:ind w:left="284"/>
        <w:rPr>
          <w:rFonts w:ascii="Century Gothic" w:hAnsi="Century Gothic"/>
          <w:color w:val="000000" w:themeColor="text1"/>
          <w:sz w:val="18"/>
        </w:rPr>
      </w:pPr>
    </w:p>
    <w:p w:rsidR="00EA5CC7" w:rsidRDefault="00EA5CC7" w:rsidP="00EA5CC7">
      <w:pPr>
        <w:pStyle w:val="Paragraphedeliste"/>
        <w:numPr>
          <w:ilvl w:val="0"/>
          <w:numId w:val="3"/>
        </w:numPr>
        <w:ind w:left="284" w:hanging="284"/>
        <w:rPr>
          <w:rFonts w:ascii="Century Gothic" w:hAnsi="Century Gothic"/>
          <w:color w:val="000000" w:themeColor="text1"/>
          <w:sz w:val="18"/>
        </w:rPr>
      </w:pPr>
      <w:r w:rsidRPr="00EA5CC7">
        <w:rPr>
          <w:rFonts w:ascii="Century Gothic" w:hAnsi="Century Gothic"/>
          <w:color w:val="000000" w:themeColor="text1"/>
          <w:sz w:val="18"/>
        </w:rPr>
        <w:t xml:space="preserve">Le taux de 1,5% est ramené à </w:t>
      </w:r>
      <w:r w:rsidRPr="001952C5">
        <w:rPr>
          <w:rFonts w:ascii="Century Gothic" w:hAnsi="Century Gothic"/>
          <w:b/>
          <w:color w:val="0070C0"/>
          <w:sz w:val="18"/>
          <w:u w:val="single"/>
        </w:rPr>
        <w:t>0,5%</w:t>
      </w:r>
      <w:r w:rsidRPr="001952C5">
        <w:rPr>
          <w:rFonts w:ascii="Century Gothic" w:hAnsi="Century Gothic"/>
          <w:color w:val="0070C0"/>
          <w:sz w:val="18"/>
        </w:rPr>
        <w:t xml:space="preserve"> </w:t>
      </w:r>
      <w:r w:rsidRPr="00EA5CC7">
        <w:rPr>
          <w:rFonts w:ascii="Century Gothic" w:hAnsi="Century Gothic"/>
          <w:color w:val="000000" w:themeColor="text1"/>
          <w:sz w:val="18"/>
        </w:rPr>
        <w:t>au titre des ventes à l’export et au titre des opérations réalisées par les entreprises soumises à l’impôt au taux de 10%</w:t>
      </w:r>
    </w:p>
    <w:p w:rsidR="00EA5CC7" w:rsidRPr="00EA5CC7" w:rsidRDefault="00EA5CC7" w:rsidP="00EA5CC7">
      <w:pPr>
        <w:rPr>
          <w:rFonts w:ascii="Century Gothic" w:hAnsi="Century Gothic"/>
          <w:b/>
          <w:color w:val="17365D" w:themeColor="text2" w:themeShade="BF"/>
          <w:sz w:val="20"/>
        </w:rPr>
      </w:pPr>
      <w:r w:rsidRPr="00EA5CC7">
        <w:rPr>
          <w:rFonts w:ascii="Century Gothic" w:hAnsi="Century Gothic"/>
          <w:b/>
          <w:color w:val="17365D" w:themeColor="text2" w:themeShade="BF"/>
          <w:sz w:val="20"/>
        </w:rPr>
        <w:t>2- Simplification de la procédure de restitution du report d’impôt :</w:t>
      </w:r>
    </w:p>
    <w:p w:rsidR="00EA5CC7" w:rsidRDefault="00EA5CC7" w:rsidP="00EA5CC7">
      <w:pPr>
        <w:rPr>
          <w:rFonts w:ascii="Century Gothic" w:hAnsi="Century Gothic"/>
          <w:color w:val="000000" w:themeColor="text1"/>
          <w:sz w:val="18"/>
        </w:rPr>
      </w:pPr>
      <w:r w:rsidRPr="00EA5CC7">
        <w:rPr>
          <w:rFonts w:ascii="Century Gothic" w:hAnsi="Century Gothic"/>
          <w:color w:val="000000" w:themeColor="text1"/>
          <w:sz w:val="18"/>
        </w:rPr>
        <w:t>Les entreprises sous l’égide de la direction des grandes entreprises</w:t>
      </w:r>
      <w:r w:rsidR="00A664C7">
        <w:rPr>
          <w:rFonts w:ascii="Century Gothic" w:hAnsi="Century Gothic"/>
          <w:color w:val="000000" w:themeColor="text1"/>
          <w:sz w:val="18"/>
        </w:rPr>
        <w:t xml:space="preserve"> (DGE)</w:t>
      </w:r>
      <w:r w:rsidRPr="00EA5CC7">
        <w:rPr>
          <w:rFonts w:ascii="Century Gothic" w:hAnsi="Century Gothic"/>
          <w:color w:val="000000" w:themeColor="text1"/>
          <w:sz w:val="18"/>
        </w:rPr>
        <w:t xml:space="preserve"> peuvent désormais bénéficier de la restitution totale des reports d’impôt</w:t>
      </w:r>
      <w:r w:rsidR="006E4131">
        <w:rPr>
          <w:rFonts w:ascii="Century Gothic" w:hAnsi="Century Gothic"/>
          <w:color w:val="000000" w:themeColor="text1"/>
          <w:sz w:val="18"/>
        </w:rPr>
        <w:t xml:space="preserve"> sur les sociétés</w:t>
      </w:r>
      <w:r w:rsidRPr="00EA5CC7">
        <w:rPr>
          <w:rFonts w:ascii="Century Gothic" w:hAnsi="Century Gothic"/>
          <w:color w:val="000000" w:themeColor="text1"/>
          <w:sz w:val="18"/>
        </w:rPr>
        <w:t xml:space="preserve"> dans </w:t>
      </w:r>
      <w:r w:rsidRPr="001952C5">
        <w:rPr>
          <w:rFonts w:ascii="Century Gothic" w:hAnsi="Century Gothic"/>
          <w:b/>
          <w:bCs/>
          <w:color w:val="0070C0"/>
          <w:sz w:val="18"/>
          <w:u w:val="single"/>
        </w:rPr>
        <w:t>un délai de 7 jours et sans contrôle approfondi préalable</w:t>
      </w:r>
      <w:r w:rsidRPr="00EA5CC7">
        <w:rPr>
          <w:rFonts w:ascii="Century Gothic" w:hAnsi="Century Gothic"/>
          <w:color w:val="000000" w:themeColor="text1"/>
          <w:sz w:val="18"/>
        </w:rPr>
        <w:t>, à condition de présenter un rapport spécial du commissaire aux comptes portant sur le report objet de la restitution</w:t>
      </w:r>
      <w:r>
        <w:rPr>
          <w:rFonts w:ascii="Century Gothic" w:hAnsi="Century Gothic"/>
          <w:color w:val="000000" w:themeColor="text1"/>
          <w:sz w:val="18"/>
        </w:rPr>
        <w:t>.</w:t>
      </w:r>
    </w:p>
    <w:p w:rsidR="00EA5CC7" w:rsidRPr="00EA5CC7" w:rsidRDefault="00EA5CC7" w:rsidP="00EA5CC7">
      <w:pPr>
        <w:rPr>
          <w:rFonts w:ascii="Century Gothic" w:hAnsi="Century Gothic"/>
          <w:b/>
          <w:color w:val="17365D" w:themeColor="text2" w:themeShade="BF"/>
          <w:sz w:val="20"/>
        </w:rPr>
      </w:pPr>
      <w:r w:rsidRPr="00EA5CC7">
        <w:rPr>
          <w:rFonts w:ascii="Century Gothic" w:hAnsi="Century Gothic"/>
          <w:b/>
          <w:color w:val="17365D" w:themeColor="text2" w:themeShade="BF"/>
          <w:sz w:val="20"/>
        </w:rPr>
        <w:t>3- Suppression de la déductibilité du minimum d’impôt</w:t>
      </w:r>
      <w:r>
        <w:rPr>
          <w:rFonts w:ascii="Century Gothic" w:hAnsi="Century Gothic"/>
          <w:b/>
          <w:color w:val="17365D" w:themeColor="text2" w:themeShade="BF"/>
          <w:sz w:val="20"/>
        </w:rPr>
        <w:t> :</w:t>
      </w:r>
    </w:p>
    <w:p w:rsidR="00EA5CC7" w:rsidRDefault="00EA5CC7" w:rsidP="00EA5CC7">
      <w:pPr>
        <w:rPr>
          <w:rFonts w:ascii="Century Gothic" w:hAnsi="Century Gothic"/>
          <w:color w:val="000000" w:themeColor="text1"/>
          <w:sz w:val="18"/>
        </w:rPr>
      </w:pPr>
      <w:r w:rsidRPr="00EA5CC7">
        <w:rPr>
          <w:rFonts w:ascii="Century Gothic" w:hAnsi="Century Gothic"/>
          <w:color w:val="000000" w:themeColor="text1"/>
          <w:sz w:val="18"/>
        </w:rPr>
        <w:t xml:space="preserve">Le minimum d’impôt de 0,2% </w:t>
      </w:r>
      <w:r w:rsidRPr="001952C5">
        <w:rPr>
          <w:rFonts w:ascii="Century Gothic" w:hAnsi="Century Gothic"/>
          <w:b/>
          <w:bCs/>
          <w:color w:val="0070C0"/>
          <w:sz w:val="18"/>
          <w:u w:val="single"/>
        </w:rPr>
        <w:t>n’est plus déductible</w:t>
      </w:r>
      <w:r w:rsidRPr="00EA5CC7">
        <w:rPr>
          <w:rFonts w:ascii="Century Gothic" w:hAnsi="Century Gothic"/>
          <w:color w:val="000000" w:themeColor="text1"/>
          <w:sz w:val="18"/>
        </w:rPr>
        <w:t>, dans tous les cas, de l’impôt dû au titre des exercices ultérieurs.</w:t>
      </w:r>
    </w:p>
    <w:p w:rsidR="00EA5CC7" w:rsidRDefault="00EA5CC7" w:rsidP="00EA5CC7">
      <w:pPr>
        <w:rPr>
          <w:rFonts w:ascii="Century Gothic" w:hAnsi="Century Gothic"/>
          <w:b/>
          <w:color w:val="365F91" w:themeColor="accent1" w:themeShade="BF"/>
          <w:sz w:val="16"/>
        </w:rPr>
      </w:pPr>
      <w:r w:rsidRPr="00EA5CC7">
        <w:rPr>
          <w:rFonts w:ascii="Century Gothic" w:hAnsi="Century Gothic"/>
          <w:b/>
          <w:color w:val="365F91" w:themeColor="accent1" w:themeShade="BF"/>
          <w:sz w:val="16"/>
        </w:rPr>
        <w:t xml:space="preserve">Rappel : </w:t>
      </w:r>
      <w:r>
        <w:rPr>
          <w:rFonts w:ascii="Century Gothic" w:hAnsi="Century Gothic"/>
          <w:b/>
          <w:color w:val="365F91" w:themeColor="accent1" w:themeShade="BF"/>
          <w:sz w:val="16"/>
        </w:rPr>
        <w:t>Avant la loi de finance 2015, l</w:t>
      </w:r>
      <w:r w:rsidRPr="00EA5CC7">
        <w:rPr>
          <w:rFonts w:ascii="Century Gothic" w:hAnsi="Century Gothic"/>
          <w:b/>
          <w:color w:val="365F91" w:themeColor="accent1" w:themeShade="BF"/>
          <w:sz w:val="16"/>
        </w:rPr>
        <w:t xml:space="preserve">e minimum d’impôt de </w:t>
      </w:r>
      <w:r w:rsidRPr="00EA5CC7">
        <w:rPr>
          <w:rFonts w:ascii="Century Gothic" w:hAnsi="Century Gothic"/>
          <w:b/>
          <w:bCs/>
          <w:color w:val="365F91" w:themeColor="accent1" w:themeShade="BF"/>
          <w:sz w:val="16"/>
        </w:rPr>
        <w:t>0,2%</w:t>
      </w:r>
      <w:r w:rsidRPr="00EA5CC7">
        <w:rPr>
          <w:rFonts w:ascii="Century Gothic" w:hAnsi="Century Gothic"/>
          <w:b/>
          <w:color w:val="365F91" w:themeColor="accent1" w:themeShade="BF"/>
          <w:sz w:val="16"/>
        </w:rPr>
        <w:t xml:space="preserve"> (PP et PM) e</w:t>
      </w:r>
      <w:r>
        <w:rPr>
          <w:rFonts w:ascii="Century Gothic" w:hAnsi="Century Gothic"/>
          <w:b/>
          <w:color w:val="365F91" w:themeColor="accent1" w:themeShade="BF"/>
          <w:sz w:val="16"/>
        </w:rPr>
        <w:t>xigible au titre d’un exercice était</w:t>
      </w:r>
      <w:r w:rsidRPr="00EA5CC7">
        <w:rPr>
          <w:rFonts w:ascii="Century Gothic" w:hAnsi="Century Gothic"/>
          <w:b/>
          <w:color w:val="365F91" w:themeColor="accent1" w:themeShade="BF"/>
          <w:sz w:val="16"/>
        </w:rPr>
        <w:t xml:space="preserve"> déductible de l’IR ou de l’IS  exigible successivement au titre des exercices ultérieurs, et ce, dans la limite de la 5ème année inclusivement et sans que la déduction n’aboutisse à un impôt inférieur du minimum d’impôt de l’année de la déduction</w:t>
      </w:r>
      <w:r>
        <w:rPr>
          <w:rFonts w:ascii="Century Gothic" w:hAnsi="Century Gothic"/>
          <w:b/>
          <w:color w:val="365F91" w:themeColor="accent1" w:themeShade="BF"/>
          <w:sz w:val="16"/>
        </w:rPr>
        <w:t>.</w:t>
      </w:r>
    </w:p>
    <w:p w:rsidR="00EA5CC7" w:rsidRDefault="00EA5CC7" w:rsidP="00EA5CC7">
      <w:pPr>
        <w:rPr>
          <w:rFonts w:ascii="Century Gothic" w:hAnsi="Century Gothic"/>
          <w:b/>
          <w:color w:val="17365D" w:themeColor="text2" w:themeShade="BF"/>
          <w:sz w:val="20"/>
        </w:rPr>
      </w:pPr>
      <w:r w:rsidRPr="00EA5CC7">
        <w:rPr>
          <w:rFonts w:ascii="Century Gothic" w:hAnsi="Century Gothic"/>
          <w:b/>
          <w:color w:val="17365D" w:themeColor="text2" w:themeShade="BF"/>
          <w:sz w:val="20"/>
        </w:rPr>
        <w:t>4- Extension du champ d’application de l’IS à certaines associations</w:t>
      </w:r>
      <w:r>
        <w:rPr>
          <w:rFonts w:ascii="Century Gothic" w:hAnsi="Century Gothic"/>
          <w:b/>
          <w:color w:val="17365D" w:themeColor="text2" w:themeShade="BF"/>
          <w:sz w:val="20"/>
        </w:rPr>
        <w:t> :</w:t>
      </w:r>
    </w:p>
    <w:p w:rsidR="00EA5CC7" w:rsidRPr="00EA5CC7" w:rsidRDefault="00EA5CC7" w:rsidP="00EA5CC7">
      <w:pPr>
        <w:rPr>
          <w:rFonts w:ascii="Century Gothic" w:hAnsi="Century Gothic"/>
          <w:color w:val="000000" w:themeColor="text1"/>
          <w:sz w:val="18"/>
        </w:rPr>
      </w:pPr>
      <w:r w:rsidRPr="00EA5CC7">
        <w:rPr>
          <w:rFonts w:ascii="Century Gothic" w:hAnsi="Century Gothic"/>
          <w:color w:val="000000" w:themeColor="text1"/>
          <w:sz w:val="18"/>
        </w:rPr>
        <w:t>Les associations qui ne se conforment pas dans l’exercice de leurs activités à la législation relatives aux associations</w:t>
      </w:r>
      <w:r w:rsidR="00A664C7">
        <w:rPr>
          <w:rFonts w:ascii="Century Gothic" w:hAnsi="Century Gothic"/>
          <w:color w:val="000000" w:themeColor="text1"/>
          <w:sz w:val="18"/>
        </w:rPr>
        <w:t xml:space="preserve"> (</w:t>
      </w:r>
      <w:r w:rsidR="00A664C7" w:rsidRPr="009C07B6">
        <w:rPr>
          <w:rFonts w:ascii="Century Gothic" w:hAnsi="Century Gothic"/>
          <w:color w:val="000000" w:themeColor="text1"/>
          <w:sz w:val="18"/>
          <w:u w:val="single"/>
        </w:rPr>
        <w:t>décret-loi N°88 du 24 septembre 2011</w:t>
      </w:r>
      <w:r w:rsidR="00A664C7">
        <w:rPr>
          <w:rFonts w:ascii="Century Gothic" w:hAnsi="Century Gothic"/>
          <w:color w:val="000000" w:themeColor="text1"/>
          <w:sz w:val="18"/>
        </w:rPr>
        <w:t>)</w:t>
      </w:r>
      <w:r w:rsidRPr="00EA5CC7">
        <w:rPr>
          <w:rFonts w:ascii="Century Gothic" w:hAnsi="Century Gothic"/>
          <w:color w:val="000000" w:themeColor="text1"/>
          <w:sz w:val="18"/>
        </w:rPr>
        <w:t xml:space="preserve"> sont désormais soumises à l’IS</w:t>
      </w:r>
      <w:r w:rsidR="00A664C7">
        <w:rPr>
          <w:rFonts w:ascii="Century Gothic" w:hAnsi="Century Gothic"/>
          <w:color w:val="000000" w:themeColor="text1"/>
          <w:sz w:val="18"/>
        </w:rPr>
        <w:t>.</w:t>
      </w:r>
    </w:p>
    <w:p w:rsidR="00EA5CC7" w:rsidRPr="00EA5CC7" w:rsidRDefault="00EA5CC7" w:rsidP="00EA5CC7">
      <w:pPr>
        <w:rPr>
          <w:rFonts w:ascii="Century Gothic" w:hAnsi="Century Gothic"/>
          <w:b/>
          <w:color w:val="17365D" w:themeColor="text2" w:themeShade="BF"/>
          <w:sz w:val="20"/>
        </w:rPr>
      </w:pPr>
      <w:r w:rsidRPr="00EA5CC7">
        <w:rPr>
          <w:rFonts w:ascii="Century Gothic" w:hAnsi="Century Gothic"/>
          <w:b/>
          <w:color w:val="17365D" w:themeColor="text2" w:themeShade="BF"/>
          <w:sz w:val="20"/>
        </w:rPr>
        <w:t>5- Changement de la base de calcul de la retenue à la source libératoire non opérée sur les sommes payées aux non-résidents :</w:t>
      </w:r>
    </w:p>
    <w:p w:rsidR="00A664C7" w:rsidRPr="00A664C7" w:rsidRDefault="00A664C7" w:rsidP="00A664C7">
      <w:pPr>
        <w:rPr>
          <w:rFonts w:ascii="Century Gothic" w:hAnsi="Century Gothic"/>
          <w:color w:val="000000" w:themeColor="text1"/>
          <w:sz w:val="18"/>
        </w:rPr>
      </w:pPr>
      <w:r w:rsidRPr="00A664C7">
        <w:rPr>
          <w:rFonts w:ascii="Century Gothic" w:hAnsi="Century Gothic"/>
          <w:color w:val="000000" w:themeColor="text1"/>
          <w:sz w:val="18"/>
        </w:rPr>
        <w:t xml:space="preserve">La retenue à la source, non opérée par le débiteur résident sur les revenus des contribuables non-résidents, est calculée sur la base d'un impôt initial majoré de la fraction de revenus supplémentaires réalisés par le </w:t>
      </w:r>
      <w:r w:rsidRPr="00A664C7">
        <w:rPr>
          <w:rFonts w:ascii="Century Gothic" w:hAnsi="Century Gothic"/>
          <w:color w:val="000000" w:themeColor="text1"/>
          <w:sz w:val="18"/>
        </w:rPr>
        <w:lastRenderedPageBreak/>
        <w:t>contribuable du fait de la non-soumission à la retenue à la source. Le calcul se fait selon la formule suivante :</w:t>
      </w:r>
    </w:p>
    <w:tbl>
      <w:tblPr>
        <w:tblStyle w:val="Grilledutableau"/>
        <w:tblW w:w="0" w:type="auto"/>
        <w:tblBorders>
          <w:top w:val="none" w:sz="0" w:space="0" w:color="auto"/>
          <w:left w:val="none" w:sz="0" w:space="0" w:color="auto"/>
          <w:bottom w:val="none" w:sz="0" w:space="0" w:color="auto"/>
          <w:right w:val="none" w:sz="0" w:space="0" w:color="auto"/>
          <w:insideH w:val="single" w:sz="4" w:space="0" w:color="00B0F0"/>
        </w:tblBorders>
        <w:tblLook w:val="04A0" w:firstRow="1" w:lastRow="0" w:firstColumn="1" w:lastColumn="0" w:noHBand="0" w:noVBand="1"/>
      </w:tblPr>
      <w:tblGrid>
        <w:gridCol w:w="2005"/>
      </w:tblGrid>
      <w:tr w:rsidR="00353E9F" w:rsidRPr="00353E9F" w:rsidTr="00C117DC">
        <w:trPr>
          <w:trHeight w:val="279"/>
        </w:trPr>
        <w:tc>
          <w:tcPr>
            <w:tcW w:w="2005" w:type="dxa"/>
            <w:vAlign w:val="center"/>
          </w:tcPr>
          <w:p w:rsidR="00A664C7" w:rsidRPr="00353E9F" w:rsidRDefault="00A664C7" w:rsidP="00A664C7">
            <w:pPr>
              <w:rPr>
                <w:rFonts w:ascii="Century Gothic" w:hAnsi="Century Gothic"/>
                <w:b/>
                <w:color w:val="0070C0"/>
                <w:sz w:val="18"/>
              </w:rPr>
            </w:pPr>
            <w:r w:rsidRPr="00353E9F">
              <w:rPr>
                <w:rFonts w:ascii="Century Gothic" w:hAnsi="Century Gothic"/>
                <w:b/>
                <w:color w:val="0070C0"/>
                <w:sz w:val="18"/>
              </w:rPr>
              <w:t>100 * taux de la RAS</w:t>
            </w:r>
          </w:p>
        </w:tc>
      </w:tr>
      <w:tr w:rsidR="00353E9F" w:rsidRPr="00353E9F" w:rsidTr="00C117DC">
        <w:trPr>
          <w:trHeight w:val="279"/>
        </w:trPr>
        <w:tc>
          <w:tcPr>
            <w:tcW w:w="2005" w:type="dxa"/>
            <w:vAlign w:val="center"/>
          </w:tcPr>
          <w:p w:rsidR="00A664C7" w:rsidRPr="00353E9F" w:rsidRDefault="00A664C7" w:rsidP="00A664C7">
            <w:pPr>
              <w:rPr>
                <w:rFonts w:ascii="Century Gothic" w:hAnsi="Century Gothic"/>
                <w:b/>
                <w:color w:val="0070C0"/>
                <w:sz w:val="18"/>
              </w:rPr>
            </w:pPr>
            <w:r w:rsidRPr="00353E9F">
              <w:rPr>
                <w:rFonts w:ascii="Century Gothic" w:hAnsi="Century Gothic"/>
                <w:b/>
                <w:color w:val="0070C0"/>
                <w:sz w:val="18"/>
              </w:rPr>
              <w:t>100 - taux de la RAS</w:t>
            </w:r>
          </w:p>
        </w:tc>
      </w:tr>
    </w:tbl>
    <w:p w:rsidR="00801597" w:rsidRDefault="00801597" w:rsidP="00A664C7">
      <w:pPr>
        <w:rPr>
          <w:rFonts w:ascii="Century Gothic" w:hAnsi="Century Gothic"/>
          <w:color w:val="000000" w:themeColor="text1"/>
          <w:sz w:val="18"/>
        </w:rPr>
      </w:pPr>
    </w:p>
    <w:p w:rsidR="00EA5CC7" w:rsidRPr="00EA5CC7" w:rsidRDefault="00A664C7" w:rsidP="00A664C7">
      <w:pPr>
        <w:rPr>
          <w:rFonts w:ascii="Century Gothic" w:hAnsi="Century Gothic"/>
          <w:color w:val="000000" w:themeColor="text1"/>
          <w:sz w:val="18"/>
        </w:rPr>
      </w:pPr>
      <w:r w:rsidRPr="00A664C7">
        <w:rPr>
          <w:rFonts w:ascii="Century Gothic" w:hAnsi="Century Gothic"/>
          <w:color w:val="000000" w:themeColor="text1"/>
          <w:sz w:val="18"/>
        </w:rPr>
        <w:t>Pour garantir le paiement de l'impôt, il est proposé de soumettre le débiteur résident qui n'opère pas la retenue à la source sur les revenus des contribuables non-résidents au paiement de cette retenue dans la mesure où elle représente l'impôt définitif dû par le bénéficiaire de ces revenus.</w:t>
      </w:r>
    </w:p>
    <w:p w:rsidR="00EA5CC7" w:rsidRPr="00A664C7" w:rsidRDefault="00A664C7" w:rsidP="00EA5CC7">
      <w:pPr>
        <w:rPr>
          <w:rFonts w:ascii="Century Gothic" w:hAnsi="Century Gothic"/>
          <w:b/>
          <w:color w:val="17365D" w:themeColor="text2" w:themeShade="BF"/>
          <w:sz w:val="20"/>
        </w:rPr>
      </w:pPr>
      <w:r w:rsidRPr="00A664C7">
        <w:rPr>
          <w:rFonts w:ascii="Century Gothic" w:hAnsi="Century Gothic"/>
          <w:b/>
          <w:color w:val="17365D" w:themeColor="text2" w:themeShade="BF"/>
          <w:sz w:val="20"/>
        </w:rPr>
        <w:t>6- Généralisation de la retenue à la source libératoire :</w:t>
      </w:r>
    </w:p>
    <w:p w:rsidR="00A664C7" w:rsidRPr="00A664C7" w:rsidRDefault="00A664C7" w:rsidP="00A664C7">
      <w:pPr>
        <w:rPr>
          <w:rFonts w:ascii="Century Gothic" w:hAnsi="Century Gothic"/>
          <w:color w:val="000000" w:themeColor="text1"/>
          <w:sz w:val="18"/>
        </w:rPr>
      </w:pPr>
      <w:r w:rsidRPr="00A664C7">
        <w:rPr>
          <w:rFonts w:ascii="Century Gothic" w:hAnsi="Century Gothic"/>
          <w:color w:val="000000" w:themeColor="text1"/>
          <w:sz w:val="18"/>
        </w:rPr>
        <w:t>La loi de finances propose de généraliser l'application de la retenue à la source libératoire sur les travaux de construction, des opérations de montage ou des activités de surveillance en Tunisie à toutes les activités effectuées en Tunisie ne dépassant pas 6 mois.</w:t>
      </w:r>
    </w:p>
    <w:p w:rsidR="00A664C7" w:rsidRPr="00A664C7" w:rsidRDefault="00A664C7" w:rsidP="00A664C7">
      <w:pPr>
        <w:rPr>
          <w:rFonts w:ascii="Century Gothic" w:hAnsi="Century Gothic"/>
          <w:color w:val="000000" w:themeColor="text1"/>
          <w:sz w:val="18"/>
        </w:rPr>
      </w:pPr>
      <w:r w:rsidRPr="00A664C7">
        <w:rPr>
          <w:rFonts w:ascii="Century Gothic" w:hAnsi="Century Gothic"/>
          <w:color w:val="000000" w:themeColor="text1"/>
          <w:sz w:val="18"/>
        </w:rPr>
        <w:t>En effet, les personnes non résidentes installées en Tunisie et dont l'activité ne dépasse pas une période de six mois, sont soumises à l'IRPP et l'IS par le biais d'une retenue à la source, applicables sur leurs revenus provenant de ces activités, aux taux suivants :</w:t>
      </w:r>
    </w:p>
    <w:p w:rsidR="009C07B6" w:rsidRDefault="00A664C7" w:rsidP="00A664C7">
      <w:pPr>
        <w:pStyle w:val="Paragraphedeliste"/>
        <w:numPr>
          <w:ilvl w:val="0"/>
          <w:numId w:val="8"/>
        </w:numPr>
        <w:rPr>
          <w:rFonts w:ascii="Century Gothic" w:hAnsi="Century Gothic"/>
          <w:color w:val="000000" w:themeColor="text1"/>
          <w:sz w:val="18"/>
        </w:rPr>
      </w:pPr>
      <w:r w:rsidRPr="009C07B6">
        <w:rPr>
          <w:rFonts w:ascii="Century Gothic" w:hAnsi="Century Gothic"/>
          <w:b/>
          <w:color w:val="000000" w:themeColor="text1"/>
          <w:sz w:val="18"/>
        </w:rPr>
        <w:t>5%</w:t>
      </w:r>
      <w:r w:rsidRPr="009C07B6">
        <w:rPr>
          <w:rFonts w:ascii="Century Gothic" w:hAnsi="Century Gothic"/>
          <w:color w:val="000000" w:themeColor="text1"/>
          <w:sz w:val="18"/>
        </w:rPr>
        <w:t xml:space="preserve"> du montant brut du chiffre d'affaires pour les travaux de construction ;</w:t>
      </w:r>
    </w:p>
    <w:p w:rsidR="009C07B6" w:rsidRDefault="00A664C7" w:rsidP="00A664C7">
      <w:pPr>
        <w:pStyle w:val="Paragraphedeliste"/>
        <w:numPr>
          <w:ilvl w:val="0"/>
          <w:numId w:val="8"/>
        </w:numPr>
        <w:rPr>
          <w:rFonts w:ascii="Century Gothic" w:hAnsi="Century Gothic"/>
          <w:color w:val="000000" w:themeColor="text1"/>
          <w:sz w:val="18"/>
        </w:rPr>
      </w:pPr>
      <w:r w:rsidRPr="009C07B6">
        <w:rPr>
          <w:rFonts w:ascii="Century Gothic" w:hAnsi="Century Gothic"/>
          <w:b/>
          <w:color w:val="000000" w:themeColor="text1"/>
          <w:sz w:val="18"/>
        </w:rPr>
        <w:t>10%</w:t>
      </w:r>
      <w:r w:rsidRPr="009C07B6">
        <w:rPr>
          <w:rFonts w:ascii="Century Gothic" w:hAnsi="Century Gothic"/>
          <w:color w:val="000000" w:themeColor="text1"/>
          <w:sz w:val="18"/>
        </w:rPr>
        <w:t xml:space="preserve"> du montant brut du chiffre d'affaires pour les opérations de montage ;</w:t>
      </w:r>
    </w:p>
    <w:p w:rsidR="00A664C7" w:rsidRPr="009C07B6" w:rsidRDefault="00A664C7" w:rsidP="00A664C7">
      <w:pPr>
        <w:pStyle w:val="Paragraphedeliste"/>
        <w:numPr>
          <w:ilvl w:val="0"/>
          <w:numId w:val="8"/>
        </w:numPr>
        <w:rPr>
          <w:rFonts w:ascii="Century Gothic" w:hAnsi="Century Gothic"/>
          <w:color w:val="000000" w:themeColor="text1"/>
          <w:sz w:val="18"/>
        </w:rPr>
      </w:pPr>
      <w:r w:rsidRPr="009C07B6">
        <w:rPr>
          <w:rFonts w:ascii="Century Gothic" w:hAnsi="Century Gothic"/>
          <w:b/>
          <w:color w:val="000000" w:themeColor="text1"/>
          <w:sz w:val="18"/>
        </w:rPr>
        <w:t>15%</w:t>
      </w:r>
      <w:r w:rsidRPr="009C07B6">
        <w:rPr>
          <w:rFonts w:ascii="Century Gothic" w:hAnsi="Century Gothic"/>
          <w:color w:val="000000" w:themeColor="text1"/>
          <w:sz w:val="18"/>
        </w:rPr>
        <w:t xml:space="preserve"> du montant brut du chiffre d'affaires ou des rémunérations </w:t>
      </w:r>
      <w:r w:rsidRPr="009C07B6">
        <w:rPr>
          <w:rFonts w:ascii="Century Gothic" w:hAnsi="Century Gothic"/>
          <w:b/>
          <w:color w:val="0070C0"/>
          <w:sz w:val="18"/>
          <w:u w:val="single"/>
        </w:rPr>
        <w:t>pour les autres services</w:t>
      </w:r>
      <w:r w:rsidRPr="009C07B6">
        <w:rPr>
          <w:rFonts w:ascii="Century Gothic" w:hAnsi="Century Gothic"/>
          <w:color w:val="000000" w:themeColor="text1"/>
          <w:sz w:val="18"/>
        </w:rPr>
        <w:t>.</w:t>
      </w:r>
    </w:p>
    <w:p w:rsidR="00A664C7" w:rsidRDefault="00A664C7" w:rsidP="00A664C7">
      <w:pPr>
        <w:rPr>
          <w:rFonts w:ascii="Century Gothic" w:hAnsi="Century Gothic"/>
          <w:color w:val="000000" w:themeColor="text1"/>
          <w:sz w:val="18"/>
        </w:rPr>
      </w:pPr>
      <w:r w:rsidRPr="00A664C7">
        <w:rPr>
          <w:rFonts w:ascii="Century Gothic" w:hAnsi="Century Gothic"/>
          <w:color w:val="000000" w:themeColor="text1"/>
          <w:sz w:val="18"/>
        </w:rPr>
        <w:t>Les personnes susvisées peuvent opter pour le paiement de l'IRPP et l'IS, l'exercice de cette option se fait par le dépôt d'une demande auprès du bureau ou du centre de contrôle compétent lors du dépôt</w:t>
      </w:r>
      <w:r>
        <w:rPr>
          <w:rFonts w:ascii="Century Gothic" w:hAnsi="Century Gothic"/>
          <w:color w:val="000000" w:themeColor="text1"/>
          <w:sz w:val="18"/>
        </w:rPr>
        <w:t xml:space="preserve"> de la déclaration d'ouverture.</w:t>
      </w:r>
    </w:p>
    <w:p w:rsidR="00A664C7" w:rsidRPr="00FE1F8A" w:rsidRDefault="00FE1F8A" w:rsidP="00A664C7">
      <w:pPr>
        <w:rPr>
          <w:rFonts w:ascii="Century Gothic" w:hAnsi="Century Gothic"/>
          <w:b/>
          <w:color w:val="17365D" w:themeColor="text2" w:themeShade="BF"/>
          <w:sz w:val="20"/>
        </w:rPr>
      </w:pPr>
      <w:r w:rsidRPr="00FE1F8A">
        <w:rPr>
          <w:rFonts w:ascii="Century Gothic" w:hAnsi="Century Gothic"/>
          <w:b/>
          <w:color w:val="17365D" w:themeColor="text2" w:themeShade="BF"/>
          <w:sz w:val="20"/>
        </w:rPr>
        <w:t>7- Perception de la retenue à la source au titre des revenus distribués par les établissements stables en Tunisie au profit des sociétés non-résidentes</w:t>
      </w:r>
      <w:r>
        <w:rPr>
          <w:rFonts w:ascii="Century Gothic" w:hAnsi="Century Gothic"/>
          <w:b/>
          <w:color w:val="17365D" w:themeColor="text2" w:themeShade="BF"/>
          <w:sz w:val="20"/>
        </w:rPr>
        <w:t> :</w:t>
      </w:r>
    </w:p>
    <w:p w:rsidR="00FE1F8A" w:rsidRPr="00FE1F8A" w:rsidRDefault="00FE1F8A" w:rsidP="00FE1F8A">
      <w:pPr>
        <w:rPr>
          <w:rFonts w:ascii="Century Gothic" w:hAnsi="Century Gothic"/>
          <w:color w:val="000000" w:themeColor="text1"/>
          <w:sz w:val="18"/>
        </w:rPr>
      </w:pPr>
      <w:r w:rsidRPr="00FE1F8A">
        <w:rPr>
          <w:rFonts w:ascii="Century Gothic" w:hAnsi="Century Gothic"/>
          <w:color w:val="000000" w:themeColor="text1"/>
          <w:sz w:val="18"/>
        </w:rPr>
        <w:t xml:space="preserve">Conformément à la législation fiscale en vigueur, les bénéfices distribués par les sociétés résidentes en Tunisie, au profit des personnes non-résidentes, sont soumis à une </w:t>
      </w:r>
      <w:r w:rsidRPr="009C07B6">
        <w:rPr>
          <w:rFonts w:ascii="Century Gothic" w:hAnsi="Century Gothic"/>
          <w:b/>
          <w:bCs/>
          <w:color w:val="0070C0"/>
          <w:sz w:val="18"/>
          <w:u w:val="single"/>
        </w:rPr>
        <w:t>retenue à la source libératoire de 5%, et ce à partir du 1er janvier 2015</w:t>
      </w:r>
      <w:r w:rsidRPr="00FE1F8A">
        <w:rPr>
          <w:rFonts w:ascii="Century Gothic" w:hAnsi="Century Gothic"/>
          <w:color w:val="000000" w:themeColor="text1"/>
          <w:sz w:val="18"/>
        </w:rPr>
        <w:t>. Cette disposition concerne les bénéfices non affectés aux réserves et non incorporés au capital social.</w:t>
      </w:r>
    </w:p>
    <w:p w:rsidR="00FE1F8A" w:rsidRPr="009C07B6" w:rsidRDefault="00FE1F8A" w:rsidP="00FE1F8A">
      <w:pPr>
        <w:rPr>
          <w:rFonts w:ascii="Century Gothic" w:hAnsi="Century Gothic"/>
          <w:b/>
          <w:color w:val="000000" w:themeColor="text1"/>
          <w:sz w:val="18"/>
          <w:u w:val="single"/>
        </w:rPr>
      </w:pPr>
      <w:r w:rsidRPr="009C07B6">
        <w:rPr>
          <w:rFonts w:ascii="Century Gothic" w:hAnsi="Century Gothic"/>
          <w:b/>
          <w:color w:val="000000" w:themeColor="text1"/>
          <w:sz w:val="18"/>
          <w:u w:val="single"/>
        </w:rPr>
        <w:t xml:space="preserve">Les bénéfices réalisés en Tunisie, par les établissements stables des entreprises étrangères, sont également </w:t>
      </w:r>
      <w:r w:rsidRPr="009C07B6">
        <w:rPr>
          <w:rFonts w:ascii="Century Gothic" w:hAnsi="Century Gothic"/>
          <w:b/>
          <w:color w:val="000000" w:themeColor="text1"/>
          <w:sz w:val="18"/>
          <w:u w:val="single"/>
        </w:rPr>
        <w:lastRenderedPageBreak/>
        <w:t>soumis aux mêmes modalités d'imposition exposées ci-dessus.</w:t>
      </w:r>
    </w:p>
    <w:p w:rsidR="00FE1F8A" w:rsidRPr="009C07B6" w:rsidRDefault="009C07B6" w:rsidP="00FE1F8A">
      <w:pPr>
        <w:rPr>
          <w:rFonts w:ascii="Century Gothic" w:hAnsi="Century Gothic"/>
          <w:b/>
          <w:color w:val="365F91" w:themeColor="accent1" w:themeShade="BF"/>
          <w:sz w:val="16"/>
        </w:rPr>
      </w:pPr>
      <w:r w:rsidRPr="009C07B6">
        <w:rPr>
          <w:rFonts w:ascii="Century Gothic" w:hAnsi="Century Gothic"/>
          <w:b/>
          <w:color w:val="365F91" w:themeColor="accent1" w:themeShade="BF"/>
          <w:sz w:val="16"/>
        </w:rPr>
        <w:t xml:space="preserve">N.B : </w:t>
      </w:r>
      <w:r w:rsidR="00FE1F8A" w:rsidRPr="009C07B6">
        <w:rPr>
          <w:rFonts w:ascii="Century Gothic" w:hAnsi="Century Gothic"/>
          <w:b/>
          <w:color w:val="365F91" w:themeColor="accent1" w:themeShade="BF"/>
          <w:sz w:val="16"/>
        </w:rPr>
        <w:t>Cette mesure vise à instaurer une équité fiscale entre les sociétés résidentes en Tunisie et les établissements stables des entreprises étrangères. L</w:t>
      </w:r>
      <w:r w:rsidR="007B3188">
        <w:rPr>
          <w:rFonts w:ascii="Century Gothic" w:hAnsi="Century Gothic"/>
          <w:b/>
          <w:color w:val="365F91" w:themeColor="accent1" w:themeShade="BF"/>
          <w:sz w:val="16"/>
        </w:rPr>
        <w:t>a</w:t>
      </w:r>
      <w:r w:rsidR="00FE1F8A" w:rsidRPr="009C07B6">
        <w:rPr>
          <w:rFonts w:ascii="Century Gothic" w:hAnsi="Century Gothic"/>
          <w:b/>
          <w:color w:val="365F91" w:themeColor="accent1" w:themeShade="BF"/>
          <w:sz w:val="16"/>
        </w:rPr>
        <w:t xml:space="preserve"> présent</w:t>
      </w:r>
      <w:r w:rsidR="007B3188">
        <w:rPr>
          <w:rFonts w:ascii="Century Gothic" w:hAnsi="Century Gothic"/>
          <w:b/>
          <w:color w:val="365F91" w:themeColor="accent1" w:themeShade="BF"/>
          <w:sz w:val="16"/>
        </w:rPr>
        <w:t>e</w:t>
      </w:r>
      <w:r w:rsidR="00FE1F8A" w:rsidRPr="009C07B6">
        <w:rPr>
          <w:rFonts w:ascii="Century Gothic" w:hAnsi="Century Gothic"/>
          <w:b/>
          <w:color w:val="365F91" w:themeColor="accent1" w:themeShade="BF"/>
          <w:sz w:val="16"/>
        </w:rPr>
        <w:t xml:space="preserve"> </w:t>
      </w:r>
      <w:r w:rsidR="007B3188">
        <w:rPr>
          <w:rFonts w:ascii="Century Gothic" w:hAnsi="Century Gothic"/>
          <w:b/>
          <w:color w:val="365F91" w:themeColor="accent1" w:themeShade="BF"/>
          <w:sz w:val="16"/>
        </w:rPr>
        <w:t>LF</w:t>
      </w:r>
      <w:r w:rsidR="00FE1F8A" w:rsidRPr="009C07B6">
        <w:rPr>
          <w:rFonts w:ascii="Century Gothic" w:hAnsi="Century Gothic"/>
          <w:b/>
          <w:color w:val="365F91" w:themeColor="accent1" w:themeShade="BF"/>
          <w:sz w:val="16"/>
        </w:rPr>
        <w:t xml:space="preserve"> propose, ainsi, l'application d'une retenue à la source de 5% sur les revenus desdites entités, conformément à la réglementation fiscale tunisienne et aux conventions de non double imposition avec l'étranger.</w:t>
      </w:r>
    </w:p>
    <w:p w:rsidR="00FE1F8A" w:rsidRPr="00FE1F8A" w:rsidRDefault="00FE1F8A" w:rsidP="00FE1F8A">
      <w:pPr>
        <w:rPr>
          <w:rFonts w:ascii="Century Gothic" w:hAnsi="Century Gothic"/>
          <w:b/>
          <w:color w:val="17365D" w:themeColor="text2" w:themeShade="BF"/>
          <w:sz w:val="20"/>
        </w:rPr>
      </w:pPr>
      <w:r w:rsidRPr="00FE1F8A">
        <w:rPr>
          <w:rFonts w:ascii="Century Gothic" w:hAnsi="Century Gothic"/>
          <w:b/>
          <w:color w:val="17365D" w:themeColor="text2" w:themeShade="BF"/>
          <w:sz w:val="20"/>
        </w:rPr>
        <w:t>8- Exonération des revenus des personnes exerçant dans le secteur agricole et de pêche de la retenue à la source de 1.5%</w:t>
      </w:r>
      <w:r>
        <w:rPr>
          <w:rFonts w:ascii="Century Gothic" w:hAnsi="Century Gothic"/>
          <w:b/>
          <w:color w:val="17365D" w:themeColor="text2" w:themeShade="BF"/>
          <w:sz w:val="20"/>
        </w:rPr>
        <w:t> :</w:t>
      </w:r>
    </w:p>
    <w:p w:rsidR="00FE1F8A" w:rsidRPr="00FE1F8A" w:rsidRDefault="00FE1F8A" w:rsidP="00FE1F8A">
      <w:pPr>
        <w:rPr>
          <w:rFonts w:ascii="Century Gothic" w:hAnsi="Century Gothic"/>
          <w:color w:val="000000" w:themeColor="text1"/>
          <w:sz w:val="18"/>
        </w:rPr>
      </w:pPr>
      <w:r w:rsidRPr="00FE1F8A">
        <w:rPr>
          <w:rFonts w:ascii="Century Gothic" w:hAnsi="Century Gothic"/>
          <w:color w:val="000000" w:themeColor="text1"/>
          <w:sz w:val="18"/>
        </w:rPr>
        <w:t>La retenue à la source</w:t>
      </w:r>
      <w:r>
        <w:rPr>
          <w:rFonts w:ascii="Century Gothic" w:hAnsi="Century Gothic"/>
          <w:color w:val="000000" w:themeColor="text1"/>
          <w:sz w:val="18"/>
        </w:rPr>
        <w:t xml:space="preserve"> de </w:t>
      </w:r>
      <w:r w:rsidRPr="009C07B6">
        <w:rPr>
          <w:rFonts w:ascii="Century Gothic" w:hAnsi="Century Gothic"/>
          <w:b/>
          <w:color w:val="000000" w:themeColor="text1"/>
          <w:sz w:val="18"/>
        </w:rPr>
        <w:t>1,5%</w:t>
      </w:r>
      <w:r w:rsidRPr="00FE1F8A">
        <w:rPr>
          <w:rFonts w:ascii="Century Gothic" w:hAnsi="Century Gothic"/>
          <w:color w:val="000000" w:themeColor="text1"/>
          <w:sz w:val="18"/>
        </w:rPr>
        <w:t xml:space="preserve"> ne s'applique pas sur les montants payés :</w:t>
      </w:r>
    </w:p>
    <w:p w:rsidR="00FE1F8A" w:rsidRPr="00FE1F8A" w:rsidRDefault="00FE1F8A" w:rsidP="00FE1F8A">
      <w:pPr>
        <w:rPr>
          <w:rFonts w:ascii="Century Gothic" w:hAnsi="Century Gothic"/>
          <w:color w:val="000000" w:themeColor="text1"/>
          <w:sz w:val="18"/>
        </w:rPr>
      </w:pPr>
      <w:r w:rsidRPr="00FE1F8A">
        <w:rPr>
          <w:rFonts w:ascii="Century Gothic" w:hAnsi="Century Gothic"/>
          <w:color w:val="000000" w:themeColor="text1"/>
          <w:sz w:val="18"/>
        </w:rPr>
        <w:t>- dans le cadre des abonnements de téléphone, d'eau, d'électricité, de gaz, de journaux, de périodiques et de publications,</w:t>
      </w:r>
    </w:p>
    <w:p w:rsidR="00FE1F8A" w:rsidRPr="00FE1F8A" w:rsidRDefault="00FE1F8A" w:rsidP="00FE1F8A">
      <w:pPr>
        <w:rPr>
          <w:rFonts w:ascii="Century Gothic" w:hAnsi="Century Gothic"/>
          <w:color w:val="000000" w:themeColor="text1"/>
          <w:sz w:val="18"/>
        </w:rPr>
      </w:pPr>
      <w:r w:rsidRPr="00FE1F8A">
        <w:rPr>
          <w:rFonts w:ascii="Century Gothic" w:hAnsi="Century Gothic"/>
          <w:color w:val="000000" w:themeColor="text1"/>
          <w:sz w:val="18"/>
        </w:rPr>
        <w:t>- au titre des contrats d'assurance,</w:t>
      </w:r>
    </w:p>
    <w:p w:rsidR="00FE1F8A" w:rsidRPr="00FE1F8A" w:rsidRDefault="00FE1F8A" w:rsidP="00FE1F8A">
      <w:pPr>
        <w:rPr>
          <w:rFonts w:ascii="Century Gothic" w:hAnsi="Century Gothic"/>
          <w:color w:val="000000" w:themeColor="text1"/>
          <w:sz w:val="18"/>
        </w:rPr>
      </w:pPr>
      <w:r w:rsidRPr="00FE1F8A">
        <w:rPr>
          <w:rFonts w:ascii="Century Gothic" w:hAnsi="Century Gothic"/>
          <w:color w:val="000000" w:themeColor="text1"/>
          <w:sz w:val="18"/>
        </w:rPr>
        <w:t>- par les clients au profit des entreprises de leasing dans le cadre des contrats de leasing, dans le cadre des contrats d'</w:t>
      </w:r>
      <w:proofErr w:type="spellStart"/>
      <w:r w:rsidRPr="00FE1F8A">
        <w:rPr>
          <w:rFonts w:ascii="Century Gothic" w:hAnsi="Century Gothic"/>
          <w:color w:val="000000" w:themeColor="text1"/>
          <w:sz w:val="18"/>
        </w:rPr>
        <w:t>ijâra</w:t>
      </w:r>
      <w:proofErr w:type="spellEnd"/>
      <w:r w:rsidRPr="00FE1F8A">
        <w:rPr>
          <w:rFonts w:ascii="Century Gothic" w:hAnsi="Century Gothic"/>
          <w:color w:val="000000" w:themeColor="text1"/>
          <w:sz w:val="18"/>
        </w:rPr>
        <w:t xml:space="preserve">, des contrats de cession </w:t>
      </w:r>
      <w:proofErr w:type="spellStart"/>
      <w:r w:rsidRPr="00FE1F8A">
        <w:rPr>
          <w:rFonts w:ascii="Century Gothic" w:hAnsi="Century Gothic"/>
          <w:color w:val="000000" w:themeColor="text1"/>
          <w:sz w:val="18"/>
        </w:rPr>
        <w:t>murabaha</w:t>
      </w:r>
      <w:proofErr w:type="spellEnd"/>
      <w:r w:rsidRPr="00FE1F8A">
        <w:rPr>
          <w:rFonts w:ascii="Century Gothic" w:hAnsi="Century Gothic"/>
          <w:color w:val="000000" w:themeColor="text1"/>
          <w:sz w:val="18"/>
        </w:rPr>
        <w:t>, des contrats d'</w:t>
      </w:r>
      <w:proofErr w:type="spellStart"/>
      <w:r w:rsidRPr="00FE1F8A">
        <w:rPr>
          <w:rFonts w:ascii="Century Gothic" w:hAnsi="Century Gothic"/>
          <w:color w:val="000000" w:themeColor="text1"/>
          <w:sz w:val="18"/>
        </w:rPr>
        <w:t>istisna</w:t>
      </w:r>
      <w:proofErr w:type="spellEnd"/>
      <w:r w:rsidRPr="00FE1F8A">
        <w:rPr>
          <w:rFonts w:ascii="Century Gothic" w:hAnsi="Century Gothic"/>
          <w:color w:val="000000" w:themeColor="text1"/>
          <w:sz w:val="18"/>
        </w:rPr>
        <w:t xml:space="preserve"> et des contrats de </w:t>
      </w:r>
      <w:proofErr w:type="spellStart"/>
      <w:r w:rsidRPr="00FE1F8A">
        <w:rPr>
          <w:rFonts w:ascii="Century Gothic" w:hAnsi="Century Gothic"/>
          <w:color w:val="000000" w:themeColor="text1"/>
          <w:sz w:val="18"/>
        </w:rPr>
        <w:t>salam</w:t>
      </w:r>
      <w:proofErr w:type="spellEnd"/>
      <w:r w:rsidRPr="00FE1F8A">
        <w:rPr>
          <w:rFonts w:ascii="Century Gothic" w:hAnsi="Century Gothic"/>
          <w:color w:val="000000" w:themeColor="text1"/>
          <w:sz w:val="18"/>
        </w:rPr>
        <w:t>.</w:t>
      </w:r>
    </w:p>
    <w:p w:rsidR="00FE1F8A" w:rsidRPr="00EA5CC7" w:rsidRDefault="00FE1F8A" w:rsidP="00FE1F8A">
      <w:pPr>
        <w:rPr>
          <w:rFonts w:ascii="Century Gothic" w:hAnsi="Century Gothic"/>
          <w:color w:val="000000" w:themeColor="text1"/>
          <w:sz w:val="18"/>
        </w:rPr>
      </w:pPr>
      <w:r w:rsidRPr="00FE1F8A">
        <w:rPr>
          <w:rFonts w:ascii="Century Gothic" w:hAnsi="Century Gothic"/>
          <w:color w:val="000000" w:themeColor="text1"/>
          <w:sz w:val="18"/>
        </w:rPr>
        <w:t xml:space="preserve">Il est rajouté à ces exonérations </w:t>
      </w:r>
      <w:r w:rsidRPr="001952C5">
        <w:rPr>
          <w:rFonts w:ascii="Century Gothic" w:hAnsi="Century Gothic"/>
          <w:b/>
          <w:color w:val="0070C0"/>
          <w:sz w:val="18"/>
          <w:u w:val="single"/>
        </w:rPr>
        <w:t>les revenus réalisés par les personnes exerçant dans le secteur agricole et de pêche au titre de leurs ventes.</w:t>
      </w:r>
    </w:p>
    <w:p w:rsidR="00EA5CC7" w:rsidRPr="00EA5CC7" w:rsidRDefault="00EA5CC7" w:rsidP="00EA5CC7">
      <w:pPr>
        <w:rPr>
          <w:rFonts w:ascii="Century Gothic" w:hAnsi="Century Gothic"/>
          <w:color w:val="000000" w:themeColor="text1"/>
          <w:sz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3918"/>
      </w:tblGrid>
      <w:tr w:rsidR="00FE1F8A" w:rsidRPr="00FE1F8A" w:rsidTr="00163D4B">
        <w:tc>
          <w:tcPr>
            <w:tcW w:w="993" w:type="dxa"/>
          </w:tcPr>
          <w:p w:rsidR="00FE1F8A" w:rsidRPr="00FE1F8A" w:rsidRDefault="00FE1F8A" w:rsidP="00163D4B">
            <w:pPr>
              <w:rPr>
                <w:rFonts w:ascii="Century Gothic" w:hAnsi="Century Gothic"/>
                <w:b/>
                <w:sz w:val="20"/>
              </w:rPr>
            </w:pPr>
            <w:r w:rsidRPr="00FE1F8A">
              <w:rPr>
                <w:rFonts w:ascii="Century Gothic" w:hAnsi="Century Gothic"/>
                <w:b/>
                <w:noProof/>
                <w:sz w:val="20"/>
                <w:lang w:eastAsia="fr-FR"/>
              </w:rPr>
              <w:drawing>
                <wp:inline distT="0" distB="0" distL="0" distR="0" wp14:anchorId="37B4C971" wp14:editId="2DA0B444">
                  <wp:extent cx="657225" cy="43815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57225" cy="438150"/>
                          </a:xfrm>
                          <a:prstGeom prst="rect">
                            <a:avLst/>
                          </a:prstGeom>
                        </pic:spPr>
                      </pic:pic>
                    </a:graphicData>
                  </a:graphic>
                </wp:inline>
              </w:drawing>
            </w:r>
          </w:p>
        </w:tc>
        <w:tc>
          <w:tcPr>
            <w:tcW w:w="3918" w:type="dxa"/>
          </w:tcPr>
          <w:p w:rsidR="00FE1F8A" w:rsidRPr="00FE1F8A" w:rsidRDefault="00FE1F8A" w:rsidP="00FE1F8A">
            <w:pPr>
              <w:rPr>
                <w:rFonts w:ascii="Century Gothic" w:hAnsi="Century Gothic"/>
                <w:b/>
                <w:sz w:val="20"/>
              </w:rPr>
            </w:pPr>
            <w:r w:rsidRPr="00C117DC">
              <w:rPr>
                <w:rFonts w:ascii="Century Gothic" w:hAnsi="Century Gothic"/>
                <w:b/>
                <w:sz w:val="20"/>
                <w14:shadow w14:blurRad="50800" w14:dist="38100" w14:dir="0" w14:sx="100000" w14:sy="100000" w14:kx="0" w14:ky="0" w14:algn="l">
                  <w14:srgbClr w14:val="000000">
                    <w14:alpha w14:val="60000"/>
                  </w14:srgbClr>
                </w14:shadow>
              </w:rPr>
              <w:t>Nouvelles mesures concernant la taxe sur la valeur ajoutée :</w:t>
            </w:r>
          </w:p>
        </w:tc>
      </w:tr>
    </w:tbl>
    <w:p w:rsidR="003D541C" w:rsidRPr="003D541C" w:rsidRDefault="003D541C" w:rsidP="003D541C">
      <w:pPr>
        <w:rPr>
          <w:rFonts w:ascii="Century Gothic" w:hAnsi="Century Gothic"/>
          <w:sz w:val="20"/>
        </w:rPr>
      </w:pPr>
    </w:p>
    <w:p w:rsidR="003D541C" w:rsidRPr="006E4131" w:rsidRDefault="006E4131" w:rsidP="006E4131">
      <w:pPr>
        <w:rPr>
          <w:rFonts w:ascii="Century Gothic" w:hAnsi="Century Gothic"/>
          <w:b/>
          <w:color w:val="17365D" w:themeColor="text2" w:themeShade="BF"/>
          <w:sz w:val="20"/>
        </w:rPr>
      </w:pPr>
      <w:r w:rsidRPr="006E4131">
        <w:rPr>
          <w:rFonts w:ascii="Century Gothic" w:hAnsi="Century Gothic"/>
          <w:b/>
          <w:color w:val="17365D" w:themeColor="text2" w:themeShade="BF"/>
          <w:sz w:val="20"/>
        </w:rPr>
        <w:t>1- Amélioration des procédures de récupération des crédits d'impôts et de taxes</w:t>
      </w:r>
    </w:p>
    <w:p w:rsidR="00FE1F8A" w:rsidRPr="006E4131" w:rsidRDefault="00FE1F8A" w:rsidP="00FE1F8A">
      <w:pPr>
        <w:rPr>
          <w:rFonts w:ascii="Century Gothic" w:hAnsi="Century Gothic"/>
          <w:sz w:val="18"/>
        </w:rPr>
      </w:pPr>
      <w:r w:rsidRPr="006E4131">
        <w:rPr>
          <w:rFonts w:ascii="Century Gothic" w:hAnsi="Century Gothic"/>
          <w:sz w:val="18"/>
        </w:rPr>
        <w:t xml:space="preserve">L'amélioration des taux, délais et procédures de restitution de l'impôt excédentaire pour les entreprises objet de suivi de la direction des grandes entreprises (DGE), et ce en leur permettant de récupérer la totalité de l'excèdent de la TVA </w:t>
      </w:r>
      <w:r w:rsidRPr="009C07B6">
        <w:rPr>
          <w:rFonts w:ascii="Century Gothic" w:hAnsi="Century Gothic"/>
          <w:b/>
          <w:bCs/>
          <w:color w:val="0070C0"/>
          <w:sz w:val="18"/>
          <w:u w:val="single"/>
        </w:rPr>
        <w:t>sans vérification approfondie</w:t>
      </w:r>
      <w:r w:rsidRPr="006E4131">
        <w:rPr>
          <w:rFonts w:ascii="Century Gothic" w:hAnsi="Century Gothic"/>
          <w:sz w:val="18"/>
        </w:rPr>
        <w:t xml:space="preserve">, </w:t>
      </w:r>
      <w:r w:rsidRPr="009C07B6">
        <w:rPr>
          <w:rFonts w:ascii="Century Gothic" w:hAnsi="Century Gothic"/>
          <w:b/>
          <w:bCs/>
          <w:color w:val="0070C0"/>
          <w:sz w:val="18"/>
          <w:u w:val="single"/>
        </w:rPr>
        <w:t>dans un délai ne dépassant pas les 7 jours</w:t>
      </w:r>
      <w:r w:rsidRPr="006E4131">
        <w:rPr>
          <w:rFonts w:ascii="Century Gothic" w:hAnsi="Century Gothic"/>
          <w:sz w:val="18"/>
        </w:rPr>
        <w:t xml:space="preserve"> à partir de la date de dépôt de la demande de restitution.</w:t>
      </w:r>
    </w:p>
    <w:p w:rsidR="00FE1F8A" w:rsidRDefault="00FE1F8A" w:rsidP="00FE1F8A">
      <w:pPr>
        <w:rPr>
          <w:rFonts w:ascii="Century Gothic" w:hAnsi="Century Gothic"/>
          <w:sz w:val="18"/>
        </w:rPr>
      </w:pPr>
      <w:r w:rsidRPr="006E4131">
        <w:rPr>
          <w:rFonts w:ascii="Century Gothic" w:hAnsi="Century Gothic"/>
          <w:sz w:val="18"/>
        </w:rPr>
        <w:t>La demande doit être appuyée d'un rapport du commissaire aux comptes sur ledit excédent.</w:t>
      </w:r>
    </w:p>
    <w:p w:rsidR="006E4131" w:rsidRPr="006E4131" w:rsidRDefault="006E4131" w:rsidP="00FE1F8A">
      <w:pPr>
        <w:rPr>
          <w:rFonts w:ascii="Century Gothic" w:hAnsi="Century Gothic"/>
          <w:b/>
          <w:color w:val="17365D" w:themeColor="text2" w:themeShade="BF"/>
          <w:sz w:val="20"/>
        </w:rPr>
      </w:pPr>
      <w:r w:rsidRPr="006E4131">
        <w:rPr>
          <w:rFonts w:ascii="Century Gothic" w:hAnsi="Century Gothic"/>
          <w:b/>
          <w:color w:val="17365D" w:themeColor="text2" w:themeShade="BF"/>
          <w:sz w:val="20"/>
        </w:rPr>
        <w:t>2- Réduction du taux de TVA à 12% sur la consommation électrique des ménages et celle utilisée dans l'irrigation agricole</w:t>
      </w:r>
      <w:r>
        <w:rPr>
          <w:rFonts w:ascii="Century Gothic" w:hAnsi="Century Gothic"/>
          <w:b/>
          <w:color w:val="17365D" w:themeColor="text2" w:themeShade="BF"/>
          <w:sz w:val="20"/>
        </w:rPr>
        <w:t> :</w:t>
      </w:r>
    </w:p>
    <w:p w:rsidR="006E4131" w:rsidRDefault="006E4131" w:rsidP="00FE1F8A">
      <w:pPr>
        <w:rPr>
          <w:rFonts w:ascii="Century Gothic" w:hAnsi="Century Gothic"/>
          <w:sz w:val="18"/>
        </w:rPr>
      </w:pPr>
      <w:r w:rsidRPr="006E4131">
        <w:rPr>
          <w:rFonts w:ascii="Century Gothic" w:hAnsi="Century Gothic"/>
          <w:sz w:val="18"/>
        </w:rPr>
        <w:lastRenderedPageBreak/>
        <w:t xml:space="preserve">Il est prévu de réduire à </w:t>
      </w:r>
      <w:r w:rsidRPr="009C07B6">
        <w:rPr>
          <w:rFonts w:ascii="Century Gothic" w:hAnsi="Century Gothic"/>
          <w:b/>
          <w:color w:val="0070C0"/>
          <w:sz w:val="18"/>
          <w:u w:val="single"/>
        </w:rPr>
        <w:t>12%</w:t>
      </w:r>
      <w:r w:rsidRPr="006E4131">
        <w:rPr>
          <w:rFonts w:ascii="Century Gothic" w:hAnsi="Century Gothic"/>
          <w:sz w:val="18"/>
        </w:rPr>
        <w:t xml:space="preserve"> la TVA relative à la consommation électrique des ménages et celle utilisée dans l'irrigation agricole afin de réduire la pression fiscale et appuyer le pouvoir d'achat.</w:t>
      </w:r>
    </w:p>
    <w:p w:rsidR="006E4131" w:rsidRPr="006E4131" w:rsidRDefault="006E4131" w:rsidP="00FE1F8A">
      <w:pPr>
        <w:rPr>
          <w:rFonts w:ascii="Century Gothic" w:hAnsi="Century Gothic"/>
          <w:b/>
          <w:color w:val="17365D" w:themeColor="text2" w:themeShade="BF"/>
          <w:sz w:val="20"/>
        </w:rPr>
      </w:pPr>
      <w:r w:rsidRPr="006E4131">
        <w:rPr>
          <w:rFonts w:ascii="Century Gothic" w:hAnsi="Century Gothic"/>
          <w:b/>
          <w:color w:val="17365D" w:themeColor="text2" w:themeShade="BF"/>
          <w:sz w:val="20"/>
        </w:rPr>
        <w:t>3- Exonération de certains produits :</w:t>
      </w:r>
    </w:p>
    <w:p w:rsidR="006E4131" w:rsidRDefault="006E4131" w:rsidP="00FE1F8A">
      <w:pPr>
        <w:rPr>
          <w:rFonts w:ascii="Century Gothic" w:hAnsi="Century Gothic"/>
          <w:sz w:val="18"/>
        </w:rPr>
      </w:pPr>
      <w:r w:rsidRPr="006E4131">
        <w:rPr>
          <w:rFonts w:ascii="Century Gothic" w:hAnsi="Century Gothic"/>
          <w:sz w:val="18"/>
        </w:rPr>
        <w:t xml:space="preserve">Il est prévu l'exonération des préparations alimentaires sous forme de comprimés ainsi que les patchs de nicotine permettant d'aider les fumeurs à arrêter le tabac, des droits de douane et du droit de consommation et leur soumission à la TVA au taux de </w:t>
      </w:r>
      <w:r w:rsidRPr="009C07B6">
        <w:rPr>
          <w:rFonts w:ascii="Century Gothic" w:hAnsi="Century Gothic"/>
          <w:b/>
          <w:color w:val="0070C0"/>
          <w:sz w:val="18"/>
          <w:u w:val="single"/>
        </w:rPr>
        <w:t>12%</w:t>
      </w:r>
      <w:r w:rsidRPr="006E4131">
        <w:rPr>
          <w:rFonts w:ascii="Century Gothic" w:hAnsi="Century Gothic"/>
          <w:sz w:val="18"/>
        </w:rPr>
        <w:t>.</w:t>
      </w:r>
    </w:p>
    <w:p w:rsidR="00C117DC" w:rsidRDefault="00C117DC" w:rsidP="00FE1F8A">
      <w:pPr>
        <w:rPr>
          <w:rFonts w:ascii="Century Gothic" w:hAnsi="Century Gothic"/>
          <w:sz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3918"/>
      </w:tblGrid>
      <w:tr w:rsidR="006E4131" w:rsidRPr="00FE1F8A" w:rsidTr="00163D4B">
        <w:tc>
          <w:tcPr>
            <w:tcW w:w="993" w:type="dxa"/>
          </w:tcPr>
          <w:p w:rsidR="006E4131" w:rsidRPr="00FE1F8A" w:rsidRDefault="006E4131" w:rsidP="00163D4B">
            <w:pPr>
              <w:rPr>
                <w:rFonts w:ascii="Century Gothic" w:hAnsi="Century Gothic"/>
                <w:b/>
                <w:sz w:val="20"/>
              </w:rPr>
            </w:pPr>
            <w:r w:rsidRPr="00FE1F8A">
              <w:rPr>
                <w:rFonts w:ascii="Century Gothic" w:hAnsi="Century Gothic"/>
                <w:b/>
                <w:noProof/>
                <w:sz w:val="20"/>
                <w:lang w:eastAsia="fr-FR"/>
              </w:rPr>
              <w:drawing>
                <wp:inline distT="0" distB="0" distL="0" distR="0" wp14:anchorId="79B740FA" wp14:editId="0644BFA5">
                  <wp:extent cx="657225" cy="438150"/>
                  <wp:effectExtent l="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57225" cy="438150"/>
                          </a:xfrm>
                          <a:prstGeom prst="rect">
                            <a:avLst/>
                          </a:prstGeom>
                        </pic:spPr>
                      </pic:pic>
                    </a:graphicData>
                  </a:graphic>
                </wp:inline>
              </w:drawing>
            </w:r>
          </w:p>
        </w:tc>
        <w:tc>
          <w:tcPr>
            <w:tcW w:w="3918" w:type="dxa"/>
          </w:tcPr>
          <w:p w:rsidR="006E4131" w:rsidRPr="00FE1F8A" w:rsidRDefault="006E4131" w:rsidP="006E4131">
            <w:pPr>
              <w:rPr>
                <w:rFonts w:ascii="Century Gothic" w:hAnsi="Century Gothic"/>
                <w:b/>
                <w:sz w:val="20"/>
              </w:rPr>
            </w:pPr>
            <w:r w:rsidRPr="00C117DC">
              <w:rPr>
                <w:rFonts w:ascii="Century Gothic" w:hAnsi="Century Gothic"/>
                <w:b/>
                <w:sz w:val="20"/>
                <w14:shadow w14:blurRad="50800" w14:dist="38100" w14:dir="0" w14:sx="100000" w14:sy="100000" w14:kx="0" w14:ky="0" w14:algn="l">
                  <w14:srgbClr w14:val="000000">
                    <w14:alpha w14:val="60000"/>
                  </w14:srgbClr>
                </w14:shadow>
              </w:rPr>
              <w:t>Nouvelles mesures concernant les droits d’enregistrement et de timbres :</w:t>
            </w:r>
          </w:p>
        </w:tc>
      </w:tr>
    </w:tbl>
    <w:p w:rsidR="00C117DC" w:rsidRDefault="00C117DC" w:rsidP="006E4131">
      <w:pPr>
        <w:rPr>
          <w:rFonts w:ascii="Century Gothic" w:hAnsi="Century Gothic"/>
          <w:b/>
          <w:color w:val="17365D" w:themeColor="text2" w:themeShade="BF"/>
          <w:sz w:val="20"/>
        </w:rPr>
      </w:pPr>
    </w:p>
    <w:p w:rsidR="00E5275A" w:rsidRPr="00353E9F" w:rsidRDefault="00353E9F" w:rsidP="00353E9F">
      <w:pPr>
        <w:rPr>
          <w:rFonts w:ascii="Century Gothic" w:hAnsi="Century Gothic"/>
          <w:b/>
          <w:color w:val="17365D" w:themeColor="text2" w:themeShade="BF"/>
          <w:sz w:val="20"/>
        </w:rPr>
      </w:pPr>
      <w:r w:rsidRPr="00353E9F">
        <w:rPr>
          <w:rFonts w:ascii="Century Gothic" w:hAnsi="Century Gothic"/>
          <w:b/>
          <w:color w:val="17365D" w:themeColor="text2" w:themeShade="BF"/>
          <w:sz w:val="20"/>
        </w:rPr>
        <w:t xml:space="preserve">1- </w:t>
      </w:r>
      <w:r w:rsidR="00E5275A" w:rsidRPr="00353E9F">
        <w:rPr>
          <w:rFonts w:ascii="Century Gothic" w:hAnsi="Century Gothic"/>
          <w:b/>
          <w:color w:val="17365D" w:themeColor="text2" w:themeShade="BF"/>
          <w:sz w:val="20"/>
        </w:rPr>
        <w:t>Amélioration des mécanismes de paiement des droits d'enregistrement sur les contrats d'</w:t>
      </w:r>
      <w:r>
        <w:rPr>
          <w:rFonts w:ascii="Century Gothic" w:hAnsi="Century Gothic"/>
          <w:b/>
          <w:color w:val="17365D" w:themeColor="text2" w:themeShade="BF"/>
          <w:sz w:val="20"/>
        </w:rPr>
        <w:t>appels d'offres publics :</w:t>
      </w:r>
    </w:p>
    <w:p w:rsidR="00E5275A" w:rsidRPr="00D36BB9" w:rsidRDefault="00E5275A" w:rsidP="00353E9F">
      <w:pPr>
        <w:spacing w:after="0" w:line="240" w:lineRule="auto"/>
        <w:jc w:val="both"/>
        <w:textAlignment w:val="baseline"/>
        <w:rPr>
          <w:rFonts w:ascii="Century Gothic" w:hAnsi="Century Gothic"/>
          <w:color w:val="000000" w:themeColor="text1"/>
          <w:sz w:val="18"/>
        </w:rPr>
      </w:pPr>
      <w:r w:rsidRPr="00D36BB9">
        <w:rPr>
          <w:rFonts w:ascii="Century Gothic" w:hAnsi="Century Gothic"/>
          <w:color w:val="000000" w:themeColor="text1"/>
          <w:sz w:val="18"/>
        </w:rPr>
        <w:t>Dans le cadre de l'amélioration des mécanismes de paiement des droits d'enregistrement sur les contrats d'appels d'offres publics, il a été proposé de généraliser le paiement par tranches du dit droit sur les contrats conclus par les institutions publics qui ne sont pas régies par les dispositions du code de la comptabilité publique.</w:t>
      </w:r>
    </w:p>
    <w:p w:rsidR="00E5275A" w:rsidRPr="00D36BB9" w:rsidRDefault="00E5275A" w:rsidP="00353E9F">
      <w:pPr>
        <w:spacing w:after="0" w:line="240" w:lineRule="auto"/>
        <w:jc w:val="both"/>
        <w:textAlignment w:val="baseline"/>
        <w:rPr>
          <w:rFonts w:ascii="Century Gothic" w:hAnsi="Century Gothic"/>
          <w:color w:val="000000" w:themeColor="text1"/>
          <w:sz w:val="18"/>
        </w:rPr>
      </w:pPr>
      <w:r w:rsidRPr="00D36BB9">
        <w:rPr>
          <w:rFonts w:ascii="Century Gothic" w:hAnsi="Century Gothic"/>
          <w:color w:val="000000" w:themeColor="text1"/>
          <w:sz w:val="18"/>
        </w:rPr>
        <w:t>Le fournisseur doit cependant s'engager, par écrit, de déduire le montant du droit d'enregistrement, des différents paiements à recevoir de la part de l'institution publique.</w:t>
      </w:r>
    </w:p>
    <w:p w:rsidR="00E5275A" w:rsidRPr="00D36BB9" w:rsidRDefault="00E5275A" w:rsidP="00353E9F">
      <w:pPr>
        <w:spacing w:after="0" w:line="240" w:lineRule="auto"/>
        <w:jc w:val="both"/>
        <w:textAlignment w:val="baseline"/>
        <w:rPr>
          <w:rFonts w:ascii="Century Gothic" w:hAnsi="Century Gothic"/>
          <w:color w:val="000000" w:themeColor="text1"/>
          <w:sz w:val="18"/>
        </w:rPr>
      </w:pPr>
      <w:r w:rsidRPr="00D36BB9">
        <w:rPr>
          <w:rFonts w:ascii="Century Gothic" w:hAnsi="Century Gothic"/>
          <w:color w:val="000000" w:themeColor="text1"/>
          <w:sz w:val="18"/>
        </w:rPr>
        <w:t>Cet engagement sera annexé au contrat.</w:t>
      </w:r>
    </w:p>
    <w:p w:rsidR="00C117DC" w:rsidRDefault="00C117DC" w:rsidP="00C117DC">
      <w:pPr>
        <w:rPr>
          <w:rFonts w:ascii="Century Gothic" w:hAnsi="Century Gothic"/>
          <w:sz w:val="18"/>
        </w:rPr>
      </w:pPr>
    </w:p>
    <w:p w:rsidR="00E5275A" w:rsidRPr="00D36BB9" w:rsidRDefault="00353E9F" w:rsidP="00353E9F">
      <w:pPr>
        <w:rPr>
          <w:rFonts w:ascii="Century Gothic" w:hAnsi="Century Gothic"/>
          <w:b/>
          <w:color w:val="17365D" w:themeColor="text2" w:themeShade="BF"/>
          <w:sz w:val="20"/>
        </w:rPr>
      </w:pPr>
      <w:r w:rsidRPr="00353E9F">
        <w:rPr>
          <w:rFonts w:ascii="Century Gothic" w:hAnsi="Century Gothic"/>
          <w:b/>
          <w:color w:val="17365D" w:themeColor="text2" w:themeShade="BF"/>
          <w:sz w:val="20"/>
        </w:rPr>
        <w:t xml:space="preserve">2- </w:t>
      </w:r>
      <w:r w:rsidR="00E5275A" w:rsidRPr="00D36BB9">
        <w:rPr>
          <w:rFonts w:ascii="Century Gothic" w:hAnsi="Century Gothic"/>
          <w:b/>
          <w:color w:val="17365D" w:themeColor="text2" w:themeShade="BF"/>
          <w:sz w:val="20"/>
        </w:rPr>
        <w:t>Timbre fiscal</w:t>
      </w:r>
      <w:r w:rsidR="009C07B6">
        <w:rPr>
          <w:rFonts w:ascii="Century Gothic" w:hAnsi="Century Gothic"/>
          <w:b/>
          <w:color w:val="17365D" w:themeColor="text2" w:themeShade="BF"/>
          <w:sz w:val="20"/>
        </w:rPr>
        <w:t xml:space="preserve"> unique sur les voyages :</w:t>
      </w:r>
    </w:p>
    <w:p w:rsidR="00E5275A" w:rsidRDefault="00E5275A" w:rsidP="00353E9F">
      <w:pPr>
        <w:spacing w:after="0" w:line="240" w:lineRule="auto"/>
        <w:jc w:val="both"/>
        <w:textAlignment w:val="baseline"/>
        <w:rPr>
          <w:rFonts w:ascii="Century Gothic" w:hAnsi="Century Gothic"/>
          <w:color w:val="000000" w:themeColor="text1"/>
          <w:sz w:val="18"/>
        </w:rPr>
      </w:pPr>
      <w:r w:rsidRPr="00D36BB9">
        <w:rPr>
          <w:rFonts w:ascii="Century Gothic" w:hAnsi="Century Gothic"/>
          <w:color w:val="000000" w:themeColor="text1"/>
          <w:sz w:val="18"/>
        </w:rPr>
        <w:t>Il est prévu un timbre fiscal annuel unique sur les voyages de 1000 dinars destinés aux personnes qui le souhaitent au moyen d'une quittance d'impôt portant l'identité du bénéficiaire ; le numéro du passeport et sa date d'émission.</w:t>
      </w:r>
    </w:p>
    <w:p w:rsidR="00353E9F" w:rsidRPr="00D36BB9" w:rsidRDefault="00353E9F" w:rsidP="00353E9F">
      <w:pPr>
        <w:spacing w:after="0" w:line="240" w:lineRule="auto"/>
        <w:jc w:val="both"/>
        <w:textAlignment w:val="baseline"/>
        <w:rPr>
          <w:rFonts w:ascii="Century Gothic" w:hAnsi="Century Gothic"/>
          <w:color w:val="000000" w:themeColor="text1"/>
          <w:sz w:val="18"/>
        </w:rPr>
      </w:pPr>
    </w:p>
    <w:p w:rsidR="00E5275A" w:rsidRPr="00D36BB9" w:rsidRDefault="00353E9F" w:rsidP="00353E9F">
      <w:pPr>
        <w:rPr>
          <w:rFonts w:ascii="Century Gothic" w:hAnsi="Century Gothic"/>
          <w:b/>
          <w:color w:val="17365D" w:themeColor="text2" w:themeShade="BF"/>
          <w:sz w:val="20"/>
        </w:rPr>
      </w:pPr>
      <w:r>
        <w:rPr>
          <w:rFonts w:ascii="Century Gothic" w:hAnsi="Century Gothic"/>
          <w:b/>
          <w:color w:val="17365D" w:themeColor="text2" w:themeShade="BF"/>
          <w:sz w:val="20"/>
        </w:rPr>
        <w:t xml:space="preserve">3- </w:t>
      </w:r>
      <w:r w:rsidR="00E5275A" w:rsidRPr="00D36BB9">
        <w:rPr>
          <w:rFonts w:ascii="Century Gothic" w:hAnsi="Century Gothic"/>
          <w:b/>
          <w:color w:val="17365D" w:themeColor="text2" w:themeShade="BF"/>
          <w:sz w:val="20"/>
        </w:rPr>
        <w:t>Exonération des prêts accordés par la BT</w:t>
      </w:r>
      <w:r w:rsidR="009C07B6">
        <w:rPr>
          <w:rFonts w:ascii="Century Gothic" w:hAnsi="Century Gothic"/>
          <w:b/>
          <w:color w:val="17365D" w:themeColor="text2" w:themeShade="BF"/>
          <w:sz w:val="20"/>
        </w:rPr>
        <w:t>S du droit d'enregistrement :</w:t>
      </w:r>
    </w:p>
    <w:p w:rsidR="00E5275A" w:rsidRPr="00353E9F" w:rsidRDefault="00E5275A" w:rsidP="00353E9F">
      <w:pPr>
        <w:spacing w:after="0" w:line="240" w:lineRule="auto"/>
        <w:jc w:val="both"/>
        <w:textAlignment w:val="baseline"/>
        <w:rPr>
          <w:rFonts w:ascii="Century Gothic" w:hAnsi="Century Gothic"/>
          <w:color w:val="000000" w:themeColor="text1"/>
          <w:sz w:val="18"/>
        </w:rPr>
      </w:pPr>
      <w:r w:rsidRPr="00D36BB9">
        <w:rPr>
          <w:rFonts w:ascii="Century Gothic" w:hAnsi="Century Gothic"/>
          <w:color w:val="000000" w:themeColor="text1"/>
          <w:sz w:val="18"/>
        </w:rPr>
        <w:t>La loi de finances prévoit l'exonération des prêts accordés par la Banque Tunisienne de Solidarité de l'exonération du droit d'enregistrement.</w:t>
      </w:r>
    </w:p>
    <w:p w:rsidR="00353E9F" w:rsidRPr="00353E9F" w:rsidRDefault="00353E9F" w:rsidP="00353E9F">
      <w:pPr>
        <w:spacing w:after="0" w:line="240" w:lineRule="auto"/>
        <w:jc w:val="both"/>
        <w:textAlignment w:val="baseline"/>
        <w:rPr>
          <w:rFonts w:ascii="Century Gothic" w:hAnsi="Century Gothic"/>
          <w:color w:val="000000" w:themeColor="text1"/>
          <w:sz w:val="18"/>
        </w:rPr>
      </w:pPr>
    </w:p>
    <w:p w:rsidR="00353E9F" w:rsidRPr="00D36BB9" w:rsidRDefault="00353E9F" w:rsidP="00353E9F">
      <w:pPr>
        <w:rPr>
          <w:rFonts w:ascii="Century Gothic" w:hAnsi="Century Gothic"/>
          <w:b/>
          <w:color w:val="17365D" w:themeColor="text2" w:themeShade="BF"/>
          <w:sz w:val="20"/>
        </w:rPr>
      </w:pPr>
      <w:r w:rsidRPr="00353E9F">
        <w:rPr>
          <w:rFonts w:ascii="Century Gothic" w:hAnsi="Century Gothic"/>
          <w:b/>
          <w:color w:val="17365D" w:themeColor="text2" w:themeShade="BF"/>
          <w:sz w:val="20"/>
        </w:rPr>
        <w:t xml:space="preserve">4- </w:t>
      </w:r>
      <w:r w:rsidRPr="00D36BB9">
        <w:rPr>
          <w:rFonts w:ascii="Century Gothic" w:hAnsi="Century Gothic"/>
          <w:b/>
          <w:color w:val="17365D" w:themeColor="text2" w:themeShade="BF"/>
          <w:sz w:val="20"/>
        </w:rPr>
        <w:t xml:space="preserve">L'augmentation du droit de timbre fiscal sur les déclarations </w:t>
      </w:r>
      <w:r w:rsidR="009C07B6">
        <w:rPr>
          <w:rFonts w:ascii="Century Gothic" w:hAnsi="Century Gothic"/>
          <w:b/>
          <w:color w:val="17365D" w:themeColor="text2" w:themeShade="BF"/>
          <w:sz w:val="20"/>
        </w:rPr>
        <w:t>d'importation de devise :</w:t>
      </w:r>
    </w:p>
    <w:p w:rsidR="00353E9F" w:rsidRPr="00D36BB9" w:rsidRDefault="00353E9F" w:rsidP="00353E9F">
      <w:pPr>
        <w:spacing w:after="0" w:line="240" w:lineRule="auto"/>
        <w:jc w:val="both"/>
        <w:textAlignment w:val="baseline"/>
        <w:rPr>
          <w:rFonts w:ascii="Century Gothic" w:hAnsi="Century Gothic"/>
          <w:color w:val="000000" w:themeColor="text1"/>
          <w:sz w:val="18"/>
        </w:rPr>
      </w:pPr>
      <w:r w:rsidRPr="00D36BB9">
        <w:rPr>
          <w:rFonts w:ascii="Century Gothic" w:hAnsi="Century Gothic"/>
          <w:color w:val="000000" w:themeColor="text1"/>
          <w:sz w:val="18"/>
        </w:rPr>
        <w:t xml:space="preserve">L'augmentation du droit de timbre fiscal sur les déclarations d'importation de devise de 3 à 10 dinars </w:t>
      </w:r>
      <w:r w:rsidRPr="00D36BB9">
        <w:rPr>
          <w:rFonts w:ascii="Century Gothic" w:hAnsi="Century Gothic"/>
          <w:color w:val="000000" w:themeColor="text1"/>
          <w:sz w:val="18"/>
        </w:rPr>
        <w:lastRenderedPageBreak/>
        <w:t>dans le but de l'adapter au coût du service rendu par la douane à cette occasion.</w:t>
      </w:r>
    </w:p>
    <w:p w:rsidR="00E5275A" w:rsidRDefault="00E5275A" w:rsidP="00C117DC">
      <w:pPr>
        <w:rPr>
          <w:rFonts w:ascii="Century Gothic" w:hAnsi="Century Gothic"/>
          <w:sz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3918"/>
      </w:tblGrid>
      <w:tr w:rsidR="00353E9F" w:rsidRPr="00FE1F8A" w:rsidTr="00176E72">
        <w:tc>
          <w:tcPr>
            <w:tcW w:w="993" w:type="dxa"/>
          </w:tcPr>
          <w:p w:rsidR="00353E9F" w:rsidRPr="00FE1F8A" w:rsidRDefault="00353E9F" w:rsidP="00176E72">
            <w:pPr>
              <w:rPr>
                <w:rFonts w:ascii="Century Gothic" w:hAnsi="Century Gothic"/>
                <w:b/>
                <w:sz w:val="20"/>
              </w:rPr>
            </w:pPr>
            <w:r w:rsidRPr="00FE1F8A">
              <w:rPr>
                <w:rFonts w:ascii="Century Gothic" w:hAnsi="Century Gothic"/>
                <w:b/>
                <w:noProof/>
                <w:sz w:val="20"/>
                <w:lang w:eastAsia="fr-FR"/>
              </w:rPr>
              <w:drawing>
                <wp:inline distT="0" distB="0" distL="0" distR="0" wp14:anchorId="77C70DF9" wp14:editId="2A6FF6DB">
                  <wp:extent cx="657225" cy="43815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57225" cy="438150"/>
                          </a:xfrm>
                          <a:prstGeom prst="rect">
                            <a:avLst/>
                          </a:prstGeom>
                        </pic:spPr>
                      </pic:pic>
                    </a:graphicData>
                  </a:graphic>
                </wp:inline>
              </w:drawing>
            </w:r>
          </w:p>
        </w:tc>
        <w:tc>
          <w:tcPr>
            <w:tcW w:w="3918" w:type="dxa"/>
          </w:tcPr>
          <w:p w:rsidR="00353E9F" w:rsidRPr="00FE1F8A" w:rsidRDefault="00353E9F" w:rsidP="00353E9F">
            <w:pPr>
              <w:rPr>
                <w:rFonts w:ascii="Century Gothic" w:hAnsi="Century Gothic"/>
                <w:b/>
                <w:sz w:val="20"/>
              </w:rPr>
            </w:pPr>
            <w:r>
              <w:rPr>
                <w:rFonts w:ascii="Century Gothic" w:hAnsi="Century Gothic"/>
                <w:b/>
                <w:sz w:val="20"/>
                <w14:shadow w14:blurRad="50800" w14:dist="38100" w14:dir="0" w14:sx="100000" w14:sy="100000" w14:kx="0" w14:ky="0" w14:algn="l">
                  <w14:srgbClr w14:val="000000">
                    <w14:alpha w14:val="60000"/>
                  </w14:srgbClr>
                </w14:shadow>
              </w:rPr>
              <w:t>M</w:t>
            </w:r>
            <w:r w:rsidRPr="00C117DC">
              <w:rPr>
                <w:rFonts w:ascii="Century Gothic" w:hAnsi="Century Gothic"/>
                <w:b/>
                <w:sz w:val="20"/>
                <w14:shadow w14:blurRad="50800" w14:dist="38100" w14:dir="0" w14:sx="100000" w14:sy="100000" w14:kx="0" w14:ky="0" w14:algn="l">
                  <w14:srgbClr w14:val="000000">
                    <w14:alpha w14:val="60000"/>
                  </w14:srgbClr>
                </w14:shadow>
              </w:rPr>
              <w:t xml:space="preserve">esures </w:t>
            </w:r>
            <w:r>
              <w:rPr>
                <w:rFonts w:ascii="Century Gothic" w:hAnsi="Century Gothic"/>
                <w:b/>
                <w:sz w:val="20"/>
                <w14:shadow w14:blurRad="50800" w14:dist="38100" w14:dir="0" w14:sx="100000" w14:sy="100000" w14:kx="0" w14:ky="0" w14:algn="l">
                  <w14:srgbClr w14:val="000000">
                    <w14:alpha w14:val="60000"/>
                  </w14:srgbClr>
                </w14:shadow>
              </w:rPr>
              <w:t>diverses</w:t>
            </w:r>
            <w:r w:rsidRPr="00C117DC">
              <w:rPr>
                <w:rFonts w:ascii="Century Gothic" w:hAnsi="Century Gothic"/>
                <w:b/>
                <w:sz w:val="20"/>
                <w14:shadow w14:blurRad="50800" w14:dist="38100" w14:dir="0" w14:sx="100000" w14:sy="100000" w14:kx="0" w14:ky="0" w14:algn="l">
                  <w14:srgbClr w14:val="000000">
                    <w14:alpha w14:val="60000"/>
                  </w14:srgbClr>
                </w14:shadow>
              </w:rPr>
              <w:t xml:space="preserve"> :</w:t>
            </w:r>
          </w:p>
        </w:tc>
      </w:tr>
    </w:tbl>
    <w:p w:rsidR="00353E9F" w:rsidRDefault="00353E9F" w:rsidP="00C117DC">
      <w:pPr>
        <w:rPr>
          <w:rFonts w:ascii="Century Gothic" w:hAnsi="Century Gothic"/>
          <w:sz w:val="18"/>
        </w:rPr>
      </w:pPr>
    </w:p>
    <w:p w:rsidR="00353E9F" w:rsidRPr="00163D4B" w:rsidRDefault="00353E9F" w:rsidP="00353E9F">
      <w:pPr>
        <w:rPr>
          <w:rFonts w:ascii="Century Gothic" w:hAnsi="Century Gothic"/>
          <w:b/>
          <w:color w:val="17365D" w:themeColor="text2" w:themeShade="BF"/>
          <w:sz w:val="20"/>
        </w:rPr>
      </w:pPr>
      <w:r w:rsidRPr="00163D4B">
        <w:rPr>
          <w:rFonts w:ascii="Century Gothic" w:hAnsi="Century Gothic"/>
          <w:b/>
          <w:color w:val="17365D" w:themeColor="text2" w:themeShade="BF"/>
          <w:sz w:val="20"/>
        </w:rPr>
        <w:t>1- Augmentation du taux de liquidation sur le marché local des entreprises totalement exportatrices :</w:t>
      </w:r>
    </w:p>
    <w:p w:rsidR="00EC3796" w:rsidRDefault="00EC3796" w:rsidP="00353E9F">
      <w:pPr>
        <w:rPr>
          <w:rFonts w:ascii="Century Gothic" w:hAnsi="Century Gothic"/>
          <w:sz w:val="18"/>
        </w:rPr>
      </w:pPr>
      <w:r>
        <w:rPr>
          <w:rFonts w:ascii="Century Gothic" w:hAnsi="Century Gothic"/>
          <w:sz w:val="18"/>
        </w:rPr>
        <w:t>Les</w:t>
      </w:r>
      <w:r w:rsidR="00353E9F" w:rsidRPr="00163D4B">
        <w:rPr>
          <w:rFonts w:ascii="Century Gothic" w:hAnsi="Century Gothic"/>
          <w:sz w:val="18"/>
        </w:rPr>
        <w:t xml:space="preserve"> entrepr</w:t>
      </w:r>
      <w:r>
        <w:rPr>
          <w:rFonts w:ascii="Century Gothic" w:hAnsi="Century Gothic"/>
          <w:sz w:val="18"/>
        </w:rPr>
        <w:t>ises totalement exportatrices peuvent désormais</w:t>
      </w:r>
      <w:r w:rsidR="00353E9F" w:rsidRPr="00163D4B">
        <w:rPr>
          <w:rFonts w:ascii="Century Gothic" w:hAnsi="Century Gothic"/>
          <w:sz w:val="18"/>
        </w:rPr>
        <w:t xml:space="preserve"> liquider sur le marché local</w:t>
      </w:r>
      <w:r>
        <w:rPr>
          <w:rFonts w:ascii="Century Gothic" w:hAnsi="Century Gothic"/>
          <w:sz w:val="18"/>
        </w:rPr>
        <w:t xml:space="preserve"> jusqu'à 50% de leur production.</w:t>
      </w:r>
    </w:p>
    <w:p w:rsidR="00353E9F" w:rsidRPr="009C07B6" w:rsidRDefault="009C07B6" w:rsidP="00353E9F">
      <w:pPr>
        <w:rPr>
          <w:rFonts w:ascii="Century Gothic" w:hAnsi="Century Gothic"/>
          <w:b/>
          <w:color w:val="365F91" w:themeColor="accent1" w:themeShade="BF"/>
          <w:sz w:val="16"/>
        </w:rPr>
      </w:pPr>
      <w:r w:rsidRPr="009C07B6">
        <w:rPr>
          <w:rFonts w:ascii="Century Gothic" w:hAnsi="Century Gothic"/>
          <w:b/>
          <w:color w:val="365F91" w:themeColor="accent1" w:themeShade="BF"/>
          <w:sz w:val="16"/>
        </w:rPr>
        <w:t xml:space="preserve">Rappel : </w:t>
      </w:r>
      <w:r w:rsidR="00EC3796" w:rsidRPr="009C07B6">
        <w:rPr>
          <w:rFonts w:ascii="Century Gothic" w:hAnsi="Century Gothic"/>
          <w:b/>
          <w:color w:val="365F91" w:themeColor="accent1" w:themeShade="BF"/>
          <w:sz w:val="16"/>
        </w:rPr>
        <w:t>C</w:t>
      </w:r>
      <w:r w:rsidR="00353E9F" w:rsidRPr="009C07B6">
        <w:rPr>
          <w:rFonts w:ascii="Century Gothic" w:hAnsi="Century Gothic"/>
          <w:b/>
          <w:color w:val="365F91" w:themeColor="accent1" w:themeShade="BF"/>
          <w:sz w:val="16"/>
        </w:rPr>
        <w:t xml:space="preserve">e taux </w:t>
      </w:r>
      <w:r w:rsidRPr="009C07B6">
        <w:rPr>
          <w:rFonts w:ascii="Century Gothic" w:hAnsi="Century Gothic"/>
          <w:b/>
          <w:color w:val="365F91" w:themeColor="accent1" w:themeShade="BF"/>
          <w:sz w:val="16"/>
        </w:rPr>
        <w:t>était à hauteur</w:t>
      </w:r>
      <w:r w:rsidR="00353E9F" w:rsidRPr="009C07B6">
        <w:rPr>
          <w:rFonts w:ascii="Century Gothic" w:hAnsi="Century Gothic"/>
          <w:b/>
          <w:color w:val="365F91" w:themeColor="accent1" w:themeShade="BF"/>
          <w:sz w:val="16"/>
        </w:rPr>
        <w:t xml:space="preserve"> de 30%.</w:t>
      </w:r>
    </w:p>
    <w:p w:rsidR="00353E9F" w:rsidRDefault="00500E68" w:rsidP="00217342">
      <w:pPr>
        <w:spacing w:after="0" w:line="240" w:lineRule="auto"/>
        <w:jc w:val="both"/>
        <w:textAlignment w:val="baseline"/>
        <w:rPr>
          <w:rFonts w:ascii="Century Gothic" w:hAnsi="Century Gothic"/>
          <w:b/>
          <w:color w:val="17365D" w:themeColor="text2" w:themeShade="BF"/>
          <w:sz w:val="20"/>
        </w:rPr>
      </w:pPr>
      <w:r>
        <w:rPr>
          <w:rFonts w:ascii="Century Gothic" w:hAnsi="Century Gothic"/>
          <w:b/>
          <w:color w:val="17365D" w:themeColor="text2" w:themeShade="BF"/>
          <w:sz w:val="20"/>
        </w:rPr>
        <w:t>2</w:t>
      </w:r>
      <w:r w:rsidR="00217342" w:rsidRPr="00217342">
        <w:rPr>
          <w:rFonts w:ascii="Century Gothic" w:hAnsi="Century Gothic"/>
          <w:b/>
          <w:color w:val="17365D" w:themeColor="text2" w:themeShade="BF"/>
          <w:sz w:val="20"/>
        </w:rPr>
        <w:t xml:space="preserve">- </w:t>
      </w:r>
      <w:r w:rsidR="00353E9F" w:rsidRPr="00D36BB9">
        <w:rPr>
          <w:rFonts w:ascii="Century Gothic" w:hAnsi="Century Gothic"/>
          <w:b/>
          <w:color w:val="17365D" w:themeColor="text2" w:themeShade="BF"/>
          <w:sz w:val="20"/>
        </w:rPr>
        <w:t>Continuité de la perception de la contribution exceptionnelle au budget de l'Etat pour les personnes non concernées par la loi de fina</w:t>
      </w:r>
      <w:r w:rsidR="00217342">
        <w:rPr>
          <w:rFonts w:ascii="Century Gothic" w:hAnsi="Century Gothic"/>
          <w:b/>
          <w:color w:val="17365D" w:themeColor="text2" w:themeShade="BF"/>
          <w:sz w:val="20"/>
        </w:rPr>
        <w:t xml:space="preserve">nces </w:t>
      </w:r>
      <w:r w:rsidR="00217342" w:rsidRPr="00217342">
        <w:rPr>
          <w:rFonts w:ascii="Century Gothic" w:hAnsi="Century Gothic"/>
          <w:b/>
          <w:color w:val="17365D" w:themeColor="text2" w:themeShade="BF"/>
          <w:sz w:val="20"/>
        </w:rPr>
        <w:t>complémentaire 2014 :</w:t>
      </w:r>
    </w:p>
    <w:p w:rsidR="00217342" w:rsidRPr="00D36BB9" w:rsidRDefault="00217342" w:rsidP="00217342">
      <w:pPr>
        <w:spacing w:after="0" w:line="240" w:lineRule="auto"/>
        <w:jc w:val="both"/>
        <w:textAlignment w:val="baseline"/>
        <w:rPr>
          <w:rFonts w:ascii="Century Gothic" w:hAnsi="Century Gothic"/>
          <w:b/>
          <w:color w:val="17365D" w:themeColor="text2" w:themeShade="BF"/>
          <w:sz w:val="20"/>
        </w:rPr>
      </w:pPr>
    </w:p>
    <w:p w:rsidR="00353E9F" w:rsidRPr="00D36BB9"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Etant donné que l'arrêté des états financiers de certaines sociétés ne coïncide pas avec le 31 décembre, leurs acomptes provisionnels, au titre de l'exercice 2013, sont dus en 2015. Il en est de même pour les compagnies pétrolières dont la déclaration de leurs résultats de l'année 2013 a été faite avant la mise en vigueur de la LFC 2014.</w:t>
      </w:r>
    </w:p>
    <w:p w:rsidR="00353E9F" w:rsidRPr="00D36BB9"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 xml:space="preserve">En application du principe de l'équité fiscale, </w:t>
      </w:r>
      <w:r w:rsidR="007B3188">
        <w:rPr>
          <w:rFonts w:ascii="Century Gothic" w:hAnsi="Century Gothic"/>
          <w:sz w:val="18"/>
        </w:rPr>
        <w:t>la LF 2015</w:t>
      </w:r>
      <w:r w:rsidRPr="00D36BB9">
        <w:rPr>
          <w:rFonts w:ascii="Century Gothic" w:hAnsi="Century Gothic"/>
          <w:sz w:val="18"/>
        </w:rPr>
        <w:t xml:space="preserve"> propose la poursuite du recouvrement de cette contribution pour les personnes ci-dessus indiquées au titre de :</w:t>
      </w:r>
    </w:p>
    <w:p w:rsidR="00353E9F" w:rsidRPr="00D36BB9"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          Les 2èmes et 3èmes acomptes provisionnels dus sur l'impôt exigible au titre de l'exercice comptable s'étalant sur les deux années 2013 et 2014 et qui sont à déclarer en 2015 ;</w:t>
      </w:r>
    </w:p>
    <w:p w:rsidR="00353E9F"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          Les compagnies pétrolières qui ont déclaré leur état financier de l'exercice 2013 avant la promulgation de la LFC 2014, et ce sur la base de 50% de la taxe pétrolière annuelle due sur 2014 avec un minimum de 20 000 DT.</w:t>
      </w:r>
    </w:p>
    <w:p w:rsidR="00217342" w:rsidRPr="00D36BB9" w:rsidRDefault="00217342" w:rsidP="00217342">
      <w:pPr>
        <w:spacing w:after="0" w:line="240" w:lineRule="auto"/>
        <w:jc w:val="both"/>
        <w:textAlignment w:val="baseline"/>
        <w:rPr>
          <w:rFonts w:ascii="Century Gothic" w:hAnsi="Century Gothic"/>
          <w:sz w:val="18"/>
        </w:rPr>
      </w:pPr>
    </w:p>
    <w:p w:rsidR="00217342" w:rsidRPr="00D36BB9" w:rsidRDefault="00500E68" w:rsidP="00217342">
      <w:pPr>
        <w:spacing w:after="0" w:line="240" w:lineRule="auto"/>
        <w:jc w:val="both"/>
        <w:textAlignment w:val="baseline"/>
        <w:rPr>
          <w:rFonts w:ascii="Century Gothic" w:hAnsi="Century Gothic"/>
          <w:b/>
          <w:color w:val="17365D" w:themeColor="text2" w:themeShade="BF"/>
          <w:sz w:val="20"/>
        </w:rPr>
      </w:pPr>
      <w:r>
        <w:rPr>
          <w:rFonts w:ascii="Century Gothic" w:hAnsi="Century Gothic"/>
          <w:b/>
          <w:color w:val="17365D" w:themeColor="text2" w:themeShade="BF"/>
          <w:sz w:val="20"/>
        </w:rPr>
        <w:t>3</w:t>
      </w:r>
      <w:r w:rsidR="00217342" w:rsidRPr="00217342">
        <w:rPr>
          <w:rFonts w:ascii="Century Gothic" w:hAnsi="Century Gothic"/>
          <w:b/>
          <w:color w:val="17365D" w:themeColor="text2" w:themeShade="BF"/>
          <w:sz w:val="20"/>
        </w:rPr>
        <w:t xml:space="preserve">- </w:t>
      </w:r>
      <w:r w:rsidR="00353E9F" w:rsidRPr="00D36BB9">
        <w:rPr>
          <w:rFonts w:ascii="Century Gothic" w:hAnsi="Century Gothic"/>
          <w:b/>
          <w:color w:val="17365D" w:themeColor="text2" w:themeShade="BF"/>
          <w:sz w:val="20"/>
        </w:rPr>
        <w:t>l'amélioration des conditions du bénéfice de l'avance sur la Taxe de Fo</w:t>
      </w:r>
      <w:r w:rsidR="00217342">
        <w:rPr>
          <w:rFonts w:ascii="Century Gothic" w:hAnsi="Century Gothic"/>
          <w:b/>
          <w:color w:val="17365D" w:themeColor="text2" w:themeShade="BF"/>
          <w:sz w:val="20"/>
        </w:rPr>
        <w:t>rmation Professionnelle :</w:t>
      </w:r>
    </w:p>
    <w:p w:rsidR="00217342" w:rsidRDefault="00217342" w:rsidP="00217342">
      <w:pPr>
        <w:spacing w:after="0" w:line="240" w:lineRule="auto"/>
        <w:jc w:val="both"/>
        <w:textAlignment w:val="baseline"/>
        <w:rPr>
          <w:rFonts w:ascii="Century Gothic" w:hAnsi="Century Gothic"/>
          <w:sz w:val="18"/>
        </w:rPr>
      </w:pPr>
    </w:p>
    <w:p w:rsidR="00353E9F" w:rsidRPr="00D36BB9"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Dans le cadre de la facilitation de financement de la formation professionnelle et la récupération des dépenses des services de formation, le législateur a mis en place un mécanisme d'avance au titre de la TFP.</w:t>
      </w:r>
    </w:p>
    <w:p w:rsidR="00353E9F" w:rsidRPr="00D36BB9"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Pour bénéficier de ce mécanisme la société est obligée de déduire mensuellement de la TFP exigible au titre de l'année de la formation le montant de l'avance, et à l'expiration de l'année de formation la société est invitée à déposer un relevé pédagogique et financier se rapportant aux opérations de formation au plus tard la fin du mois qui suit le  mois au cours  duquel la déduction de l'avance est expirée.</w:t>
      </w:r>
    </w:p>
    <w:p w:rsidR="00353E9F"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 xml:space="preserve">La loi de finances propose de lier le dépôt du relevé pédagogique et financier avec la dernière opération </w:t>
      </w:r>
      <w:r w:rsidRPr="00D36BB9">
        <w:rPr>
          <w:rFonts w:ascii="Century Gothic" w:hAnsi="Century Gothic"/>
          <w:sz w:val="18"/>
        </w:rPr>
        <w:lastRenderedPageBreak/>
        <w:t>de formation au lieu d'épuiser la déduction de l'avance.</w:t>
      </w:r>
    </w:p>
    <w:p w:rsidR="00217342" w:rsidRPr="00D36BB9" w:rsidRDefault="00217342" w:rsidP="00217342">
      <w:pPr>
        <w:spacing w:after="0" w:line="240" w:lineRule="auto"/>
        <w:jc w:val="both"/>
        <w:textAlignment w:val="baseline"/>
        <w:rPr>
          <w:rFonts w:ascii="Century Gothic" w:hAnsi="Century Gothic"/>
          <w:sz w:val="18"/>
        </w:rPr>
      </w:pPr>
    </w:p>
    <w:p w:rsidR="00353E9F" w:rsidRDefault="00500E68" w:rsidP="00217342">
      <w:pPr>
        <w:spacing w:after="0" w:line="240" w:lineRule="auto"/>
        <w:jc w:val="both"/>
        <w:textAlignment w:val="baseline"/>
        <w:rPr>
          <w:rFonts w:ascii="Century Gothic" w:hAnsi="Century Gothic"/>
          <w:b/>
          <w:color w:val="17365D" w:themeColor="text2" w:themeShade="BF"/>
          <w:sz w:val="20"/>
        </w:rPr>
      </w:pPr>
      <w:r>
        <w:rPr>
          <w:rFonts w:ascii="Century Gothic" w:hAnsi="Century Gothic"/>
          <w:b/>
          <w:color w:val="17365D" w:themeColor="text2" w:themeShade="BF"/>
          <w:sz w:val="20"/>
        </w:rPr>
        <w:t>4</w:t>
      </w:r>
      <w:r w:rsidR="00217342" w:rsidRPr="00217342">
        <w:rPr>
          <w:rFonts w:ascii="Century Gothic" w:hAnsi="Century Gothic"/>
          <w:b/>
          <w:color w:val="17365D" w:themeColor="text2" w:themeShade="BF"/>
          <w:sz w:val="20"/>
        </w:rPr>
        <w:t xml:space="preserve">- </w:t>
      </w:r>
      <w:r w:rsidR="00353E9F" w:rsidRPr="00D36BB9">
        <w:rPr>
          <w:rFonts w:ascii="Century Gothic" w:hAnsi="Century Gothic"/>
          <w:b/>
          <w:color w:val="17365D" w:themeColor="text2" w:themeShade="BF"/>
          <w:sz w:val="20"/>
        </w:rPr>
        <w:t>Régularisation de la situation des marchandises plac</w:t>
      </w:r>
      <w:r w:rsidR="00217342">
        <w:rPr>
          <w:rFonts w:ascii="Century Gothic" w:hAnsi="Century Gothic"/>
          <w:b/>
          <w:color w:val="17365D" w:themeColor="text2" w:themeShade="BF"/>
          <w:sz w:val="20"/>
        </w:rPr>
        <w:t>ées sous douane</w:t>
      </w:r>
    </w:p>
    <w:p w:rsidR="00217342" w:rsidRPr="00D36BB9" w:rsidRDefault="00217342" w:rsidP="00217342">
      <w:pPr>
        <w:spacing w:after="0" w:line="240" w:lineRule="auto"/>
        <w:jc w:val="both"/>
        <w:textAlignment w:val="baseline"/>
        <w:rPr>
          <w:rFonts w:ascii="Century Gothic" w:hAnsi="Century Gothic"/>
          <w:b/>
          <w:color w:val="17365D" w:themeColor="text2" w:themeShade="BF"/>
          <w:sz w:val="20"/>
        </w:rPr>
      </w:pPr>
    </w:p>
    <w:p w:rsidR="00353E9F" w:rsidRPr="00D36BB9"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Dans le cadre de la régularisation de la situation des marchandises placées sous douane, il est proposé de :</w:t>
      </w:r>
    </w:p>
    <w:p w:rsidR="00353E9F" w:rsidRPr="00D36BB9"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          Réduire de 4 mois à 90 jours, la période de dépôt des marchandises à la douane suite à laquelle, la direction de la douane aura le droit de la vendre aux enchères ou sa donation au profit de l'Union Tunisienne de Solidarité Sociale ou aux Œuvres de charité si sa valeur ne dépasse pas 1000 dinars.</w:t>
      </w:r>
    </w:p>
    <w:p w:rsidR="00353E9F" w:rsidRPr="00D36BB9"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          Permettre la vente des marchandises encombrantes, périssables ou mises dans de mauvaises conditions de stockage, dont la valeur peut être détériorée du fait du temps, dans les meilleurs délais et après autorisation du président de la cour de première instance de compétence.</w:t>
      </w:r>
    </w:p>
    <w:p w:rsidR="00353E9F" w:rsidRPr="00D36BB9"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          Augmenter la valeur maximale des marchandises considérées comme abandonnées au profit de l'Etat à l'expiration de la période de dépôt et ce de 1000 dinars à 10 000 dinars. Celles-ci seront soit vendues aux enchères soit données au profit de l'Union Tunisienne de Solidarité Sociale ou aux établissements publics à caractère administratif.</w:t>
      </w:r>
    </w:p>
    <w:p w:rsidR="00353E9F"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          Considérer toutes les marchandises dont la période de dépôt dépasse les 2 ans comme abandonnées au profit de l'Etat.</w:t>
      </w:r>
    </w:p>
    <w:p w:rsidR="00217342" w:rsidRPr="00D36BB9" w:rsidRDefault="00217342" w:rsidP="00217342">
      <w:pPr>
        <w:spacing w:after="0" w:line="240" w:lineRule="auto"/>
        <w:jc w:val="both"/>
        <w:textAlignment w:val="baseline"/>
        <w:rPr>
          <w:rFonts w:ascii="Century Gothic" w:hAnsi="Century Gothic"/>
          <w:sz w:val="18"/>
        </w:rPr>
      </w:pPr>
    </w:p>
    <w:p w:rsidR="00353E9F" w:rsidRDefault="00500E68" w:rsidP="00217342">
      <w:pPr>
        <w:spacing w:after="0" w:line="240" w:lineRule="auto"/>
        <w:jc w:val="both"/>
        <w:textAlignment w:val="baseline"/>
        <w:rPr>
          <w:rFonts w:ascii="Century Gothic" w:hAnsi="Century Gothic"/>
          <w:b/>
          <w:color w:val="17365D" w:themeColor="text2" w:themeShade="BF"/>
          <w:sz w:val="20"/>
        </w:rPr>
      </w:pPr>
      <w:r>
        <w:rPr>
          <w:rFonts w:ascii="Century Gothic" w:hAnsi="Century Gothic"/>
          <w:b/>
          <w:color w:val="17365D" w:themeColor="text2" w:themeShade="BF"/>
          <w:sz w:val="20"/>
        </w:rPr>
        <w:t>5</w:t>
      </w:r>
      <w:r w:rsidR="00217342" w:rsidRPr="00217342">
        <w:rPr>
          <w:rFonts w:ascii="Century Gothic" w:hAnsi="Century Gothic"/>
          <w:b/>
          <w:color w:val="17365D" w:themeColor="text2" w:themeShade="BF"/>
          <w:sz w:val="20"/>
        </w:rPr>
        <w:t xml:space="preserve">- </w:t>
      </w:r>
      <w:r w:rsidR="00353E9F" w:rsidRPr="00D36BB9">
        <w:rPr>
          <w:rFonts w:ascii="Century Gothic" w:hAnsi="Century Gothic"/>
          <w:b/>
          <w:color w:val="17365D" w:themeColor="text2" w:themeShade="BF"/>
          <w:sz w:val="20"/>
        </w:rPr>
        <w:t>Adéquation du régime fiscal des distributeurs dans le secteur des télécommunications avec les spé</w:t>
      </w:r>
      <w:r w:rsidR="00217342">
        <w:rPr>
          <w:rFonts w:ascii="Century Gothic" w:hAnsi="Century Gothic"/>
          <w:b/>
          <w:color w:val="17365D" w:themeColor="text2" w:themeShade="BF"/>
          <w:sz w:val="20"/>
        </w:rPr>
        <w:t>cificités dudit secteur :</w:t>
      </w:r>
    </w:p>
    <w:p w:rsidR="00217342" w:rsidRPr="00D36BB9" w:rsidRDefault="00217342" w:rsidP="00217342">
      <w:pPr>
        <w:spacing w:after="0" w:line="240" w:lineRule="auto"/>
        <w:jc w:val="both"/>
        <w:textAlignment w:val="baseline"/>
        <w:rPr>
          <w:rFonts w:ascii="Century Gothic" w:hAnsi="Century Gothic"/>
          <w:b/>
          <w:color w:val="17365D" w:themeColor="text2" w:themeShade="BF"/>
          <w:sz w:val="20"/>
        </w:rPr>
      </w:pPr>
    </w:p>
    <w:p w:rsidR="00353E9F" w:rsidRPr="00D36BB9"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Les mesures de cet article entrent dans le cadre de l'adéquation du régime fiscal des distributeurs dans le secteur des télécommunications avec les spécificités dudit secteur et ce par :</w:t>
      </w:r>
    </w:p>
    <w:p w:rsidR="00353E9F" w:rsidRPr="00D36BB9"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          La baisse du taux de la retenue à la source sur les commissions revenant à ces distributeurs de 15% à 1,5% et ;</w:t>
      </w:r>
    </w:p>
    <w:p w:rsidR="00353E9F" w:rsidRPr="00217342"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          La permission à ces distributeurs d'être soumis à l'impôt selon le régime forfaitaire étant donné que la législation fiscale actuelle exclu, de ce régime, les personnes recevant des commissions.</w:t>
      </w:r>
    </w:p>
    <w:p w:rsidR="00217342" w:rsidRPr="00D36BB9" w:rsidRDefault="00217342" w:rsidP="00217342">
      <w:pPr>
        <w:spacing w:after="0" w:line="240" w:lineRule="auto"/>
        <w:jc w:val="both"/>
        <w:textAlignment w:val="baseline"/>
        <w:rPr>
          <w:rFonts w:ascii="inherit" w:eastAsia="Times New Roman" w:hAnsi="inherit" w:cs="Times New Roman"/>
          <w:color w:val="666666"/>
          <w:sz w:val="24"/>
          <w:szCs w:val="24"/>
          <w:lang w:eastAsia="fr-FR"/>
        </w:rPr>
      </w:pPr>
    </w:p>
    <w:p w:rsidR="00353E9F" w:rsidRDefault="00500E68" w:rsidP="00217342">
      <w:pPr>
        <w:spacing w:after="0" w:line="240" w:lineRule="auto"/>
        <w:jc w:val="both"/>
        <w:textAlignment w:val="baseline"/>
        <w:rPr>
          <w:rFonts w:ascii="Century Gothic" w:hAnsi="Century Gothic"/>
          <w:b/>
          <w:color w:val="17365D" w:themeColor="text2" w:themeShade="BF"/>
          <w:sz w:val="20"/>
        </w:rPr>
      </w:pPr>
      <w:r>
        <w:rPr>
          <w:rFonts w:ascii="Century Gothic" w:hAnsi="Century Gothic"/>
          <w:b/>
          <w:color w:val="17365D" w:themeColor="text2" w:themeShade="BF"/>
          <w:sz w:val="20"/>
        </w:rPr>
        <w:t>6</w:t>
      </w:r>
      <w:r w:rsidR="00217342" w:rsidRPr="00217342">
        <w:rPr>
          <w:rFonts w:ascii="Century Gothic" w:hAnsi="Century Gothic"/>
          <w:b/>
          <w:color w:val="17365D" w:themeColor="text2" w:themeShade="BF"/>
          <w:sz w:val="20"/>
        </w:rPr>
        <w:t xml:space="preserve">- </w:t>
      </w:r>
      <w:r w:rsidR="00353E9F" w:rsidRPr="00D36BB9">
        <w:rPr>
          <w:rFonts w:ascii="Century Gothic" w:hAnsi="Century Gothic"/>
          <w:b/>
          <w:color w:val="17365D" w:themeColor="text2" w:themeShade="BF"/>
          <w:sz w:val="20"/>
        </w:rPr>
        <w:t>Garanties des contribuables au cours des vérifications fiscales et lors de la disc</w:t>
      </w:r>
      <w:r w:rsidR="00217342">
        <w:rPr>
          <w:rFonts w:ascii="Century Gothic" w:hAnsi="Century Gothic"/>
          <w:b/>
          <w:color w:val="17365D" w:themeColor="text2" w:themeShade="BF"/>
          <w:sz w:val="20"/>
        </w:rPr>
        <w:t>ussion de ses résultats :</w:t>
      </w:r>
    </w:p>
    <w:p w:rsidR="00217342" w:rsidRPr="00D36BB9" w:rsidRDefault="00217342" w:rsidP="00217342">
      <w:pPr>
        <w:spacing w:after="0" w:line="240" w:lineRule="auto"/>
        <w:jc w:val="both"/>
        <w:textAlignment w:val="baseline"/>
        <w:rPr>
          <w:rFonts w:ascii="Century Gothic" w:hAnsi="Century Gothic"/>
          <w:b/>
          <w:color w:val="17365D" w:themeColor="text2" w:themeShade="BF"/>
          <w:sz w:val="20"/>
        </w:rPr>
      </w:pPr>
    </w:p>
    <w:p w:rsidR="00353E9F" w:rsidRPr="00D36BB9"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Dans le but de faciliter la tâche du contribuable au cours de la vérification et lors des discussions de ses résultats, il est proposé de :</w:t>
      </w:r>
    </w:p>
    <w:p w:rsidR="00500E68" w:rsidRDefault="00353E9F" w:rsidP="00217342">
      <w:pPr>
        <w:pStyle w:val="Paragraphedeliste"/>
        <w:numPr>
          <w:ilvl w:val="0"/>
          <w:numId w:val="9"/>
        </w:numPr>
        <w:spacing w:after="0" w:line="240" w:lineRule="auto"/>
        <w:jc w:val="both"/>
        <w:textAlignment w:val="baseline"/>
        <w:rPr>
          <w:rFonts w:ascii="Century Gothic" w:hAnsi="Century Gothic"/>
          <w:sz w:val="18"/>
        </w:rPr>
      </w:pPr>
      <w:r w:rsidRPr="00500E68">
        <w:rPr>
          <w:rFonts w:ascii="Century Gothic" w:hAnsi="Century Gothic"/>
          <w:sz w:val="18"/>
        </w:rPr>
        <w:t>Rallonger les délais de réponse à la demande de renseignements, éclaircissements ou justifications dans le cas d'une vérification préliminaire ou une vérification approfondie de 10 à 20 jours.</w:t>
      </w:r>
    </w:p>
    <w:p w:rsidR="00500E68" w:rsidRDefault="00353E9F" w:rsidP="00217342">
      <w:pPr>
        <w:pStyle w:val="Paragraphedeliste"/>
        <w:numPr>
          <w:ilvl w:val="0"/>
          <w:numId w:val="9"/>
        </w:numPr>
        <w:spacing w:after="0" w:line="240" w:lineRule="auto"/>
        <w:jc w:val="both"/>
        <w:textAlignment w:val="baseline"/>
        <w:rPr>
          <w:rFonts w:ascii="Century Gothic" w:hAnsi="Century Gothic"/>
          <w:sz w:val="18"/>
        </w:rPr>
      </w:pPr>
      <w:r w:rsidRPr="00500E68">
        <w:rPr>
          <w:rFonts w:ascii="Century Gothic" w:hAnsi="Century Gothic"/>
          <w:sz w:val="18"/>
        </w:rPr>
        <w:t>Rallonger les délais de réponse par écrit aux résultats de la vérification fiscale de 30 à 45 jours</w:t>
      </w:r>
    </w:p>
    <w:p w:rsidR="00500E68" w:rsidRDefault="00353E9F" w:rsidP="00217342">
      <w:pPr>
        <w:pStyle w:val="Paragraphedeliste"/>
        <w:numPr>
          <w:ilvl w:val="0"/>
          <w:numId w:val="9"/>
        </w:numPr>
        <w:spacing w:after="0" w:line="240" w:lineRule="auto"/>
        <w:jc w:val="both"/>
        <w:textAlignment w:val="baseline"/>
        <w:rPr>
          <w:rFonts w:ascii="Century Gothic" w:hAnsi="Century Gothic"/>
          <w:sz w:val="18"/>
        </w:rPr>
      </w:pPr>
      <w:r w:rsidRPr="00500E68">
        <w:rPr>
          <w:rFonts w:ascii="Century Gothic" w:hAnsi="Century Gothic"/>
          <w:sz w:val="18"/>
        </w:rPr>
        <w:lastRenderedPageBreak/>
        <w:t>Fixer un délai de 90 jours à l'administration fiscale pour communiquer les résultats de la vérification approfondie à partir de la date de communication des renseignements, éclaircissements et justifications par le contribuable ou de la date d'expiration du délai de cette communication.</w:t>
      </w:r>
    </w:p>
    <w:p w:rsidR="00353E9F" w:rsidRPr="00500E68" w:rsidRDefault="00353E9F" w:rsidP="00217342">
      <w:pPr>
        <w:pStyle w:val="Paragraphedeliste"/>
        <w:numPr>
          <w:ilvl w:val="0"/>
          <w:numId w:val="9"/>
        </w:numPr>
        <w:spacing w:after="0" w:line="240" w:lineRule="auto"/>
        <w:jc w:val="both"/>
        <w:textAlignment w:val="baseline"/>
        <w:rPr>
          <w:rFonts w:ascii="Century Gothic" w:hAnsi="Century Gothic"/>
          <w:sz w:val="18"/>
        </w:rPr>
      </w:pPr>
      <w:r w:rsidRPr="00500E68">
        <w:rPr>
          <w:rFonts w:ascii="Century Gothic" w:hAnsi="Century Gothic"/>
          <w:sz w:val="18"/>
        </w:rPr>
        <w:t>Fixer un délai de 6 mois à l'administration fiscale pour répondre, par écrit, à l'opposition du contribuable.</w:t>
      </w:r>
    </w:p>
    <w:p w:rsidR="00217342" w:rsidRPr="00D36BB9" w:rsidRDefault="00217342" w:rsidP="00217342">
      <w:pPr>
        <w:spacing w:after="0" w:line="240" w:lineRule="auto"/>
        <w:jc w:val="both"/>
        <w:textAlignment w:val="baseline"/>
        <w:rPr>
          <w:rFonts w:ascii="Century Gothic" w:hAnsi="Century Gothic"/>
          <w:sz w:val="18"/>
        </w:rPr>
      </w:pPr>
    </w:p>
    <w:p w:rsidR="00353E9F" w:rsidRDefault="00500E68" w:rsidP="00217342">
      <w:pPr>
        <w:spacing w:after="0" w:line="240" w:lineRule="auto"/>
        <w:jc w:val="both"/>
        <w:textAlignment w:val="baseline"/>
        <w:rPr>
          <w:rFonts w:ascii="Century Gothic" w:hAnsi="Century Gothic"/>
          <w:b/>
          <w:color w:val="17365D" w:themeColor="text2" w:themeShade="BF"/>
          <w:sz w:val="20"/>
        </w:rPr>
      </w:pPr>
      <w:r>
        <w:rPr>
          <w:rFonts w:ascii="Century Gothic" w:hAnsi="Century Gothic"/>
          <w:b/>
          <w:color w:val="17365D" w:themeColor="text2" w:themeShade="BF"/>
          <w:sz w:val="20"/>
        </w:rPr>
        <w:t>7</w:t>
      </w:r>
      <w:r w:rsidR="00217342" w:rsidRPr="00217342">
        <w:rPr>
          <w:rFonts w:ascii="Century Gothic" w:hAnsi="Century Gothic"/>
          <w:b/>
          <w:color w:val="17365D" w:themeColor="text2" w:themeShade="BF"/>
          <w:sz w:val="20"/>
        </w:rPr>
        <w:t xml:space="preserve">- </w:t>
      </w:r>
      <w:r w:rsidR="00353E9F" w:rsidRPr="00D36BB9">
        <w:rPr>
          <w:rFonts w:ascii="Century Gothic" w:hAnsi="Century Gothic"/>
          <w:b/>
          <w:color w:val="17365D" w:themeColor="text2" w:themeShade="BF"/>
          <w:sz w:val="20"/>
        </w:rPr>
        <w:t>Ajustement de la sanction relative aux déclarations p</w:t>
      </w:r>
      <w:r w:rsidR="00217342">
        <w:rPr>
          <w:rFonts w:ascii="Century Gothic" w:hAnsi="Century Gothic"/>
          <w:b/>
          <w:color w:val="17365D" w:themeColor="text2" w:themeShade="BF"/>
          <w:sz w:val="20"/>
        </w:rPr>
        <w:t>ar moyens électroniques :</w:t>
      </w:r>
    </w:p>
    <w:p w:rsidR="00217342" w:rsidRPr="00D36BB9" w:rsidRDefault="00217342" w:rsidP="00217342">
      <w:pPr>
        <w:spacing w:after="0" w:line="240" w:lineRule="auto"/>
        <w:jc w:val="both"/>
        <w:textAlignment w:val="baseline"/>
        <w:rPr>
          <w:rFonts w:ascii="Century Gothic" w:hAnsi="Century Gothic"/>
          <w:b/>
          <w:color w:val="17365D" w:themeColor="text2" w:themeShade="BF"/>
          <w:sz w:val="20"/>
        </w:rPr>
      </w:pPr>
    </w:p>
    <w:p w:rsidR="00353E9F"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 xml:space="preserve">Toute personne ayant déposé une déclaration ou produit un acte ou un document prescrit pour l'établissement ou le contrôle des impôts sans l'observation de la législation en vigueur relative à la souscription et au dépôt des déclarations fiscales, des informations et documents servant à l'établissement de l'impôt ou destinés à l'administration fiscale ou aux services du recouvrement par les moyens électroniques fiables ou sur supports magnétiques est puni de 0.1% du montant de l'impôt </w:t>
      </w:r>
      <w:r w:rsidR="00500E68" w:rsidRPr="00D36BB9">
        <w:rPr>
          <w:rFonts w:ascii="Century Gothic" w:hAnsi="Century Gothic"/>
          <w:sz w:val="18"/>
        </w:rPr>
        <w:t>dû</w:t>
      </w:r>
      <w:r w:rsidRPr="00D36BB9">
        <w:rPr>
          <w:rFonts w:ascii="Century Gothic" w:hAnsi="Century Gothic"/>
          <w:sz w:val="18"/>
        </w:rPr>
        <w:t xml:space="preserve"> avec un minimum de 1000 dinars au lieu d'une amende 100 dinars à 5000 dinars.</w:t>
      </w:r>
    </w:p>
    <w:p w:rsidR="00217342" w:rsidRPr="00D36BB9" w:rsidRDefault="00217342" w:rsidP="00217342">
      <w:pPr>
        <w:spacing w:after="0" w:line="240" w:lineRule="auto"/>
        <w:jc w:val="both"/>
        <w:textAlignment w:val="baseline"/>
        <w:rPr>
          <w:rFonts w:ascii="Century Gothic" w:hAnsi="Century Gothic"/>
          <w:sz w:val="18"/>
        </w:rPr>
      </w:pPr>
    </w:p>
    <w:p w:rsidR="00353E9F" w:rsidRDefault="00500E68" w:rsidP="00217342">
      <w:pPr>
        <w:spacing w:after="0" w:line="240" w:lineRule="auto"/>
        <w:jc w:val="both"/>
        <w:textAlignment w:val="baseline"/>
        <w:rPr>
          <w:rFonts w:ascii="Century Gothic" w:hAnsi="Century Gothic"/>
          <w:b/>
          <w:color w:val="17365D" w:themeColor="text2" w:themeShade="BF"/>
          <w:sz w:val="20"/>
        </w:rPr>
      </w:pPr>
      <w:r>
        <w:rPr>
          <w:rFonts w:ascii="Century Gothic" w:hAnsi="Century Gothic"/>
          <w:b/>
          <w:color w:val="17365D" w:themeColor="text2" w:themeShade="BF"/>
          <w:sz w:val="20"/>
        </w:rPr>
        <w:t>8</w:t>
      </w:r>
      <w:r w:rsidR="00217342" w:rsidRPr="00217342">
        <w:rPr>
          <w:rFonts w:ascii="Century Gothic" w:hAnsi="Century Gothic"/>
          <w:b/>
          <w:color w:val="17365D" w:themeColor="text2" w:themeShade="BF"/>
          <w:sz w:val="20"/>
        </w:rPr>
        <w:t xml:space="preserve">- </w:t>
      </w:r>
      <w:r w:rsidR="00353E9F" w:rsidRPr="00D36BB9">
        <w:rPr>
          <w:rFonts w:ascii="Century Gothic" w:hAnsi="Century Gothic"/>
          <w:b/>
          <w:color w:val="17365D" w:themeColor="text2" w:themeShade="BF"/>
          <w:sz w:val="20"/>
        </w:rPr>
        <w:t>Poursuite de la procédure d'insertion des ouvrages en métaux précieux non poinçonnés dan</w:t>
      </w:r>
      <w:r w:rsidR="00217342">
        <w:rPr>
          <w:rFonts w:ascii="Century Gothic" w:hAnsi="Century Gothic"/>
          <w:b/>
          <w:color w:val="17365D" w:themeColor="text2" w:themeShade="BF"/>
          <w:sz w:val="20"/>
        </w:rPr>
        <w:t>s le circuit économique :</w:t>
      </w:r>
    </w:p>
    <w:p w:rsidR="00217342" w:rsidRPr="00D36BB9" w:rsidRDefault="00217342" w:rsidP="00217342">
      <w:pPr>
        <w:spacing w:after="0" w:line="240" w:lineRule="auto"/>
        <w:jc w:val="both"/>
        <w:textAlignment w:val="baseline"/>
        <w:rPr>
          <w:rFonts w:ascii="Century Gothic" w:hAnsi="Century Gothic"/>
          <w:b/>
          <w:color w:val="17365D" w:themeColor="text2" w:themeShade="BF"/>
          <w:sz w:val="20"/>
        </w:rPr>
      </w:pPr>
    </w:p>
    <w:p w:rsidR="00353E9F" w:rsidRPr="00D36BB9"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Poursuite de la procédure d'insertion des ouvrages en métaux précieux non poinçonnés dans le circuit économique prévu portant loi des finances pour l'année 2014, jusqu'au 31 décembre 2015.</w:t>
      </w:r>
    </w:p>
    <w:p w:rsidR="00353E9F"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Il est prévu également l'exonération d l'importation d'or pur de d</w:t>
      </w:r>
      <w:r w:rsidR="00217342">
        <w:rPr>
          <w:rFonts w:ascii="Century Gothic" w:hAnsi="Century Gothic"/>
          <w:sz w:val="18"/>
        </w:rPr>
        <w:t>r</w:t>
      </w:r>
      <w:r w:rsidRPr="00D36BB9">
        <w:rPr>
          <w:rFonts w:ascii="Century Gothic" w:hAnsi="Century Gothic"/>
          <w:sz w:val="18"/>
        </w:rPr>
        <w:t>oits de douanes.</w:t>
      </w:r>
    </w:p>
    <w:p w:rsidR="00500E68" w:rsidRPr="00D36BB9" w:rsidRDefault="00500E68" w:rsidP="00217342">
      <w:pPr>
        <w:spacing w:after="0" w:line="240" w:lineRule="auto"/>
        <w:jc w:val="both"/>
        <w:textAlignment w:val="baseline"/>
        <w:rPr>
          <w:rFonts w:ascii="Century Gothic" w:hAnsi="Century Gothic"/>
          <w:sz w:val="18"/>
        </w:rPr>
      </w:pPr>
    </w:p>
    <w:p w:rsidR="00353E9F" w:rsidRDefault="00500E68" w:rsidP="00217342">
      <w:pPr>
        <w:spacing w:after="0" w:line="240" w:lineRule="auto"/>
        <w:jc w:val="both"/>
        <w:textAlignment w:val="baseline"/>
        <w:rPr>
          <w:rFonts w:ascii="Century Gothic" w:hAnsi="Century Gothic"/>
          <w:b/>
          <w:color w:val="17365D" w:themeColor="text2" w:themeShade="BF"/>
          <w:sz w:val="20"/>
        </w:rPr>
      </w:pPr>
      <w:r>
        <w:rPr>
          <w:rFonts w:ascii="Century Gothic" w:hAnsi="Century Gothic"/>
          <w:b/>
          <w:color w:val="17365D" w:themeColor="text2" w:themeShade="BF"/>
          <w:sz w:val="20"/>
        </w:rPr>
        <w:t>9</w:t>
      </w:r>
      <w:r w:rsidR="00217342" w:rsidRPr="00217342">
        <w:rPr>
          <w:rFonts w:ascii="Century Gothic" w:hAnsi="Century Gothic"/>
          <w:b/>
          <w:color w:val="17365D" w:themeColor="text2" w:themeShade="BF"/>
          <w:sz w:val="20"/>
        </w:rPr>
        <w:t xml:space="preserve">- </w:t>
      </w:r>
      <w:r w:rsidR="00353E9F" w:rsidRPr="00D36BB9">
        <w:rPr>
          <w:rFonts w:ascii="Century Gothic" w:hAnsi="Century Gothic"/>
          <w:b/>
          <w:color w:val="17365D" w:themeColor="text2" w:themeShade="BF"/>
          <w:sz w:val="20"/>
        </w:rPr>
        <w:t>Application des</w:t>
      </w:r>
      <w:r w:rsidR="00217342">
        <w:rPr>
          <w:rFonts w:ascii="Century Gothic" w:hAnsi="Century Gothic"/>
          <w:b/>
          <w:color w:val="17365D" w:themeColor="text2" w:themeShade="BF"/>
          <w:sz w:val="20"/>
        </w:rPr>
        <w:t xml:space="preserve"> accords de l'OMC :</w:t>
      </w:r>
    </w:p>
    <w:p w:rsidR="00217342" w:rsidRPr="00D36BB9" w:rsidRDefault="00217342" w:rsidP="00217342">
      <w:pPr>
        <w:spacing w:after="0" w:line="240" w:lineRule="auto"/>
        <w:jc w:val="both"/>
        <w:textAlignment w:val="baseline"/>
        <w:rPr>
          <w:rFonts w:ascii="Century Gothic" w:hAnsi="Century Gothic"/>
          <w:b/>
          <w:color w:val="17365D" w:themeColor="text2" w:themeShade="BF"/>
          <w:sz w:val="20"/>
        </w:rPr>
      </w:pPr>
    </w:p>
    <w:p w:rsidR="00353E9F" w:rsidRPr="00D36BB9" w:rsidRDefault="007B3188" w:rsidP="00217342">
      <w:pPr>
        <w:spacing w:after="0" w:line="240" w:lineRule="auto"/>
        <w:jc w:val="both"/>
        <w:textAlignment w:val="baseline"/>
        <w:rPr>
          <w:rFonts w:ascii="Century Gothic" w:hAnsi="Century Gothic"/>
          <w:sz w:val="18"/>
        </w:rPr>
      </w:pPr>
      <w:r>
        <w:rPr>
          <w:rFonts w:ascii="Century Gothic" w:hAnsi="Century Gothic"/>
          <w:sz w:val="18"/>
        </w:rPr>
        <w:t>La LF 2015</w:t>
      </w:r>
      <w:r w:rsidR="00353E9F" w:rsidRPr="00D36BB9">
        <w:rPr>
          <w:rFonts w:ascii="Century Gothic" w:hAnsi="Century Gothic"/>
          <w:sz w:val="18"/>
        </w:rPr>
        <w:t xml:space="preserve"> prévoit l'ajout d'une section au Code des douanes portant sur la production d'informations liant l'administration :</w:t>
      </w:r>
    </w:p>
    <w:p w:rsidR="00353E9F" w:rsidRPr="00D36BB9"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          Toute personne peut demander à l'administration des douanes des informations en matière de codification tarifaire ou en matière d'origine.</w:t>
      </w:r>
    </w:p>
    <w:p w:rsidR="00353E9F" w:rsidRPr="00D36BB9"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          La demande doit concerner une opération réelle d'importation ou d'exportation.</w:t>
      </w:r>
    </w:p>
    <w:p w:rsidR="00353E9F" w:rsidRPr="00D36BB9"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          Les informations fournies ne lient l'administration des douanes que pour les marchandises ayant fait l'objet de formalités douanières ultérieures.</w:t>
      </w:r>
    </w:p>
    <w:p w:rsidR="00353E9F" w:rsidRPr="00D36BB9"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          Les informations sont fournies dans un délai de 6 mois de la date de la demande.</w:t>
      </w:r>
    </w:p>
    <w:p w:rsidR="00353E9F" w:rsidRPr="00D36BB9"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          Les informations sont fournies à titre gratuit, sauf dépenses spécifiques engagées par l'administration demeurant à la charge du demandeur.</w:t>
      </w:r>
    </w:p>
    <w:p w:rsidR="00353E9F" w:rsidRPr="00D36BB9"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          Le demandeur doit prouver la conformité entre la marchandise déclarée et celle ayant fait l'objet d'information sur la codification tarifaire.</w:t>
      </w:r>
    </w:p>
    <w:p w:rsidR="00353E9F" w:rsidRPr="00D36BB9"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          Le demandeur doit prouver la conformité de la marchandise déclarée et des conditions ayant permis de déterminer son origine aux informations figurant dans la demande.</w:t>
      </w:r>
    </w:p>
    <w:p w:rsidR="00353E9F"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lastRenderedPageBreak/>
        <w:t>-          Les informations fournies demeurent valables pendant 3 ans en matière de codification tarifaire et 2 ans en matière d'origine.</w:t>
      </w:r>
    </w:p>
    <w:p w:rsidR="00217342" w:rsidRPr="00D36BB9" w:rsidRDefault="00217342" w:rsidP="00217342">
      <w:pPr>
        <w:spacing w:after="0" w:line="240" w:lineRule="auto"/>
        <w:jc w:val="both"/>
        <w:textAlignment w:val="baseline"/>
        <w:rPr>
          <w:rFonts w:ascii="Century Gothic" w:hAnsi="Century Gothic"/>
          <w:sz w:val="18"/>
        </w:rPr>
      </w:pPr>
    </w:p>
    <w:p w:rsidR="00353E9F" w:rsidRDefault="00217342" w:rsidP="00217342">
      <w:pPr>
        <w:spacing w:after="0" w:line="240" w:lineRule="auto"/>
        <w:jc w:val="both"/>
        <w:textAlignment w:val="baseline"/>
        <w:rPr>
          <w:rFonts w:ascii="Century Gothic" w:hAnsi="Century Gothic"/>
          <w:b/>
          <w:color w:val="17365D" w:themeColor="text2" w:themeShade="BF"/>
          <w:sz w:val="20"/>
        </w:rPr>
      </w:pPr>
      <w:r w:rsidRPr="00217342">
        <w:rPr>
          <w:rFonts w:ascii="Century Gothic" w:hAnsi="Century Gothic"/>
          <w:b/>
          <w:color w:val="17365D" w:themeColor="text2" w:themeShade="BF"/>
          <w:sz w:val="20"/>
        </w:rPr>
        <w:t>1</w:t>
      </w:r>
      <w:r w:rsidR="00500E68">
        <w:rPr>
          <w:rFonts w:ascii="Century Gothic" w:hAnsi="Century Gothic"/>
          <w:b/>
          <w:color w:val="17365D" w:themeColor="text2" w:themeShade="BF"/>
          <w:sz w:val="20"/>
        </w:rPr>
        <w:t>0</w:t>
      </w:r>
      <w:r w:rsidRPr="00217342">
        <w:rPr>
          <w:rFonts w:ascii="Century Gothic" w:hAnsi="Century Gothic"/>
          <w:b/>
          <w:color w:val="17365D" w:themeColor="text2" w:themeShade="BF"/>
          <w:sz w:val="20"/>
        </w:rPr>
        <w:t xml:space="preserve">- </w:t>
      </w:r>
      <w:r w:rsidR="00353E9F" w:rsidRPr="00D36BB9">
        <w:rPr>
          <w:rFonts w:ascii="Century Gothic" w:hAnsi="Century Gothic"/>
          <w:b/>
          <w:color w:val="17365D" w:themeColor="text2" w:themeShade="BF"/>
          <w:sz w:val="20"/>
        </w:rPr>
        <w:t>Unification des termes et harmonisation des dispositions du CDPF avec les procédures d'ap</w:t>
      </w:r>
      <w:r>
        <w:rPr>
          <w:rFonts w:ascii="Century Gothic" w:hAnsi="Century Gothic"/>
          <w:b/>
          <w:color w:val="17365D" w:themeColor="text2" w:themeShade="BF"/>
          <w:sz w:val="20"/>
        </w:rPr>
        <w:t>plication des pénalités :</w:t>
      </w:r>
    </w:p>
    <w:p w:rsidR="00217342" w:rsidRPr="00D36BB9" w:rsidRDefault="00217342" w:rsidP="00217342">
      <w:pPr>
        <w:spacing w:after="0" w:line="240" w:lineRule="auto"/>
        <w:jc w:val="both"/>
        <w:textAlignment w:val="baseline"/>
        <w:rPr>
          <w:rFonts w:ascii="Century Gothic" w:hAnsi="Century Gothic"/>
          <w:b/>
          <w:color w:val="17365D" w:themeColor="text2" w:themeShade="BF"/>
          <w:sz w:val="20"/>
        </w:rPr>
      </w:pPr>
    </w:p>
    <w:p w:rsidR="00353E9F" w:rsidRPr="00D36BB9"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Le code des droits et procédures fiscales a prévu des procédures de taxation en utilisant des termes différents qui ne tiennent pas en compte les procédures de taxation d'office et celles de l'application des pénalités.</w:t>
      </w:r>
    </w:p>
    <w:p w:rsidR="00353E9F" w:rsidRDefault="00353E9F" w:rsidP="00217342">
      <w:pPr>
        <w:spacing w:after="0" w:line="240" w:lineRule="auto"/>
        <w:jc w:val="both"/>
        <w:textAlignment w:val="baseline"/>
        <w:rPr>
          <w:rFonts w:ascii="Century Gothic" w:hAnsi="Century Gothic"/>
          <w:sz w:val="18"/>
        </w:rPr>
      </w:pPr>
      <w:r w:rsidRPr="00D36BB9">
        <w:rPr>
          <w:rFonts w:ascii="Century Gothic" w:hAnsi="Century Gothic"/>
          <w:sz w:val="18"/>
        </w:rPr>
        <w:t>Et dans le but de faciliter l'application des dispositions dudit code et simplifier les te</w:t>
      </w:r>
      <w:r w:rsidR="00500E68">
        <w:rPr>
          <w:rFonts w:ascii="Century Gothic" w:hAnsi="Century Gothic"/>
          <w:sz w:val="18"/>
        </w:rPr>
        <w:t xml:space="preserve">xtes législatifs en vigueur, </w:t>
      </w:r>
      <w:r w:rsidRPr="00D36BB9">
        <w:rPr>
          <w:rFonts w:ascii="Century Gothic" w:hAnsi="Century Gothic"/>
          <w:sz w:val="18"/>
        </w:rPr>
        <w:t>la LF 2015 propose d'unifier les termes utilisés pour les opérations de taxation d'office et doter l'application des pénalités fiscales par des mentions obligatoires.</w:t>
      </w:r>
    </w:p>
    <w:p w:rsidR="00217342" w:rsidRPr="00D36BB9" w:rsidRDefault="00217342" w:rsidP="00217342">
      <w:pPr>
        <w:spacing w:after="0" w:line="240" w:lineRule="auto"/>
        <w:jc w:val="both"/>
        <w:textAlignment w:val="baseline"/>
        <w:rPr>
          <w:rFonts w:ascii="Century Gothic" w:hAnsi="Century Gothic"/>
          <w:sz w:val="18"/>
        </w:rPr>
      </w:pPr>
    </w:p>
    <w:p w:rsidR="00353E9F" w:rsidRPr="00666854" w:rsidRDefault="00666854" w:rsidP="00217342">
      <w:pPr>
        <w:spacing w:after="0" w:line="240" w:lineRule="auto"/>
        <w:jc w:val="both"/>
        <w:textAlignment w:val="baseline"/>
        <w:rPr>
          <w:rFonts w:ascii="Century Gothic" w:hAnsi="Century Gothic"/>
          <w:b/>
          <w:color w:val="17365D" w:themeColor="text2" w:themeShade="BF"/>
          <w:sz w:val="20"/>
        </w:rPr>
      </w:pPr>
      <w:r w:rsidRPr="00666854">
        <w:rPr>
          <w:rFonts w:ascii="Century Gothic" w:hAnsi="Century Gothic"/>
          <w:b/>
          <w:color w:val="17365D" w:themeColor="text2" w:themeShade="BF"/>
          <w:sz w:val="20"/>
        </w:rPr>
        <w:t>1</w:t>
      </w:r>
      <w:r w:rsidR="00500E68">
        <w:rPr>
          <w:rFonts w:ascii="Century Gothic" w:hAnsi="Century Gothic"/>
          <w:b/>
          <w:color w:val="17365D" w:themeColor="text2" w:themeShade="BF"/>
          <w:sz w:val="20"/>
        </w:rPr>
        <w:t>1</w:t>
      </w:r>
      <w:r w:rsidRPr="00666854">
        <w:rPr>
          <w:rFonts w:ascii="Century Gothic" w:hAnsi="Century Gothic"/>
          <w:b/>
          <w:color w:val="17365D" w:themeColor="text2" w:themeShade="BF"/>
          <w:sz w:val="20"/>
        </w:rPr>
        <w:t xml:space="preserve">- </w:t>
      </w:r>
      <w:r w:rsidR="00353E9F" w:rsidRPr="00D36BB9">
        <w:rPr>
          <w:rFonts w:ascii="Century Gothic" w:hAnsi="Century Gothic"/>
          <w:b/>
          <w:color w:val="17365D" w:themeColor="text2" w:themeShade="BF"/>
          <w:sz w:val="20"/>
        </w:rPr>
        <w:t>Rationalisation des règlements en espèces auprès</w:t>
      </w:r>
      <w:r w:rsidRPr="00666854">
        <w:rPr>
          <w:rFonts w:ascii="Century Gothic" w:hAnsi="Century Gothic"/>
          <w:b/>
          <w:color w:val="17365D" w:themeColor="text2" w:themeShade="BF"/>
          <w:sz w:val="20"/>
        </w:rPr>
        <w:t xml:space="preserve"> des comptables publics :</w:t>
      </w:r>
    </w:p>
    <w:p w:rsidR="00666854" w:rsidRPr="00D36BB9" w:rsidRDefault="00666854" w:rsidP="00217342">
      <w:pPr>
        <w:spacing w:after="0" w:line="240" w:lineRule="auto"/>
        <w:jc w:val="both"/>
        <w:textAlignment w:val="baseline"/>
        <w:rPr>
          <w:rFonts w:ascii="inherit" w:eastAsia="Times New Roman" w:hAnsi="inherit" w:cs="Times New Roman"/>
          <w:color w:val="666666"/>
          <w:sz w:val="24"/>
          <w:szCs w:val="24"/>
          <w:lang w:eastAsia="fr-FR"/>
        </w:rPr>
      </w:pPr>
    </w:p>
    <w:p w:rsidR="00353E9F" w:rsidRPr="00D36BB9" w:rsidRDefault="00500E68" w:rsidP="00217342">
      <w:pPr>
        <w:spacing w:after="0" w:line="240" w:lineRule="auto"/>
        <w:jc w:val="both"/>
        <w:textAlignment w:val="baseline"/>
        <w:rPr>
          <w:rFonts w:ascii="Century Gothic" w:hAnsi="Century Gothic"/>
          <w:sz w:val="18"/>
        </w:rPr>
      </w:pPr>
      <w:r>
        <w:rPr>
          <w:rFonts w:ascii="Century Gothic" w:hAnsi="Century Gothic"/>
          <w:sz w:val="18"/>
        </w:rPr>
        <w:t>I</w:t>
      </w:r>
      <w:r w:rsidR="00353E9F" w:rsidRPr="00D36BB9">
        <w:rPr>
          <w:rFonts w:ascii="Century Gothic" w:hAnsi="Century Gothic"/>
          <w:sz w:val="18"/>
        </w:rPr>
        <w:t xml:space="preserve">l a été </w:t>
      </w:r>
      <w:r>
        <w:rPr>
          <w:rFonts w:ascii="Century Gothic" w:hAnsi="Century Gothic"/>
          <w:sz w:val="18"/>
        </w:rPr>
        <w:t>décidé</w:t>
      </w:r>
      <w:r w:rsidR="00353E9F" w:rsidRPr="00D36BB9">
        <w:rPr>
          <w:rFonts w:ascii="Century Gothic" w:hAnsi="Century Gothic"/>
          <w:sz w:val="18"/>
        </w:rPr>
        <w:t xml:space="preserve"> d'instituer, au profit du trésor public, une taxe de 1% pour les règlements, en espèce, supérieurs à 5000 dinars.</w:t>
      </w:r>
    </w:p>
    <w:p w:rsidR="00353E9F" w:rsidRDefault="00353E9F" w:rsidP="00C117DC">
      <w:pPr>
        <w:rPr>
          <w:rFonts w:ascii="Century Gothic" w:hAnsi="Century Gothic"/>
          <w:sz w:val="16"/>
        </w:rPr>
      </w:pPr>
    </w:p>
    <w:p w:rsidR="00F3767E" w:rsidRDefault="00F3767E" w:rsidP="00C117DC">
      <w:pPr>
        <w:rPr>
          <w:rFonts w:ascii="Century Gothic" w:hAnsi="Century Gothic"/>
          <w:sz w:val="16"/>
        </w:rPr>
      </w:pPr>
    </w:p>
    <w:p w:rsidR="00801597" w:rsidRPr="00801597" w:rsidRDefault="0001566F" w:rsidP="0001566F">
      <w:pPr>
        <w:contextualSpacing/>
        <w:jc w:val="both"/>
        <w:rPr>
          <w:rFonts w:ascii="Century Gothic" w:hAnsi="Century Gothic"/>
          <w:b/>
          <w:sz w:val="14"/>
        </w:rPr>
      </w:pPr>
      <w:r>
        <w:rPr>
          <w:rFonts w:ascii="Century Gothic" w:hAnsi="Century Gothic"/>
          <w:b/>
          <w:noProof/>
          <w:sz w:val="14"/>
          <w:lang w:eastAsia="fr-FR"/>
        </w:rPr>
        <w:drawing>
          <wp:inline distT="0" distB="0" distL="0" distR="0">
            <wp:extent cx="328744" cy="1714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9500" cy="171844"/>
                    </a:xfrm>
                    <a:prstGeom prst="rect">
                      <a:avLst/>
                    </a:prstGeom>
                  </pic:spPr>
                </pic:pic>
              </a:graphicData>
            </a:graphic>
          </wp:inline>
        </w:drawing>
      </w:r>
      <w:r w:rsidR="00801597" w:rsidRPr="00801597">
        <w:rPr>
          <w:rFonts w:ascii="Century Gothic" w:hAnsi="Century Gothic"/>
          <w:b/>
          <w:sz w:val="14"/>
        </w:rPr>
        <w:t>Mise en garde :</w:t>
      </w:r>
    </w:p>
    <w:p w:rsidR="00801597" w:rsidRPr="00801597" w:rsidRDefault="00801597" w:rsidP="0001566F">
      <w:pPr>
        <w:pBdr>
          <w:top w:val="dotted" w:sz="4" w:space="1" w:color="auto"/>
          <w:bottom w:val="dotted" w:sz="4" w:space="1" w:color="auto"/>
        </w:pBdr>
        <w:contextualSpacing/>
        <w:jc w:val="both"/>
        <w:rPr>
          <w:rFonts w:ascii="Century Gothic" w:hAnsi="Century Gothic"/>
          <w:sz w:val="14"/>
        </w:rPr>
      </w:pPr>
      <w:r w:rsidRPr="00801597">
        <w:rPr>
          <w:rFonts w:ascii="Century Gothic" w:hAnsi="Century Gothic"/>
          <w:sz w:val="14"/>
        </w:rPr>
        <w:t xml:space="preserve">Le présent commentaire est une simple </w:t>
      </w:r>
      <w:r w:rsidRPr="00801597">
        <w:rPr>
          <w:rFonts w:ascii="Century Gothic" w:hAnsi="Century Gothic"/>
          <w:sz w:val="14"/>
        </w:rPr>
        <w:t>œuvre</w:t>
      </w:r>
      <w:r w:rsidRPr="00801597">
        <w:rPr>
          <w:rFonts w:ascii="Century Gothic" w:hAnsi="Century Gothic"/>
          <w:sz w:val="14"/>
        </w:rPr>
        <w:t xml:space="preserve"> de recherche qui ne dispense pas le lecteur de procéder aux vérifications et investigations qu’il juge nécessaires, ni au recours à un conseil compétent, ni à l’exercice de son esprit critique pour confirmer ou infirmer les avis, les positions et les solutions proposées.</w:t>
      </w:r>
    </w:p>
    <w:p w:rsidR="00801597" w:rsidRPr="00801597" w:rsidRDefault="00801597" w:rsidP="0001566F">
      <w:pPr>
        <w:pBdr>
          <w:top w:val="dotted" w:sz="4" w:space="1" w:color="auto"/>
          <w:bottom w:val="dotted" w:sz="4" w:space="1" w:color="auto"/>
        </w:pBdr>
        <w:contextualSpacing/>
        <w:jc w:val="both"/>
        <w:rPr>
          <w:rFonts w:ascii="Century Gothic" w:hAnsi="Century Gothic"/>
          <w:sz w:val="14"/>
        </w:rPr>
      </w:pPr>
      <w:r w:rsidRPr="00801597">
        <w:rPr>
          <w:rFonts w:ascii="Century Gothic" w:hAnsi="Century Gothic"/>
          <w:sz w:val="14"/>
        </w:rPr>
        <w:t>Par conséquent, nous vous recommandons de ne pas prendre de décisions basées exclusivement sur les renseignements contenus dans ce commentaire, et nous insistons sur la nécessité d’une analyse approfondie et adaptée à chaque cas.</w:t>
      </w:r>
    </w:p>
    <w:p w:rsidR="00F3767E" w:rsidRPr="00801597" w:rsidRDefault="00F3767E" w:rsidP="00801597">
      <w:pPr>
        <w:contextualSpacing/>
        <w:rPr>
          <w:rFonts w:ascii="Century Gothic" w:hAnsi="Century Gothic"/>
          <w:sz w:val="14"/>
        </w:rPr>
      </w:pPr>
    </w:p>
    <w:sectPr w:rsidR="00F3767E" w:rsidRPr="00801597" w:rsidSect="003D541C">
      <w:type w:val="evenPage"/>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175" w:rsidRDefault="006B6175" w:rsidP="008D43E9">
      <w:pPr>
        <w:spacing w:after="0" w:line="240" w:lineRule="auto"/>
      </w:pPr>
      <w:r>
        <w:separator/>
      </w:r>
    </w:p>
  </w:endnote>
  <w:endnote w:type="continuationSeparator" w:id="0">
    <w:p w:rsidR="006B6175" w:rsidRDefault="006B6175" w:rsidP="008D4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967" w:rsidRDefault="00CC6967" w:rsidP="00CC6967">
    <w:pPr>
      <w:pStyle w:val="Pieddepage"/>
      <w:rPr>
        <w:sz w:val="18"/>
      </w:rPr>
    </w:pPr>
  </w:p>
  <w:p w:rsidR="00163D4B" w:rsidRPr="00E02817" w:rsidRDefault="006B6175" w:rsidP="00CC6967">
    <w:pPr>
      <w:pStyle w:val="Pieddepage"/>
      <w:pBdr>
        <w:top w:val="dotted" w:sz="4" w:space="1" w:color="auto"/>
      </w:pBdr>
      <w:rPr>
        <w:sz w:val="18"/>
      </w:rPr>
    </w:pPr>
    <w:sdt>
      <w:sdtPr>
        <w:rPr>
          <w:sz w:val="18"/>
        </w:rPr>
        <w:id w:val="-2100782315"/>
        <w:docPartObj>
          <w:docPartGallery w:val="Page Numbers (Bottom of Page)"/>
          <w:docPartUnique/>
        </w:docPartObj>
      </w:sdtPr>
      <w:sdtEndPr/>
      <w:sdtContent>
        <w:r w:rsidR="00163D4B" w:rsidRPr="00E02817">
          <w:rPr>
            <w:noProof/>
            <w:sz w:val="18"/>
            <w:lang w:eastAsia="fr-FR"/>
          </w:rPr>
          <mc:AlternateContent>
            <mc:Choice Requires="wps">
              <w:drawing>
                <wp:anchor distT="0" distB="0" distL="114300" distR="114300" simplePos="0" relativeHeight="251662336" behindDoc="0" locked="0" layoutInCell="1" allowOverlap="1" wp14:anchorId="120A3935" wp14:editId="2D41596E">
                  <wp:simplePos x="0" y="0"/>
                  <wp:positionH relativeFrom="page">
                    <wp:align>right</wp:align>
                  </wp:positionH>
                  <wp:positionV relativeFrom="page">
                    <wp:align>bottom</wp:align>
                  </wp:positionV>
                  <wp:extent cx="2125980" cy="2054860"/>
                  <wp:effectExtent l="1270" t="0" r="6350" b="2540"/>
                  <wp:wrapNone/>
                  <wp:docPr id="654" name="Forme automatiqu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163D4B" w:rsidRDefault="00163D4B">
                              <w:pPr>
                                <w:jc w:val="center"/>
                                <w:rPr>
                                  <w:szCs w:val="72"/>
                                </w:rPr>
                              </w:pPr>
                              <w:r>
                                <w:rPr>
                                  <w:rFonts w:eastAsiaTheme="minorEastAsia"/>
                                </w:rPr>
                                <w:fldChar w:fldCharType="begin"/>
                              </w:r>
                              <w:r>
                                <w:instrText>PAGE    \* MERGEFORMAT</w:instrText>
                              </w:r>
                              <w:r>
                                <w:rPr>
                                  <w:rFonts w:eastAsiaTheme="minorEastAsia"/>
                                </w:rPr>
                                <w:fldChar w:fldCharType="separate"/>
                              </w:r>
                              <w:r w:rsidR="00C67270" w:rsidRPr="00C67270">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Forme automatique 13" o:spid="_x0000_s1026" type="#_x0000_t5" style="position:absolute;margin-left:116.2pt;margin-top:0;width:167.4pt;height:161.8pt;z-index:2516623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" adj="21600" fillcolor="#d2eaf1" stroked="f">
                  <v:textbox>
                    <w:txbxContent>
                      <w:p w:rsidR="00163D4B" w:rsidRDefault="00163D4B">
                        <w:pPr>
                          <w:jc w:val="center"/>
                          <w:rPr>
                            <w:szCs w:val="72"/>
                          </w:rPr>
                        </w:pPr>
                        <w:r>
                          <w:rPr>
                            <w:rFonts w:eastAsiaTheme="minorEastAsia"/>
                          </w:rPr>
                          <w:fldChar w:fldCharType="begin"/>
                        </w:r>
                        <w:r>
                          <w:instrText>PAGE    \* MERGEFORMAT</w:instrText>
                        </w:r>
                        <w:r>
                          <w:rPr>
                            <w:rFonts w:eastAsiaTheme="minorEastAsia"/>
                          </w:rPr>
                          <w:fldChar w:fldCharType="separate"/>
                        </w:r>
                        <w:r w:rsidR="00C67270" w:rsidRPr="00C67270">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sdtContent>
    </w:sdt>
    <w:r w:rsidR="00163D4B" w:rsidRPr="00E02817">
      <w:rPr>
        <w:sz w:val="18"/>
      </w:rPr>
      <w:t>Les Experts – Société de conseil en gestion d’entreprises</w:t>
    </w:r>
  </w:p>
  <w:p w:rsidR="00163D4B" w:rsidRPr="00E02817" w:rsidRDefault="00163D4B" w:rsidP="00E02817">
    <w:pPr>
      <w:pStyle w:val="Pieddepage"/>
      <w:rPr>
        <w:sz w:val="18"/>
      </w:rPr>
    </w:pPr>
    <w:r w:rsidRPr="00E02817">
      <w:rPr>
        <w:sz w:val="18"/>
      </w:rPr>
      <w:t xml:space="preserve">9, Rue des usines, </w:t>
    </w:r>
    <w:proofErr w:type="spellStart"/>
    <w:r w:rsidRPr="00E02817">
      <w:rPr>
        <w:sz w:val="18"/>
      </w:rPr>
      <w:t>Rézig</w:t>
    </w:r>
    <w:proofErr w:type="spellEnd"/>
    <w:r w:rsidRPr="00E02817">
      <w:rPr>
        <w:sz w:val="18"/>
      </w:rPr>
      <w:t xml:space="preserve"> center, bloc A Bureau A6, Sidi </w:t>
    </w:r>
    <w:proofErr w:type="spellStart"/>
    <w:r w:rsidRPr="00E02817">
      <w:rPr>
        <w:sz w:val="18"/>
      </w:rPr>
      <w:t>Rézig</w:t>
    </w:r>
    <w:proofErr w:type="spellEnd"/>
    <w:r w:rsidRPr="00E02817">
      <w:rPr>
        <w:sz w:val="18"/>
      </w:rPr>
      <w:t>.</w:t>
    </w:r>
  </w:p>
  <w:p w:rsidR="00163D4B" w:rsidRDefault="00163D4B" w:rsidP="00E02817">
    <w:pPr>
      <w:pStyle w:val="Pieddepage"/>
      <w:rPr>
        <w:sz w:val="18"/>
      </w:rPr>
    </w:pPr>
    <w:r w:rsidRPr="00E02817">
      <w:rPr>
        <w:sz w:val="18"/>
      </w:rPr>
      <w:t xml:space="preserve">Tél/Fax : </w:t>
    </w:r>
    <w:r w:rsidR="00C97E42">
      <w:rPr>
        <w:sz w:val="18"/>
      </w:rPr>
      <w:t>22.980.695/</w:t>
    </w:r>
    <w:r w:rsidRPr="00E02817">
      <w:rPr>
        <w:sz w:val="18"/>
      </w:rPr>
      <w:t xml:space="preserve">71.429.251 – Email : </w:t>
    </w:r>
    <w:r>
      <w:rPr>
        <w:sz w:val="18"/>
      </w:rPr>
      <w:t>Les_Experts@outlook.com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175" w:rsidRDefault="006B6175" w:rsidP="008D43E9">
      <w:pPr>
        <w:spacing w:after="0" w:line="240" w:lineRule="auto"/>
      </w:pPr>
      <w:r>
        <w:separator/>
      </w:r>
    </w:p>
  </w:footnote>
  <w:footnote w:type="continuationSeparator" w:id="0">
    <w:p w:rsidR="006B6175" w:rsidRDefault="006B6175" w:rsidP="008D4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4B" w:rsidRDefault="006B6175">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31986" o:spid="_x0000_s2050" type="#_x0000_t75" style="position:absolute;margin-left:0;margin-top:0;width:523.1pt;height:272.8pt;z-index:-251657216;mso-position-horizontal:center;mso-position-horizontal-relative:margin;mso-position-vertical:center;mso-position-vertical-relative:margin" o:allowincell="f">
          <v:imagedata r:id="rId1" o:title="log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4B" w:rsidRDefault="006B6175">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31987" o:spid="_x0000_s2051" type="#_x0000_t75" style="position:absolute;margin-left:0;margin-top:0;width:523.1pt;height:272.8pt;z-index:-251656192;mso-position-horizontal:center;mso-position-horizontal-relative:margin;mso-position-vertical:center;mso-position-vertical-relative:margin" o:allowincell="f">
          <v:imagedata r:id="rId1" o:title="log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4B" w:rsidRDefault="006B6175">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31985" o:spid="_x0000_s2049" type="#_x0000_t75" style="position:absolute;margin-left:0;margin-top:0;width:523.1pt;height:272.8pt;z-index:-251658240;mso-position-horizontal:center;mso-position-horizontal-relative:margin;mso-position-vertical:center;mso-position-vertical-relative:margin" o:allowincell="f">
          <v:imagedata r:id="rId1" o:title="log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83B85"/>
    <w:multiLevelType w:val="hybridMultilevel"/>
    <w:tmpl w:val="3C04F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D7C592A"/>
    <w:multiLevelType w:val="hybridMultilevel"/>
    <w:tmpl w:val="BCA6D036"/>
    <w:lvl w:ilvl="0" w:tplc="05C22EB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5A0285E"/>
    <w:multiLevelType w:val="hybridMultilevel"/>
    <w:tmpl w:val="B5C25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F4B0BF5"/>
    <w:multiLevelType w:val="hybridMultilevel"/>
    <w:tmpl w:val="638A3172"/>
    <w:lvl w:ilvl="0" w:tplc="283E49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1776480"/>
    <w:multiLevelType w:val="hybridMultilevel"/>
    <w:tmpl w:val="6EBA3F9E"/>
    <w:lvl w:ilvl="0" w:tplc="5672EB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793941"/>
    <w:multiLevelType w:val="hybridMultilevel"/>
    <w:tmpl w:val="6FACA4A2"/>
    <w:lvl w:ilvl="0" w:tplc="03CAC3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C2706B9"/>
    <w:multiLevelType w:val="hybridMultilevel"/>
    <w:tmpl w:val="E0C44DC8"/>
    <w:lvl w:ilvl="0" w:tplc="AE1268B2">
      <w:start w:val="1"/>
      <w:numFmt w:val="decimal"/>
      <w:lvlText w:val="%1-"/>
      <w:lvlJc w:val="left"/>
      <w:pPr>
        <w:ind w:left="720" w:hanging="360"/>
      </w:pPr>
      <w:rPr>
        <w:rFonts w:ascii="Century Gothic" w:eastAsiaTheme="minorHAnsi" w:hAnsi="Century Gothic" w:cstheme="minorBidi" w:hint="default"/>
        <w:color w:val="auto"/>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CBA0609"/>
    <w:multiLevelType w:val="hybridMultilevel"/>
    <w:tmpl w:val="683E9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71D0095"/>
    <w:multiLevelType w:val="hybridMultilevel"/>
    <w:tmpl w:val="0714CCBC"/>
    <w:lvl w:ilvl="0" w:tplc="C0307C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3"/>
  </w:num>
  <w:num w:numId="5">
    <w:abstractNumId w:val="5"/>
  </w:num>
  <w:num w:numId="6">
    <w:abstractNumId w:val="4"/>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3E9"/>
    <w:rsid w:val="0001566F"/>
    <w:rsid w:val="00163D4B"/>
    <w:rsid w:val="00170655"/>
    <w:rsid w:val="001952C5"/>
    <w:rsid w:val="00217342"/>
    <w:rsid w:val="00311A7A"/>
    <w:rsid w:val="00353E9F"/>
    <w:rsid w:val="003B6459"/>
    <w:rsid w:val="003D541C"/>
    <w:rsid w:val="004145BA"/>
    <w:rsid w:val="00500E68"/>
    <w:rsid w:val="005517FB"/>
    <w:rsid w:val="00666854"/>
    <w:rsid w:val="00694E86"/>
    <w:rsid w:val="006B6175"/>
    <w:rsid w:val="006E4131"/>
    <w:rsid w:val="007B3188"/>
    <w:rsid w:val="00801597"/>
    <w:rsid w:val="00803CF0"/>
    <w:rsid w:val="008D43E9"/>
    <w:rsid w:val="009C07B6"/>
    <w:rsid w:val="00A664C7"/>
    <w:rsid w:val="00AE38A0"/>
    <w:rsid w:val="00C117DC"/>
    <w:rsid w:val="00C67270"/>
    <w:rsid w:val="00C97E42"/>
    <w:rsid w:val="00CC6967"/>
    <w:rsid w:val="00DD1F2D"/>
    <w:rsid w:val="00E02817"/>
    <w:rsid w:val="00E5275A"/>
    <w:rsid w:val="00EA5CC7"/>
    <w:rsid w:val="00EC3796"/>
    <w:rsid w:val="00F3767E"/>
    <w:rsid w:val="00FE1F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43E9"/>
    <w:pPr>
      <w:tabs>
        <w:tab w:val="center" w:pos="4536"/>
        <w:tab w:val="right" w:pos="9072"/>
      </w:tabs>
      <w:spacing w:after="0" w:line="240" w:lineRule="auto"/>
    </w:pPr>
  </w:style>
  <w:style w:type="character" w:customStyle="1" w:styleId="En-tteCar">
    <w:name w:val="En-tête Car"/>
    <w:basedOn w:val="Policepardfaut"/>
    <w:link w:val="En-tte"/>
    <w:uiPriority w:val="99"/>
    <w:rsid w:val="008D43E9"/>
  </w:style>
  <w:style w:type="paragraph" w:styleId="Pieddepage">
    <w:name w:val="footer"/>
    <w:basedOn w:val="Normal"/>
    <w:link w:val="PieddepageCar"/>
    <w:uiPriority w:val="99"/>
    <w:unhideWhenUsed/>
    <w:rsid w:val="008D43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43E9"/>
  </w:style>
  <w:style w:type="paragraph" w:styleId="Textedebulles">
    <w:name w:val="Balloon Text"/>
    <w:basedOn w:val="Normal"/>
    <w:link w:val="TextedebullesCar"/>
    <w:uiPriority w:val="99"/>
    <w:semiHidden/>
    <w:unhideWhenUsed/>
    <w:rsid w:val="008D43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43E9"/>
    <w:rPr>
      <w:rFonts w:ascii="Tahoma" w:hAnsi="Tahoma" w:cs="Tahoma"/>
      <w:sz w:val="16"/>
      <w:szCs w:val="16"/>
    </w:rPr>
  </w:style>
  <w:style w:type="character" w:styleId="Lienhypertexte">
    <w:name w:val="Hyperlink"/>
    <w:basedOn w:val="Policepardfaut"/>
    <w:uiPriority w:val="99"/>
    <w:unhideWhenUsed/>
    <w:rsid w:val="00E02817"/>
    <w:rPr>
      <w:color w:val="0000FF" w:themeColor="hyperlink"/>
      <w:u w:val="single"/>
    </w:rPr>
  </w:style>
  <w:style w:type="paragraph" w:styleId="Paragraphedeliste">
    <w:name w:val="List Paragraph"/>
    <w:basedOn w:val="Normal"/>
    <w:uiPriority w:val="34"/>
    <w:qFormat/>
    <w:rsid w:val="003D541C"/>
    <w:pPr>
      <w:ind w:left="720"/>
      <w:contextualSpacing/>
    </w:pPr>
  </w:style>
  <w:style w:type="paragraph" w:styleId="NormalWeb">
    <w:name w:val="Normal (Web)"/>
    <w:basedOn w:val="Normal"/>
    <w:uiPriority w:val="99"/>
    <w:semiHidden/>
    <w:unhideWhenUsed/>
    <w:rsid w:val="003D541C"/>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A66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43E9"/>
    <w:pPr>
      <w:tabs>
        <w:tab w:val="center" w:pos="4536"/>
        <w:tab w:val="right" w:pos="9072"/>
      </w:tabs>
      <w:spacing w:after="0" w:line="240" w:lineRule="auto"/>
    </w:pPr>
  </w:style>
  <w:style w:type="character" w:customStyle="1" w:styleId="En-tteCar">
    <w:name w:val="En-tête Car"/>
    <w:basedOn w:val="Policepardfaut"/>
    <w:link w:val="En-tte"/>
    <w:uiPriority w:val="99"/>
    <w:rsid w:val="008D43E9"/>
  </w:style>
  <w:style w:type="paragraph" w:styleId="Pieddepage">
    <w:name w:val="footer"/>
    <w:basedOn w:val="Normal"/>
    <w:link w:val="PieddepageCar"/>
    <w:uiPriority w:val="99"/>
    <w:unhideWhenUsed/>
    <w:rsid w:val="008D43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43E9"/>
  </w:style>
  <w:style w:type="paragraph" w:styleId="Textedebulles">
    <w:name w:val="Balloon Text"/>
    <w:basedOn w:val="Normal"/>
    <w:link w:val="TextedebullesCar"/>
    <w:uiPriority w:val="99"/>
    <w:semiHidden/>
    <w:unhideWhenUsed/>
    <w:rsid w:val="008D43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43E9"/>
    <w:rPr>
      <w:rFonts w:ascii="Tahoma" w:hAnsi="Tahoma" w:cs="Tahoma"/>
      <w:sz w:val="16"/>
      <w:szCs w:val="16"/>
    </w:rPr>
  </w:style>
  <w:style w:type="character" w:styleId="Lienhypertexte">
    <w:name w:val="Hyperlink"/>
    <w:basedOn w:val="Policepardfaut"/>
    <w:uiPriority w:val="99"/>
    <w:unhideWhenUsed/>
    <w:rsid w:val="00E02817"/>
    <w:rPr>
      <w:color w:val="0000FF" w:themeColor="hyperlink"/>
      <w:u w:val="single"/>
    </w:rPr>
  </w:style>
  <w:style w:type="paragraph" w:styleId="Paragraphedeliste">
    <w:name w:val="List Paragraph"/>
    <w:basedOn w:val="Normal"/>
    <w:uiPriority w:val="34"/>
    <w:qFormat/>
    <w:rsid w:val="003D541C"/>
    <w:pPr>
      <w:ind w:left="720"/>
      <w:contextualSpacing/>
    </w:pPr>
  </w:style>
  <w:style w:type="paragraph" w:styleId="NormalWeb">
    <w:name w:val="Normal (Web)"/>
    <w:basedOn w:val="Normal"/>
    <w:uiPriority w:val="99"/>
    <w:semiHidden/>
    <w:unhideWhenUsed/>
    <w:rsid w:val="003D541C"/>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A66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9601">
      <w:bodyDiv w:val="1"/>
      <w:marLeft w:val="0"/>
      <w:marRight w:val="0"/>
      <w:marTop w:val="0"/>
      <w:marBottom w:val="0"/>
      <w:divBdr>
        <w:top w:val="none" w:sz="0" w:space="0" w:color="auto"/>
        <w:left w:val="none" w:sz="0" w:space="0" w:color="auto"/>
        <w:bottom w:val="none" w:sz="0" w:space="0" w:color="auto"/>
        <w:right w:val="none" w:sz="0" w:space="0" w:color="auto"/>
      </w:divBdr>
    </w:div>
    <w:div w:id="325597088">
      <w:bodyDiv w:val="1"/>
      <w:marLeft w:val="0"/>
      <w:marRight w:val="0"/>
      <w:marTop w:val="0"/>
      <w:marBottom w:val="0"/>
      <w:divBdr>
        <w:top w:val="none" w:sz="0" w:space="0" w:color="auto"/>
        <w:left w:val="none" w:sz="0" w:space="0" w:color="auto"/>
        <w:bottom w:val="none" w:sz="0" w:space="0" w:color="auto"/>
        <w:right w:val="none" w:sz="0" w:space="0" w:color="auto"/>
      </w:divBdr>
    </w:div>
    <w:div w:id="467015484">
      <w:bodyDiv w:val="1"/>
      <w:marLeft w:val="0"/>
      <w:marRight w:val="0"/>
      <w:marTop w:val="0"/>
      <w:marBottom w:val="0"/>
      <w:divBdr>
        <w:top w:val="none" w:sz="0" w:space="0" w:color="auto"/>
        <w:left w:val="none" w:sz="0" w:space="0" w:color="auto"/>
        <w:bottom w:val="none" w:sz="0" w:space="0" w:color="auto"/>
        <w:right w:val="none" w:sz="0" w:space="0" w:color="auto"/>
      </w:divBdr>
    </w:div>
    <w:div w:id="541290513">
      <w:bodyDiv w:val="1"/>
      <w:marLeft w:val="0"/>
      <w:marRight w:val="0"/>
      <w:marTop w:val="0"/>
      <w:marBottom w:val="0"/>
      <w:divBdr>
        <w:top w:val="none" w:sz="0" w:space="0" w:color="auto"/>
        <w:left w:val="none" w:sz="0" w:space="0" w:color="auto"/>
        <w:bottom w:val="none" w:sz="0" w:space="0" w:color="auto"/>
        <w:right w:val="none" w:sz="0" w:space="0" w:color="auto"/>
      </w:divBdr>
    </w:div>
    <w:div w:id="705184485">
      <w:bodyDiv w:val="1"/>
      <w:marLeft w:val="0"/>
      <w:marRight w:val="0"/>
      <w:marTop w:val="0"/>
      <w:marBottom w:val="0"/>
      <w:divBdr>
        <w:top w:val="none" w:sz="0" w:space="0" w:color="auto"/>
        <w:left w:val="none" w:sz="0" w:space="0" w:color="auto"/>
        <w:bottom w:val="none" w:sz="0" w:space="0" w:color="auto"/>
        <w:right w:val="none" w:sz="0" w:space="0" w:color="auto"/>
      </w:divBdr>
    </w:div>
    <w:div w:id="950815804">
      <w:bodyDiv w:val="1"/>
      <w:marLeft w:val="0"/>
      <w:marRight w:val="0"/>
      <w:marTop w:val="0"/>
      <w:marBottom w:val="0"/>
      <w:divBdr>
        <w:top w:val="none" w:sz="0" w:space="0" w:color="auto"/>
        <w:left w:val="none" w:sz="0" w:space="0" w:color="auto"/>
        <w:bottom w:val="none" w:sz="0" w:space="0" w:color="auto"/>
        <w:right w:val="none" w:sz="0" w:space="0" w:color="auto"/>
      </w:divBdr>
    </w:div>
    <w:div w:id="1723363853">
      <w:bodyDiv w:val="1"/>
      <w:marLeft w:val="0"/>
      <w:marRight w:val="0"/>
      <w:marTop w:val="0"/>
      <w:marBottom w:val="0"/>
      <w:divBdr>
        <w:top w:val="none" w:sz="0" w:space="0" w:color="auto"/>
        <w:left w:val="none" w:sz="0" w:space="0" w:color="auto"/>
        <w:bottom w:val="none" w:sz="0" w:space="0" w:color="auto"/>
        <w:right w:val="none" w:sz="0" w:space="0" w:color="auto"/>
      </w:divBdr>
    </w:div>
    <w:div w:id="1833139749">
      <w:bodyDiv w:val="1"/>
      <w:marLeft w:val="0"/>
      <w:marRight w:val="0"/>
      <w:marTop w:val="0"/>
      <w:marBottom w:val="0"/>
      <w:divBdr>
        <w:top w:val="none" w:sz="0" w:space="0" w:color="auto"/>
        <w:left w:val="none" w:sz="0" w:space="0" w:color="auto"/>
        <w:bottom w:val="none" w:sz="0" w:space="0" w:color="auto"/>
        <w:right w:val="none" w:sz="0" w:space="0" w:color="auto"/>
      </w:divBdr>
    </w:div>
    <w:div w:id="1843929182">
      <w:bodyDiv w:val="1"/>
      <w:marLeft w:val="0"/>
      <w:marRight w:val="0"/>
      <w:marTop w:val="0"/>
      <w:marBottom w:val="0"/>
      <w:divBdr>
        <w:top w:val="none" w:sz="0" w:space="0" w:color="auto"/>
        <w:left w:val="none" w:sz="0" w:space="0" w:color="auto"/>
        <w:bottom w:val="none" w:sz="0" w:space="0" w:color="auto"/>
        <w:right w:val="none" w:sz="0" w:space="0" w:color="auto"/>
      </w:divBdr>
    </w:div>
    <w:div w:id="1914074205">
      <w:bodyDiv w:val="1"/>
      <w:marLeft w:val="0"/>
      <w:marRight w:val="0"/>
      <w:marTop w:val="0"/>
      <w:marBottom w:val="0"/>
      <w:divBdr>
        <w:top w:val="none" w:sz="0" w:space="0" w:color="auto"/>
        <w:left w:val="none" w:sz="0" w:space="0" w:color="auto"/>
        <w:bottom w:val="none" w:sz="0" w:space="0" w:color="auto"/>
        <w:right w:val="none" w:sz="0" w:space="0" w:color="auto"/>
      </w:divBdr>
    </w:div>
    <w:div w:id="213937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A70AF-D7C7-4EDD-8B87-0EEBFB5C4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2610</Words>
  <Characters>14361</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11</cp:revision>
  <cp:lastPrinted>2015-01-13T22:26:00Z</cp:lastPrinted>
  <dcterms:created xsi:type="dcterms:W3CDTF">2015-01-12T17:37:00Z</dcterms:created>
  <dcterms:modified xsi:type="dcterms:W3CDTF">2015-01-13T22:28:00Z</dcterms:modified>
</cp:coreProperties>
</file>