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rtl w:val="0"/>
        </w:rPr>
        <w:t xml:space="preserve">Modifications de lois :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bl>
      <w:tblPr>
        <w:tblStyle w:val="Table1"/>
        <w:bidiVisual w:val="0"/>
        <w:tblW w:w="9135.0" w:type="dxa"/>
        <w:jc w:val="left"/>
        <w:tblInd w:w="-134.0" w:type="dxa"/>
        <w:tblBorders>
          <w:top w:color="000000" w:space="0" w:val="nil" w:sz="0"/>
          <w:left w:color="000000" w:space="0" w:val="nil" w:sz="0"/>
          <w:bottom w:color="000000" w:space="0" w:val="nil" w:sz="0"/>
          <w:right w:color="000000" w:space="0" w:val="nil" w:sz="0"/>
          <w:insideH w:color="000000" w:space="0" w:val="nil" w:sz="0"/>
          <w:insideV w:color="000000" w:space="0" w:val="nil" w:sz="0"/>
        </w:tblBorders>
        <w:tblLayout w:type="fixed"/>
        <w:tblLook w:val="0600"/>
      </w:tblPr>
      <w:tblGrid>
        <w:gridCol w:w="9135"/>
        <w:tblGridChange w:id="0">
          <w:tblGrid>
            <w:gridCol w:w="9135"/>
          </w:tblGrid>
        </w:tblGridChange>
      </w:tblGrid>
      <w:tr>
        <w:tc>
          <w:tcPr>
            <w:shd w:fill="ffffff"/>
            <w:tcMar>
              <w:top w:w="60.0" w:type="dxa"/>
              <w:left w:w="60.0" w:type="dxa"/>
              <w:bottom w:w="60.0" w:type="dxa"/>
              <w:right w:w="60.0" w:type="dxa"/>
            </w:tcMar>
          </w:tcPr>
          <w:p w:rsidP="00000000" w:rsidRPr="00000000" w:rsidR="00000000" w:rsidDel="00000000" w:rsidRDefault="00000000">
            <w:pPr>
              <w:spacing w:lineRule="auto" w:before="180"/>
              <w:contextualSpacing w:val="0"/>
            </w:pPr>
            <w:r w:rsidRPr="00000000" w:rsidR="00000000" w:rsidDel="00000000">
              <w:rPr>
                <w:b w:val="1"/>
                <w:sz w:val="18"/>
                <w:highlight w:val="white"/>
                <w:rtl w:val="0"/>
              </w:rPr>
              <w:t xml:space="preserve">Loi </w:t>
            </w:r>
            <w:hyperlink r:id="rId5">
              <w:r w:rsidRPr="00000000" w:rsidR="00000000" w:rsidDel="00000000">
                <w:rPr>
                  <w:b w:val="1"/>
                  <w:sz w:val="18"/>
                  <w:highlight w:val="white"/>
                  <w:u w:val="single"/>
                  <w:rtl w:val="0"/>
                </w:rPr>
                <w:t xml:space="preserve">LEBOULET Julien</w:t>
              </w:r>
            </w:hyperlink>
            <w:r w:rsidRPr="00000000" w:rsidR="00000000" w:rsidDel="00000000">
              <w:rPr>
                <w:b w:val="1"/>
                <w:sz w:val="18"/>
                <w:highlight w:val="white"/>
                <w:rtl w:val="0"/>
              </w:rPr>
              <w:t xml:space="preserve"> N° 212 (provisoire) :  </w:t>
            </w:r>
          </w:p>
        </w:tc>
      </w:tr>
      <w:tr>
        <w:tc>
          <w:tcPr>
            <w:shd w:fill="ffffff"/>
            <w:tcMar>
              <w:top w:w="60.0" w:type="dxa"/>
              <w:left w:w="220.0" w:type="dxa"/>
              <w:bottom w:w="60.0" w:type="dxa"/>
              <w:right w:w="60.0" w:type="dxa"/>
            </w:tcMar>
          </w:tcPr>
          <w:p w:rsidP="00000000" w:rsidRPr="00000000" w:rsidR="00000000" w:rsidDel="00000000" w:rsidRDefault="00000000">
            <w:pPr>
              <w:spacing w:lineRule="auto" w:before="180"/>
              <w:contextualSpacing w:val="0"/>
            </w:pPr>
            <w:r w:rsidRPr="00000000" w:rsidR="00000000" w:rsidDel="00000000">
              <w:rPr>
                <w:b w:val="1"/>
                <w:color w:val="464646"/>
                <w:sz w:val="18"/>
                <w:highlight w:val="white"/>
                <w:rtl w:val="0"/>
              </w:rPr>
              <w:t xml:space="preserve">Réglementation du système bancaire</w:t>
            </w:r>
          </w:p>
        </w:tc>
      </w:tr>
      <w:tr>
        <w:tc>
          <w:tcPr>
            <w:shd w:fill="ffffff"/>
            <w:tcMar>
              <w:top w:w="60.0" w:type="dxa"/>
              <w:left w:w="300.0" w:type="dxa"/>
              <w:bottom w:w="60.0" w:type="dxa"/>
              <w:right w:w="60.0" w:type="dxa"/>
            </w:tcMar>
          </w:tcPr>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(Ecrite par Christophe Dolitor_, en remplacement des lois HARNER Sacha N°197, GRTLI Laurent N° 40, FILTER vivaldi N° 44 et 45, après approbation par référendum le 13 mai 2012)</w:t>
            </w:r>
          </w:p>
          <w:p w:rsidP="00000000" w:rsidRPr="00000000" w:rsidR="00000000" w:rsidDel="00000000" w:rsidRDefault="00000000">
            <w:pPr>
              <w:spacing w:lineRule="auto" w:before="180"/>
              <w:contextualSpacing w:val="0"/>
            </w:pPr>
            <w:r w:rsidRPr="00000000" w:rsidR="00000000" w:rsidDel="00000000">
              <w:rPr>
                <w:rtl w:val="0"/>
              </w:rPr>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Modifiée par Alliandre Manetheren le 31 octobre 2014 sous le gouvernement Julien Leboulett avec approbation par référendum à 78% "Pour".</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ARTICLE 1 – LE PRET</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Partie 1 – Engagement du client</w:t>
            </w:r>
          </w:p>
          <w:p w:rsidP="00000000" w:rsidRPr="00000000" w:rsidR="00000000" w:rsidDel="00000000" w:rsidRDefault="00000000">
            <w:pPr>
              <w:spacing w:lineRule="auto" w:before="180"/>
              <w:contextualSpacing w:val="0"/>
            </w:pPr>
            <w:r w:rsidRPr="00000000" w:rsidR="00000000" w:rsidDel="00000000">
              <w:rPr>
                <w:rtl w:val="0"/>
              </w:rPr>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Tout client ayant contracté un prêt est dans l'obligation de le rembourser.</w:t>
            </w:r>
          </w:p>
          <w:p w:rsidP="00000000" w:rsidRPr="00000000" w:rsidR="00000000" w:rsidDel="00000000" w:rsidRDefault="00000000">
            <w:pPr>
              <w:spacing w:lineRule="auto" w:before="180"/>
              <w:contextualSpacing w:val="0"/>
            </w:pPr>
            <w:r w:rsidRPr="00000000" w:rsidR="00000000" w:rsidDel="00000000">
              <w:rPr>
                <w:rtl w:val="0"/>
              </w:rPr>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Preuves requises :</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 Imprime écran prouvant que le client a bien fait une demande de prêt.</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 Imprime écran prouvant que le banquier a bien tenté de RECUPERER le prêt (après avoir cliqué sur "récupérer le prêt").</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 Preuve de non-assurance chez un assureur.</w:t>
            </w:r>
          </w:p>
          <w:p w:rsidP="00000000" w:rsidRPr="00000000" w:rsidR="00000000" w:rsidDel="00000000" w:rsidRDefault="00000000">
            <w:pPr>
              <w:spacing w:lineRule="auto" w:before="180"/>
              <w:contextualSpacing w:val="0"/>
            </w:pPr>
            <w:r w:rsidRPr="00000000" w:rsidR="00000000" w:rsidDel="00000000">
              <w:rPr>
                <w:rtl w:val="0"/>
              </w:rPr>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Peines requises : Remboursement total du prêt plus 10%. En cas de récidive, s’ajouteront : 1 heure de prison et 300 euros d’amende.</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Partie 2 - Engagement du Banquier</w:t>
            </w:r>
          </w:p>
          <w:p w:rsidP="00000000" w:rsidRPr="00000000" w:rsidR="00000000" w:rsidDel="00000000" w:rsidRDefault="00000000">
            <w:pPr>
              <w:spacing w:lineRule="auto" w:before="180"/>
              <w:contextualSpacing w:val="0"/>
            </w:pPr>
            <w:r w:rsidRPr="00000000" w:rsidR="00000000" w:rsidDel="00000000">
              <w:rPr>
                <w:rtl w:val="0"/>
              </w:rPr>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Alinéa 1 : A partir du moment où le Banquier a accepté une demande de prêt, il s’engage à respecter sa date d’échéance.</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Alinéa 2 : Si le Banquier souhaite mettre fin au prêt, il devra en faire la demande écrite à son client. Il devra ensuite attendre son accord.</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Preuve requise : Imprime écran du journal de bord prouvant que le Banquier a mis fin au prêt prématurément.</w:t>
            </w:r>
          </w:p>
          <w:p w:rsidP="00000000" w:rsidRPr="00000000" w:rsidR="00000000" w:rsidDel="00000000" w:rsidRDefault="00000000">
            <w:pPr>
              <w:spacing w:lineRule="auto" w:before="180"/>
              <w:contextualSpacing w:val="0"/>
            </w:pPr>
            <w:r w:rsidRPr="00000000" w:rsidR="00000000" w:rsidDel="00000000">
              <w:rPr>
                <w:b w:val="1"/>
                <w:color w:val="ff0000"/>
                <w:sz w:val="18"/>
                <w:highlight w:val="white"/>
                <w:rtl w:val="0"/>
              </w:rPr>
              <w:t xml:space="preserve">Peines requises : Dédommagement de 50% du montant initial du prêt. En cas de récidive, s’ajouteront : 1 heure de prison et 300 euros d’amende.</w:t>
            </w:r>
            <w:r w:rsidRPr="00000000" w:rsidR="00000000" w:rsidDel="00000000">
              <w:rPr>
                <w:color w:val="ff0000"/>
                <w:sz w:val="18"/>
                <w:highlight w:val="white"/>
                <w:rtl w:val="0"/>
              </w:rPr>
              <w:t xml:space="preserve"> </w:t>
            </w:r>
            <w:r w:rsidRPr="00000000" w:rsidR="00000000" w:rsidDel="00000000">
              <w:rPr>
                <w:b w:val="1"/>
                <w:color w:val="ff0000"/>
                <w:sz w:val="18"/>
                <w:highlight w:val="white"/>
                <w:rtl w:val="0"/>
              </w:rPr>
              <w:t xml:space="preserve">(suppression)</w:t>
            </w:r>
          </w:p>
          <w:p w:rsidP="00000000" w:rsidRPr="00000000" w:rsidR="00000000" w:rsidDel="00000000" w:rsidRDefault="00000000">
            <w:pPr>
              <w:spacing w:lineRule="auto" w:before="180"/>
              <w:contextualSpacing w:val="0"/>
            </w:pPr>
            <w:r w:rsidRPr="00000000" w:rsidR="00000000" w:rsidDel="00000000">
              <w:rPr>
                <w:b w:val="1"/>
                <w:color w:val="464646"/>
                <w:sz w:val="18"/>
                <w:highlight w:val="white"/>
                <w:rtl w:val="0"/>
              </w:rPr>
              <w:t xml:space="preserve">Preuves requises :</w:t>
            </w:r>
          </w:p>
          <w:p w:rsidP="00000000" w:rsidRPr="00000000" w:rsidR="00000000" w:rsidDel="00000000" w:rsidRDefault="00000000">
            <w:pPr>
              <w:spacing w:lineRule="auto" w:before="180"/>
              <w:contextualSpacing w:val="0"/>
            </w:pPr>
            <w:r w:rsidRPr="00000000" w:rsidR="00000000" w:rsidDel="00000000">
              <w:rPr>
                <w:b w:val="1"/>
                <w:color w:val="ff0000"/>
                <w:sz w:val="18"/>
                <w:highlight w:val="white"/>
                <w:rtl w:val="0"/>
              </w:rPr>
              <w:t xml:space="preserve">- Imprime écran du prêt dans la banque centrale pour connaitre l'échéance.</w:t>
            </w:r>
          </w:p>
          <w:p w:rsidP="00000000" w:rsidRPr="00000000" w:rsidR="00000000" w:rsidDel="00000000" w:rsidRDefault="00000000">
            <w:pPr>
              <w:spacing w:lineRule="auto" w:before="180"/>
              <w:contextualSpacing w:val="0"/>
            </w:pPr>
            <w:r w:rsidRPr="00000000" w:rsidR="00000000" w:rsidDel="00000000">
              <w:rPr>
                <w:b w:val="1"/>
                <w:color w:val="ff0000"/>
                <w:sz w:val="18"/>
                <w:highlight w:val="white"/>
                <w:rtl w:val="0"/>
              </w:rPr>
              <w:t xml:space="preserve">- Imprime écran prouvant que le banquier a bien récupéré le prêt.</w:t>
            </w:r>
            <w:r w:rsidRPr="00000000" w:rsidR="00000000" w:rsidDel="00000000">
              <w:rPr>
                <w:color w:val="ff0000"/>
                <w:sz w:val="18"/>
                <w:highlight w:val="white"/>
                <w:rtl w:val="0"/>
              </w:rPr>
              <w:t xml:space="preserve"> </w:t>
            </w:r>
            <w:r w:rsidRPr="00000000" w:rsidR="00000000" w:rsidDel="00000000">
              <w:rPr>
                <w:b w:val="1"/>
                <w:color w:val="ff0000"/>
                <w:sz w:val="18"/>
                <w:highlight w:val="white"/>
                <w:rtl w:val="0"/>
              </w:rPr>
              <w:t xml:space="preserve">(suppression)</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Peines requises : Dédommagement de 100% du montant initial du prêt.</w:t>
            </w:r>
            <w:r w:rsidRPr="00000000" w:rsidR="00000000" w:rsidDel="00000000">
              <w:rPr>
                <w:b w:val="1"/>
                <w:color w:val="464646"/>
                <w:sz w:val="18"/>
                <w:highlight w:val="white"/>
                <w:rtl w:val="0"/>
              </w:rPr>
              <w:t xml:space="preserve"> </w:t>
            </w:r>
            <w:r w:rsidRPr="00000000" w:rsidR="00000000" w:rsidDel="00000000">
              <w:rPr>
                <w:b w:val="1"/>
                <w:color w:val="ff0000"/>
                <w:sz w:val="18"/>
                <w:highlight w:val="white"/>
                <w:rtl w:val="0"/>
              </w:rPr>
              <w:t xml:space="preserve">1 heure de prison et 300 euros d’amende. </w:t>
            </w:r>
          </w:p>
          <w:p w:rsidP="00000000" w:rsidRPr="00000000" w:rsidR="00000000" w:rsidDel="00000000" w:rsidRDefault="00000000">
            <w:pPr>
              <w:spacing w:lineRule="auto" w:before="180"/>
              <w:contextualSpacing w:val="0"/>
            </w:pPr>
            <w:r w:rsidRPr="00000000" w:rsidR="00000000" w:rsidDel="00000000">
              <w:rPr>
                <w:rtl w:val="0"/>
              </w:rPr>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ARTICLE 2 – LE PLACEMENT</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Partie 1 – Engagement du client</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Alinéa 1 : Tout client, en réalisant une demande de placement, s'engage à respecter la durée initialement prévue de ce placement après son acceptation par le banquier.</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En cas de reprise du placement, sans avoir préalablement prévenu le banquier, celui-ci pourra demander à obtenir le dédommagement des intérêts dus.</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Alinéa 2 : Le banquier devra prendre une capture d’écran de sa banque centrale dès la création du placement pour connaitre la fin théorique du placement demandé par le client.</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Alinéa 3 : Le client ayant besoin de son argent pourra demander par l’intermédiaire de la messagerie, et uniquement par celui-ci, la récupération du placement (il gardera une capture d’écran du message envoyé au banquier). Le banquier aura dès lors une année stereopolienne afin de rassembler les fonds.</w:t>
            </w:r>
          </w:p>
          <w:p w:rsidP="00000000" w:rsidRPr="00000000" w:rsidR="00000000" w:rsidDel="00000000" w:rsidRDefault="00000000">
            <w:pPr>
              <w:spacing w:lineRule="auto" w:before="180"/>
              <w:contextualSpacing w:val="0"/>
            </w:pPr>
            <w:r w:rsidRPr="00000000" w:rsidR="00000000" w:rsidDel="00000000">
              <w:rPr>
                <w:rtl w:val="0"/>
              </w:rPr>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Preuves requises :</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 Imprime écran du message du banquier autorisant la récupération du prêt (ou imprime écran du message du client demandant la récupération du prêt).</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 Imprime écran du placement dans la banque centrale pour connaitre l'échéance.</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 Imprime écran du journal de bord du banquier montrant la récupération du placement par le client.</w:t>
            </w:r>
          </w:p>
          <w:p w:rsidP="00000000" w:rsidRPr="00000000" w:rsidR="00000000" w:rsidDel="00000000" w:rsidRDefault="00000000">
            <w:pPr>
              <w:spacing w:lineRule="auto" w:before="180"/>
              <w:contextualSpacing w:val="0"/>
            </w:pPr>
            <w:r w:rsidRPr="00000000" w:rsidR="00000000" w:rsidDel="00000000">
              <w:rPr>
                <w:rtl w:val="0"/>
              </w:rPr>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Preuves requises : </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 Dédommagement de 100% des intérêts dus montant dus,</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- 1 heure de prison, </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- 150 euros d’amende.</w:t>
            </w:r>
          </w:p>
          <w:p w:rsidP="00000000" w:rsidRPr="00000000" w:rsidR="00000000" w:rsidDel="00000000" w:rsidRDefault="00000000">
            <w:pPr>
              <w:spacing w:lineRule="auto" w:before="180"/>
              <w:contextualSpacing w:val="0"/>
            </w:pPr>
            <w:r w:rsidRPr="00000000" w:rsidR="00000000" w:rsidDel="00000000">
              <w:rPr>
                <w:rtl w:val="0"/>
              </w:rPr>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Partie 2 – Engagement du banquier</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Alinéa 1 : Tout banquier acceptant un placement s’engage à le rembourser.</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Preuves requises :</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 Imprime écran du message indiquant le non remboursement du placement</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 Preuve de non-assurance chez un assureur</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Peines requises : Remboursement du placement + 10%</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Alinéa 2 : Le banquier s’engage à ne pas interrompre le placement avant son échéance, à moins qu’il puisse justifier cette interruption (remboursement avant faillite, etc.). Ce pourquoi le juge en charge de l’instruction devra demander au banquier la/les raison(s) de cette interruption.</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Preuves requises :</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 Imprime écran du journal de bord avec le nom du banquier et le montant du placement interrompu.</w:t>
            </w:r>
          </w:p>
          <w:p w:rsidP="00000000" w:rsidRPr="00000000" w:rsidR="00000000" w:rsidDel="00000000" w:rsidRDefault="00000000">
            <w:pPr>
              <w:spacing w:lineRule="auto" w:before="180"/>
              <w:contextualSpacing w:val="0"/>
            </w:pPr>
            <w:r w:rsidRPr="00000000" w:rsidR="00000000" w:rsidDel="00000000">
              <w:rPr>
                <w:color w:val="464646"/>
                <w:sz w:val="18"/>
                <w:highlight w:val="white"/>
                <w:rtl w:val="0"/>
              </w:rPr>
              <w:t xml:space="preserve">Peines requises : Dédommagement à hauteur de 15% du montant du placement interrompu.</w:t>
            </w:r>
          </w:p>
        </w:tc>
      </w:tr>
      <w:tr>
        <w:trPr>
          <w:trHeight w:val="660" w:hRule="atLeast"/>
        </w:trPr>
        <w:tc>
          <w:tcPr>
            <w:shd w:fill="ffffff"/>
            <w:tcMar>
              <w:top w:w="60.0" w:type="dxa"/>
              <w:left w:w="300.0" w:type="dxa"/>
              <w:bottom w:w="60.0" w:type="dxa"/>
              <w:right w:w="60.0" w:type="dxa"/>
            </w:tcMar>
          </w:tcPr>
          <w:p w:rsidP="00000000" w:rsidRPr="00000000" w:rsidR="00000000" w:rsidDel="00000000" w:rsidRDefault="00000000">
            <w:pPr>
              <w:spacing w:lineRule="auto" w:before="180"/>
              <w:contextualSpacing w:val="0"/>
            </w:pPr>
            <w:r w:rsidRPr="00000000" w:rsidR="00000000" w:rsidDel="00000000">
              <w:rPr>
                <w:b w:val="1"/>
                <w:color w:val="464646"/>
                <w:sz w:val="18"/>
                <w:highlight w:val="white"/>
                <w:rtl w:val="0"/>
              </w:rPr>
              <w:t xml:space="preserve">Peines requises : </w:t>
            </w:r>
            <w:r w:rsidRPr="00000000" w:rsidR="00000000" w:rsidDel="00000000">
              <w:rPr>
                <w:color w:val="464646"/>
                <w:sz w:val="18"/>
                <w:highlight w:val="white"/>
                <w:rtl w:val="0"/>
              </w:rPr>
              <w:t xml:space="preserve">Voir ci-dessus</w:t>
            </w:r>
          </w:p>
        </w:tc>
      </w:tr>
    </w:tbl>
    <w:p w:rsidP="00000000" w:rsidRPr="00000000" w:rsidR="00000000" w:rsidDel="00000000" w:rsidRDefault="00000000">
      <w:pPr>
        <w:contextualSpacing w:val="0"/>
      </w:pPr>
      <w:r w:rsidRPr="00000000" w:rsidR="00000000" w:rsidDel="00000000">
        <w:rPr>
          <w:highlight w:val="white"/>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highlight w:val="white"/>
          <w:rtl w:val="0"/>
        </w:rPr>
        <w:t xml:space="preserve"> </w:t>
      </w:r>
    </w:p>
    <w:p w:rsidP="00000000" w:rsidRPr="00000000" w:rsidR="00000000" w:rsidDel="00000000" w:rsidRDefault="00000000">
      <w:pPr>
        <w:contextualSpacing w:val="0"/>
      </w:pPr>
      <w:r w:rsidRPr="00000000" w:rsidR="00000000" w:rsidDel="00000000">
        <w:rPr>
          <w:highlight w:val="white"/>
          <w:rtl w:val="0"/>
        </w:rPr>
        <w:t xml:space="preserve"> </w:t>
      </w:r>
    </w:p>
    <w:tbl>
      <w:tblPr>
        <w:tblStyle w:val="Table3"/>
        <w:bidiVisual w:val="0"/>
        <w:tblW w:w="9200.0" w:type="dxa"/>
        <w:jc w:val="left"/>
        <w:tblBorders>
          <w:top w:color="000000" w:space="0" w:val="nil" w:sz="0"/>
          <w:left w:color="000000" w:space="0" w:val="nil" w:sz="0"/>
          <w:bottom w:color="000000" w:space="0" w:val="nil" w:sz="0"/>
          <w:right w:color="000000" w:space="0" w:val="nil" w:sz="0"/>
          <w:insideH w:color="000000" w:space="0" w:val="nil" w:sz="0"/>
          <w:insideV w:color="000000" w:space="0" w:val="nil" w:sz="0"/>
        </w:tblBorders>
        <w:tblLayout w:type="fixed"/>
        <w:tblLook w:val="0600"/>
      </w:tblPr>
      <w:tblGrid>
        <w:gridCol w:w="9200"/>
        <w:tblGridChange w:id="0">
          <w:tblGrid>
            <w:gridCol w:w="9200"/>
          </w:tblGrid>
        </w:tblGridChange>
      </w:tblGrid>
      <w:tr>
        <w:tc>
          <w:tcPr>
            <w:tcMar>
              <w:top w:w="100.0" w:type="dxa"/>
              <w:left w:w="1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tl w:val="0"/>
              </w:rPr>
            </w:r>
          </w:p>
        </w:tc>
      </w:tr>
      <w:tr>
        <w:trPr>
          <w:trHeight w:val="900" w:hRule="atLeast"/>
        </w:trPr>
        <w:tc>
          <w:tcPr>
            <w:tcMar>
              <w:top w:w="100.0" w:type="dxa"/>
              <w:left w:w="22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tl w:val="0"/>
              </w:rPr>
            </w:r>
          </w:p>
        </w:tc>
      </w:tr>
      <w:tr>
        <w:tc>
          <w:tcPr>
            <w:tcMar>
              <w:top w:w="100.0" w:type="dxa"/>
              <w:left w:w="3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tl w:val="0"/>
              </w:rPr>
            </w:r>
          </w:p>
        </w:tc>
      </w:tr>
      <w:tr>
        <w:tc>
          <w:tcPr>
            <w:tcMar>
              <w:top w:w="100.0" w:type="dxa"/>
              <w:left w:w="3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line="360" w:before="140"/>
              <w:contextualSpacing w:val="0"/>
            </w:pPr>
            <w:r w:rsidRPr="00000000" w:rsidR="00000000" w:rsidDel="00000000">
              <w:rPr>
                <w:rFonts w:cs="Verdana" w:hAnsi="Verdana" w:eastAsia="Verdana" w:ascii="Verdana"/>
                <w:b w:val="1"/>
                <w:color w:val="464646"/>
                <w:sz w:val="18"/>
                <w:highlight w:val="white"/>
                <w:rtl w:val="0"/>
              </w:rPr>
              <w:t xml:space="preserve">Liste des articles de loi du code E :</w:t>
            </w:r>
          </w:p>
          <w:tbl>
            <w:tblPr>
              <w:tblStyle w:val="Table2"/>
              <w:bidiVisual w:val="0"/>
              <w:tblW w:w="9200.0" w:type="dxa"/>
              <w:jc w:val="left"/>
              <w:tblBorders>
                <w:top w:color="000000" w:space="0" w:val="nil" w:sz="0"/>
                <w:left w:color="000000" w:space="0" w:val="nil" w:sz="0"/>
                <w:bottom w:color="000000" w:space="0" w:val="nil" w:sz="0"/>
                <w:right w:color="000000" w:space="0" w:val="nil" w:sz="0"/>
                <w:insideH w:color="000000" w:space="0" w:val="nil" w:sz="0"/>
                <w:insideV w:color="000000" w:space="0" w:val="nil" w:sz="0"/>
              </w:tblBorders>
              <w:tblLayout w:type="fixed"/>
              <w:tblLook w:val="0600"/>
            </w:tblPr>
            <w:tblGrid>
              <w:gridCol w:w="9200"/>
              <w:tblGridChange w:id="0">
                <w:tblGrid>
                  <w:gridCol w:w="9200"/>
                </w:tblGrid>
              </w:tblGridChange>
            </w:tblGrid>
            <w:tr>
              <w:tc>
                <w:tcPr>
                  <w:tcMar>
                    <w:top w:w="100.0" w:type="dxa"/>
                    <w:left w:w="1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Loi </w:t>
                  </w:r>
                  <w:hyperlink r:id="rId6">
                    <w:r w:rsidRPr="00000000" w:rsidR="00000000" w:rsidDel="00000000">
                      <w:rPr>
                        <w:rFonts w:cs="Verdana" w:hAnsi="Verdana" w:eastAsia="Verdana" w:ascii="Verdana"/>
                        <w:b w:val="1"/>
                        <w:color w:val="0290bf"/>
                        <w:sz w:val="18"/>
                        <w:highlight w:val="white"/>
                        <w:u w:val="single"/>
                        <w:rtl w:val="0"/>
                      </w:rPr>
                      <w:t xml:space="preserve">LEBOULETT Julien</w:t>
                    </w:r>
                  </w:hyperlink>
                  <w:r w:rsidRPr="00000000" w:rsidR="00000000" w:rsidDel="00000000">
                    <w:rPr>
                      <w:rFonts w:cs="Verdana" w:hAnsi="Verdana" w:eastAsia="Verdana" w:ascii="Verdana"/>
                      <w:b w:val="1"/>
                      <w:color w:val="464646"/>
                      <w:sz w:val="18"/>
                      <w:highlight w:val="white"/>
                      <w:rtl w:val="0"/>
                    </w:rPr>
                    <w:t xml:space="preserve"> N° 250 (adoptée) :</w:t>
                  </w:r>
                  <w:r w:rsidRPr="00000000" w:rsidR="00000000" w:rsidDel="00000000">
                    <w:rPr>
                      <w:rtl w:val="0"/>
                    </w:rPr>
                  </w:r>
                </w:p>
              </w:tc>
            </w:tr>
            <w:tr>
              <w:tc>
                <w:tcPr>
                  <w:tcMar>
                    <w:top w:w="100.0" w:type="dxa"/>
                    <w:left w:w="22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Réglementation de l'imposition stéréopolienne</w:t>
                  </w:r>
                  <w:r w:rsidRPr="00000000" w:rsidR="00000000" w:rsidDel="00000000">
                    <w:rPr>
                      <w:rtl w:val="0"/>
                    </w:rPr>
                  </w:r>
                </w:p>
              </w:tc>
            </w:tr>
            <w:tr>
              <w:tc>
                <w:tcPr>
                  <w:tcMar>
                    <w:top w:w="100.0" w:type="dxa"/>
                    <w:left w:w="3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Loi créée le 13/07/14 par Julien Leboulett sous la présidence de William Blake_ en remplacement des lois N° 81 et N° 84 après approbation par référendum de 78% "Pour"</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Préambule: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Payer ses impôts est un devoir pour chaque stéréopoliens. Toutefois, dans un soucis de justice fiscale, l'impôt sera différent selon certaines situations.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L'imposition stéréopoliennne est régit par les règles fondamentales suivantes quelques soient les situations.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Article 1: Les fondamentaux de l'imposition</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1: Entre 23h45 et 01h00, les contrôles sont interdits.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2: 15 minutes de délais sont accordées aux pols au moment de leur connexion au jeu afin de déclarer leurs impôts.</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3: Les pols ayant moins 3500 euros de richesse totale* seront dispensés de payer l'impôt à condition de déclarer leur richesse totale.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(*richesse totale = Compte, placement, patrimoine)</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4: Un même inspecteur fiscal ne pourra pas contrôler un même pol durant la même année.</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5: Dans le cadre des "IMPÔTS NON DÉCLARÉS", un pol pourra être contrôlé la même année par différents Inspecteurs Fiscaux jusqu'à la régularisation du paiement des impôts. L'amende pour ce type d'infraction ne pourra pas dépasser les 100 euros.</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6: Une amende pour IMPÔTS DÉCLARÉS MAIS NON PAYES (hors pols ayant moins de 3500 euros de richesse totale) correspondra à 2 fois le montant dû.</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7: Dans le cadre des "ERREUR DE DÉCLARATION" ou des "IMPÔTS DÉCLARÉS MAIS NON PAYES", un pol ne pourra pas être contrôlé la même année par différents Inspecteurs Fiscaux.</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8: Une marge de 50 euros de différence est autorisée entre le montant dû et le montant payé avant d'être considéré comme une ERREUR DE DÉCLARATION.</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9: Une amende pour ERREUR DE DÉCLARATION correspondra à 2 fois la différence entre le montant dû et le montant payé.</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Formule de calcul de l’impôt: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Montant dû - Montant payé</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Si résultat supérieur à 50 euros: Amende= Différence x2</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Article 2: Démarches pour la déclaration d'impôts des pols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1: Pols ayant moins de 3500 euros de richesse totale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Ils devront: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Respecter les délais pour déclarer leurs impôts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Déclarer leurs impôts sans les payer</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2: Pols ayant plus de 3500 euros de richesse totale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Ils devront: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Respecter les délais pour déclarer leurs impôts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Déclarer leurs impôts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Respecter le montant dû et les payer.</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3: Les Banquiers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Ils devront: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Séparer leur richesse personnelle et les placements de leurs clients en indiquant le montant en haut de leur profil pour que les Inspecteurs fiscaux puissent le vérifier</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Respecter les délais pour déclarer leurs impôts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Déclarer leurs impôts en ne comptant que leur richesse personnelle et les payer</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Respecter le montant dû et les payer</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4: Les Maîtres des jeux</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Ils devront: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Soustraire 70% du montant du "JACKPOT PRIVE" en cours à leur richesse et indiquer le montant de celui-ci en haut de leur profil.</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Formule de calcul de la somme à soustraire: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(Montant JACKPOT PRIVE x 70) / 100 = Somme à soustraire à la cagnotte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Somme à soustraire à richesse = Richesse - Somme à soustraire à la cagnotte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-Respecter les délais pour déclarer leurs impôts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-Déclarer leurs impôts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-Respecter le montant dû et les payer</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Article 3: Démarches des contrôles à effecteur pour les Inspecteurs Fiscaux</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1: Pour les pols moins de 3500 euros de richesse totale</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Ils devront: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-Respecter les délais de contrôles.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-Vérifier que les pols aient déclaré leurs impôts.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En cas de non déclaration, les Inspecteurs Fiscaux devront envoyer un courrier aux pols afin de régulariser la situation.</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Si malgré l'avertissement le pol ne déclare pas ses impôts dans les 24 heures suivantes, seule une amende de 100 euros pour IMPÔTS NON DÉCLARÉS peut lui être infligée.</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Preuves à fournir:</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Impression Écran du Journal de Bord.</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Impression Écran du Message envoyé au pol après l'envoi de celui-ci en cas de poursuites.</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2: Pour les pols ayant plus de 3500 euros de richesse totale</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Ils devront: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Respecter les délais de contrôles.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Vérifier que les pols aient déclaré leurs impôts.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Sanctionner les pols en fonction des règles définies dans l'Article 1.</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Preuves requises: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Impression écran du Journal de Bord</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Impression écran de la feuille fiscale fournit par un autre IF</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3: Pour les Banquiers</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Ils devront: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Respecter les délais de contrôles.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Vérifier les profils des banquiers pour vérifier les sommes déclarées entre la richesse personnelle et la somme des placements.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Vérifier que les pols aient déclaré leurs impôts.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Sanctionner les pols en fonction des règles définies dans l'Article 1.</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Preuves requises: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Impression écran du journal de bord</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Impression écran de la feuille fiscale fournit par un autre IF</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Impression écran de la Banque Centrale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Impression écran du Profil du pol</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4: Pour les Maîtres des jeux</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Respecter les délais de contrôles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Vérifier les profils des maîtres des jeux pour vérifier les montants des cagnottes à déduire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Vérifier que les pols aient déclaré leurs impôts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Sanctionner les pols en fonction des règles définies dans l'Article 1</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Preuves requises: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Impression écran du journal de bord</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Impression écran de la feuille fiscale fournit par un autre IF</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Impression écran de la page métier montrant le Jackpot Privé</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 Impression écran du Profil du pol</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Peines: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*(1) Dans le cadre d’un contrôle se passant durant les heures interdites , ne respectant pas le délai de 15 minutes ou d’un oubli d’avertissement d’un Pol possédant moins de 3500 euros de richesse : Remboursement de l'amende+ 150 euros d'amende+ 1h de prison</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*(2) Dans le cadre d’une amende sur un Pol possédant moins de 3500 euros , d’une deuxième amende la même année (non respect article1-alinéa7  ) ou d’une amende ne respectant pas l’article 1, alinéa 5  : Remboursement de l’amende + 300 euros d’amende + 3 heures de prison</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*Dans le cadre d’une amende pour impôts déclarés mais non payés ou d’une erreur de déclaration : </w:t>
                  </w:r>
                </w:p>
                <w:p w:rsidP="00000000" w:rsidRPr="00000000" w:rsidR="00000000" w:rsidDel="00000000" w:rsidRDefault="00000000">
                  <w:pPr>
                    <w:numPr>
                      <w:ilvl w:val="0"/>
                      <w:numId w:val="2"/>
                    </w:numPr>
                    <w:spacing w:lineRule="auto" w:after="340" w:line="360"/>
                    <w:ind w:left="720" w:hanging="359"/>
                    <w:contextualSpacing w:val="1"/>
                    <w:rPr>
                      <w:rFonts w:cs="Verdana" w:hAnsi="Verdana" w:eastAsia="Verdana" w:ascii="Verdana"/>
                      <w:b w:val="1"/>
                      <w:color w:val="464646"/>
                      <w:sz w:val="18"/>
                      <w:highlight w:val="white"/>
                    </w:rPr>
                  </w:pPr>
                  <w:r w:rsidRPr="00000000" w:rsidR="00000000" w:rsidDel="00000000">
                    <w:rPr>
                      <w:rFonts w:cs="Verdana" w:hAnsi="Verdana" w:eastAsia="Verdana" w:ascii="Verdana"/>
                      <w:b w:val="1"/>
                      <w:color w:val="464646"/>
                      <w:sz w:val="18"/>
                      <w:highlight w:val="white"/>
                      <w:rtl w:val="0"/>
                    </w:rPr>
                    <w:t xml:space="preserve">-Si l’amende vaut  moins que trois fois le montant théorique redevable : Remboursement de l’amende + 150 euros d’amende + 1 heures de prison</w:t>
                  </w:r>
                </w:p>
                <w:p w:rsidP="00000000" w:rsidRPr="00000000" w:rsidR="00000000" w:rsidDel="00000000" w:rsidRDefault="00000000">
                  <w:pPr>
                    <w:numPr>
                      <w:ilvl w:val="0"/>
                      <w:numId w:val="2"/>
                    </w:numPr>
                    <w:spacing w:lineRule="auto" w:after="340" w:line="360"/>
                    <w:ind w:left="720" w:hanging="359"/>
                    <w:contextualSpacing w:val="1"/>
                    <w:rPr>
                      <w:rFonts w:cs="Verdana" w:hAnsi="Verdana" w:eastAsia="Verdana" w:ascii="Verdana"/>
                      <w:b w:val="1"/>
                      <w:color w:val="464646"/>
                      <w:sz w:val="18"/>
                      <w:highlight w:val="white"/>
                    </w:rPr>
                  </w:pPr>
                  <w:r w:rsidRPr="00000000" w:rsidR="00000000" w:rsidDel="00000000">
                    <w:rPr>
                      <w:rFonts w:cs="Verdana" w:hAnsi="Verdana" w:eastAsia="Verdana" w:ascii="Verdana"/>
                      <w:b w:val="1"/>
                      <w:color w:val="464646"/>
                      <w:sz w:val="18"/>
                      <w:highlight w:val="white"/>
                      <w:rtl w:val="0"/>
                    </w:rPr>
                    <w:t xml:space="preserve">-Si l’amende vaut plus que trois fois le montant théorique redevable : Remboursement de l’amende + 300 euros d’amende + 3 heures de prison</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rPr/>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En cas de récidive: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En reprenant les numéros devant chaque type de peines situées précédemment : </w:t>
                  </w:r>
                </w:p>
                <w:p w:rsidP="00000000" w:rsidRPr="00000000" w:rsidR="00000000" w:rsidDel="00000000" w:rsidRDefault="00000000">
                  <w:pPr>
                    <w:numPr>
                      <w:ilvl w:val="0"/>
                      <w:numId w:val="1"/>
                    </w:numPr>
                    <w:spacing w:lineRule="auto" w:after="340" w:line="360"/>
                    <w:ind w:left="720" w:hanging="359"/>
                    <w:contextualSpacing w:val="1"/>
                    <w:rPr>
                      <w:rFonts w:cs="Verdana" w:hAnsi="Verdana" w:eastAsia="Verdana" w:ascii="Verdana"/>
                      <w:b w:val="1"/>
                      <w:color w:val="464646"/>
                      <w:sz w:val="18"/>
                      <w:highlight w:val="white"/>
                    </w:rPr>
                  </w:pPr>
                  <w:r w:rsidRPr="00000000" w:rsidR="00000000" w:rsidDel="00000000">
                    <w:rPr>
                      <w:rFonts w:cs="Verdana" w:hAnsi="Verdana" w:eastAsia="Verdana" w:ascii="Verdana"/>
                      <w:b w:val="1"/>
                      <w:color w:val="464646"/>
                      <w:sz w:val="18"/>
                      <w:highlight w:val="white"/>
                      <w:rtl w:val="0"/>
                    </w:rPr>
                    <w:t xml:space="preserve">Remboursement de l’amende + 3 heures de prison + 300 euros d’amende + retrait du diplôme d’inspecteur fiscal</w:t>
                  </w:r>
                </w:p>
                <w:p w:rsidP="00000000" w:rsidRPr="00000000" w:rsidR="00000000" w:rsidDel="00000000" w:rsidRDefault="00000000">
                  <w:pPr>
                    <w:numPr>
                      <w:ilvl w:val="0"/>
                      <w:numId w:val="1"/>
                    </w:numPr>
                    <w:spacing w:lineRule="auto" w:after="340" w:line="360"/>
                    <w:ind w:left="720" w:hanging="359"/>
                    <w:contextualSpacing w:val="1"/>
                    <w:rPr>
                      <w:rFonts w:cs="Verdana" w:hAnsi="Verdana" w:eastAsia="Verdana" w:ascii="Verdana"/>
                      <w:b w:val="1"/>
                      <w:color w:val="464646"/>
                      <w:sz w:val="18"/>
                      <w:highlight w:val="white"/>
                    </w:rPr>
                  </w:pPr>
                  <w:r w:rsidRPr="00000000" w:rsidR="00000000" w:rsidDel="00000000">
                    <w:rPr>
                      <w:rFonts w:cs="Verdana" w:hAnsi="Verdana" w:eastAsia="Verdana" w:ascii="Verdana"/>
                      <w:b w:val="1"/>
                      <w:color w:val="464646"/>
                      <w:sz w:val="18"/>
                      <w:highlight w:val="white"/>
                      <w:rtl w:val="0"/>
                    </w:rPr>
                    <w:t xml:space="preserve">Remboursement de l’amende + 5 heures de prison + 500 euros d’amende + retrait du diplôme d’inspecteur fiscal</w:t>
                  </w:r>
                </w:p>
                <w:p w:rsidP="00000000" w:rsidRPr="00000000" w:rsidR="00000000" w:rsidDel="00000000" w:rsidRDefault="00000000">
                  <w:pPr>
                    <w:numPr>
                      <w:ilvl w:val="0"/>
                      <w:numId w:val="1"/>
                    </w:numPr>
                    <w:spacing w:lineRule="auto" w:after="340" w:line="360"/>
                    <w:ind w:left="720" w:hanging="359"/>
                    <w:contextualSpacing w:val="1"/>
                    <w:rPr>
                      <w:rFonts w:cs="Verdana" w:hAnsi="Verdana" w:eastAsia="Verdana" w:ascii="Verdana"/>
                      <w:b w:val="1"/>
                      <w:color w:val="464646"/>
                      <w:sz w:val="18"/>
                      <w:highlight w:val="white"/>
                    </w:rPr>
                  </w:pPr>
                  <w:r w:rsidRPr="00000000" w:rsidR="00000000" w:rsidDel="00000000">
                    <w:rPr>
                      <w:rFonts w:cs="Verdana" w:hAnsi="Verdana" w:eastAsia="Verdana" w:ascii="Verdana"/>
                      <w:b w:val="1"/>
                      <w:color w:val="464646"/>
                      <w:sz w:val="18"/>
                      <w:highlight w:val="white"/>
                      <w:rtl w:val="0"/>
                    </w:rPr>
                    <w:t xml:space="preserve">Remboursement de l’amende + 3 heures de prison + 300 euros d’amende + retrait du diplôme d’inspecteur fiscal</w:t>
                  </w:r>
                </w:p>
                <w:p w:rsidP="00000000" w:rsidRPr="00000000" w:rsidR="00000000" w:rsidDel="00000000" w:rsidRDefault="00000000">
                  <w:pPr>
                    <w:numPr>
                      <w:ilvl w:val="0"/>
                      <w:numId w:val="1"/>
                    </w:numPr>
                    <w:spacing w:lineRule="auto" w:after="340" w:line="360"/>
                    <w:ind w:left="720" w:hanging="359"/>
                    <w:contextualSpacing w:val="1"/>
                    <w:rPr>
                      <w:rFonts w:cs="Verdana" w:hAnsi="Verdana" w:eastAsia="Verdana" w:ascii="Verdana"/>
                      <w:b w:val="1"/>
                      <w:color w:val="464646"/>
                      <w:sz w:val="18"/>
                      <w:highlight w:val="white"/>
                    </w:rPr>
                  </w:pPr>
                  <w:r w:rsidRPr="00000000" w:rsidR="00000000" w:rsidDel="00000000">
                    <w:rPr>
                      <w:rFonts w:cs="Verdana" w:hAnsi="Verdana" w:eastAsia="Verdana" w:ascii="Verdana"/>
                      <w:b w:val="1"/>
                      <w:color w:val="464646"/>
                      <w:sz w:val="18"/>
                      <w:highlight w:val="white"/>
                      <w:rtl w:val="0"/>
                    </w:rPr>
                    <w:t xml:space="preserve">Remboursement de l’amende + 5 heures de prison + 500 euros d’amende + retrait du diplôme d’inspecteur fiscal</w:t>
                  </w:r>
                </w:p>
              </w:tc>
            </w:tr>
            <w:tr>
              <w:tc>
                <w:tcPr>
                  <w:tcMar>
                    <w:top w:w="100.0" w:type="dxa"/>
                    <w:left w:w="3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Peines requises : </w:t>
                  </w:r>
                  <w:r w:rsidRPr="00000000" w:rsidR="00000000" w:rsidDel="00000000">
                    <w:rPr>
                      <w:rFonts w:cs="Verdana" w:hAnsi="Verdana" w:eastAsia="Verdana" w:ascii="Verdana"/>
                      <w:color w:val="464646"/>
                      <w:sz w:val="18"/>
                      <w:highlight w:val="white"/>
                      <w:rtl w:val="0"/>
                    </w:rPr>
                    <w:t xml:space="preserve">Voir ci dessus.</w:t>
                  </w:r>
                </w:p>
              </w:tc>
            </w:tr>
          </w:tbl>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 </w:t>
      </w:r>
      <w:r w:rsidRPr="00000000" w:rsidR="00000000" w:rsidDel="00000000">
        <w:rPr>
          <w:rtl w:val="0"/>
        </w:rPr>
      </w:r>
    </w:p>
    <w:tbl>
      <w:tblPr>
        <w:tblStyle w:val="Table4"/>
        <w:bidiVisual w:val="0"/>
        <w:tblW w:w="9200.0" w:type="dxa"/>
        <w:jc w:val="left"/>
        <w:tblBorders>
          <w:top w:color="000000" w:space="0" w:val="nil" w:sz="0"/>
          <w:left w:color="000000" w:space="0" w:val="nil" w:sz="0"/>
          <w:bottom w:color="000000" w:space="0" w:val="nil" w:sz="0"/>
          <w:right w:color="000000" w:space="0" w:val="nil" w:sz="0"/>
          <w:insideH w:color="000000" w:space="0" w:val="nil" w:sz="0"/>
          <w:insideV w:color="000000" w:space="0" w:val="nil" w:sz="0"/>
        </w:tblBorders>
        <w:tblLayout w:type="fixed"/>
        <w:tblLook w:val="0600"/>
      </w:tblPr>
      <w:tblGrid>
        <w:gridCol w:w="9200"/>
        <w:tblGridChange w:id="0">
          <w:tblGrid>
            <w:gridCol w:w="9200"/>
          </w:tblGrid>
        </w:tblGridChange>
      </w:tblGrid>
      <w:tr>
        <w:tc>
          <w:tcPr>
            <w:tcMar>
              <w:top w:w="100.0" w:type="dxa"/>
              <w:left w:w="1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Loi </w:t>
            </w:r>
            <w:hyperlink r:id="rId7">
              <w:r w:rsidRPr="00000000" w:rsidR="00000000" w:rsidDel="00000000">
                <w:rPr>
                  <w:rFonts w:cs="Verdana" w:hAnsi="Verdana" w:eastAsia="Verdana" w:ascii="Verdana"/>
                  <w:b w:val="1"/>
                  <w:color w:val="0290bf"/>
                  <w:sz w:val="18"/>
                  <w:highlight w:val="white"/>
                  <w:u w:val="single"/>
                  <w:rtl w:val="0"/>
                </w:rPr>
                <w:t xml:space="preserve">_NOURS_ Ptit</w:t>
              </w:r>
            </w:hyperlink>
            <w:r w:rsidRPr="00000000" w:rsidR="00000000" w:rsidDel="00000000">
              <w:rPr>
                <w:rFonts w:cs="Verdana" w:hAnsi="Verdana" w:eastAsia="Verdana" w:ascii="Verdana"/>
                <w:b w:val="1"/>
                <w:color w:val="464646"/>
                <w:sz w:val="18"/>
                <w:highlight w:val="white"/>
                <w:rtl w:val="0"/>
              </w:rPr>
              <w:t xml:space="preserve"> N° 167 (provisoire) :</w:t>
            </w:r>
            <w:r w:rsidRPr="00000000" w:rsidR="00000000" w:rsidDel="00000000">
              <w:rPr>
                <w:rtl w:val="0"/>
              </w:rPr>
            </w:r>
          </w:p>
        </w:tc>
      </w:tr>
      <w:tr>
        <w:trPr>
          <w:trHeight w:val="900" w:hRule="atLeast"/>
        </w:trPr>
        <w:tc>
          <w:tcPr>
            <w:tcMar>
              <w:top w:w="100.0" w:type="dxa"/>
              <w:left w:w="22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Loi relative au policide</w:t>
            </w:r>
            <w:r w:rsidRPr="00000000" w:rsidR="00000000" w:rsidDel="00000000">
              <w:rPr>
                <w:rtl w:val="0"/>
              </w:rPr>
            </w:r>
          </w:p>
        </w:tc>
      </w:tr>
      <w:tr>
        <w:tc>
          <w:tcPr>
            <w:tcMar>
              <w:top w:w="100.0" w:type="dxa"/>
              <w:left w:w="3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Modifiée par Fantaisy XJACK le 10 Mars 2013 sous le gouvernement d' Hugo _Lookwood après approbation par référendum à 78% de "Pour".</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Article 1 : Tentative de policide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La moindre balle tirée par un pol sur un autre est constitutif d'une tentative de policide et est donc punissable par la présente loi.</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Peines requises pour la tentative de policide :</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De 1 à </w:t>
            </w:r>
            <w:r w:rsidRPr="00000000" w:rsidR="00000000" w:rsidDel="00000000">
              <w:rPr>
                <w:rFonts w:cs="Verdana" w:hAnsi="Verdana" w:eastAsia="Verdana" w:ascii="Verdana"/>
                <w:b w:val="1"/>
                <w:color w:val="464646"/>
                <w:sz w:val="18"/>
                <w:highlight w:val="white"/>
                <w:rtl w:val="0"/>
              </w:rPr>
              <w:t xml:space="preserve">5</w:t>
            </w:r>
            <w:r w:rsidRPr="00000000" w:rsidR="00000000" w:rsidDel="00000000">
              <w:rPr>
                <w:rFonts w:cs="Verdana" w:hAnsi="Verdana" w:eastAsia="Verdana" w:ascii="Verdana"/>
                <w:color w:val="464646"/>
                <w:sz w:val="18"/>
                <w:highlight w:val="white"/>
                <w:rtl w:val="0"/>
              </w:rPr>
              <w:t xml:space="preserve"> balles =&gt; 1h de prison + 300 ¤ d'amende + 500 ¤ dédommagement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De </w:t>
            </w:r>
            <w:r w:rsidRPr="00000000" w:rsidR="00000000" w:rsidDel="00000000">
              <w:rPr>
                <w:rFonts w:cs="Verdana" w:hAnsi="Verdana" w:eastAsia="Verdana" w:ascii="Verdana"/>
                <w:b w:val="1"/>
                <w:color w:val="464646"/>
                <w:sz w:val="18"/>
                <w:highlight w:val="white"/>
                <w:rtl w:val="0"/>
              </w:rPr>
              <w:t xml:space="preserve">6</w:t>
            </w:r>
            <w:r w:rsidRPr="00000000" w:rsidR="00000000" w:rsidDel="00000000">
              <w:rPr>
                <w:rFonts w:cs="Verdana" w:hAnsi="Verdana" w:eastAsia="Verdana" w:ascii="Verdana"/>
                <w:color w:val="464646"/>
                <w:sz w:val="18"/>
                <w:highlight w:val="white"/>
                <w:rtl w:val="0"/>
              </w:rPr>
              <w:t xml:space="preserve"> à </w:t>
            </w:r>
            <w:r w:rsidRPr="00000000" w:rsidR="00000000" w:rsidDel="00000000">
              <w:rPr>
                <w:rFonts w:cs="Verdana" w:hAnsi="Verdana" w:eastAsia="Verdana" w:ascii="Verdana"/>
                <w:b w:val="1"/>
                <w:color w:val="464646"/>
                <w:sz w:val="18"/>
                <w:highlight w:val="white"/>
                <w:rtl w:val="0"/>
              </w:rPr>
              <w:t xml:space="preserve">15</w:t>
            </w:r>
            <w:r w:rsidRPr="00000000" w:rsidR="00000000" w:rsidDel="00000000">
              <w:rPr>
                <w:rFonts w:cs="Verdana" w:hAnsi="Verdana" w:eastAsia="Verdana" w:ascii="Verdana"/>
                <w:color w:val="464646"/>
                <w:sz w:val="18"/>
                <w:highlight w:val="white"/>
                <w:rtl w:val="0"/>
              </w:rPr>
              <w:t xml:space="preserve"> balles =&gt; 3h de prison + 500 ¤ d'amende + 500 ¤ dédommagement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De </w:t>
            </w:r>
            <w:r w:rsidRPr="00000000" w:rsidR="00000000" w:rsidDel="00000000">
              <w:rPr>
                <w:rFonts w:cs="Verdana" w:hAnsi="Verdana" w:eastAsia="Verdana" w:ascii="Verdana"/>
                <w:b w:val="1"/>
                <w:color w:val="464646"/>
                <w:sz w:val="18"/>
                <w:highlight w:val="white"/>
                <w:rtl w:val="0"/>
              </w:rPr>
              <w:t xml:space="preserve">16</w:t>
            </w:r>
            <w:r w:rsidRPr="00000000" w:rsidR="00000000" w:rsidDel="00000000">
              <w:rPr>
                <w:rFonts w:cs="Verdana" w:hAnsi="Verdana" w:eastAsia="Verdana" w:ascii="Verdana"/>
                <w:color w:val="464646"/>
                <w:sz w:val="18"/>
                <w:highlight w:val="white"/>
                <w:rtl w:val="0"/>
              </w:rPr>
              <w:t xml:space="preserve"> à de </w:t>
            </w:r>
            <w:r w:rsidRPr="00000000" w:rsidR="00000000" w:rsidDel="00000000">
              <w:rPr>
                <w:rFonts w:cs="Verdana" w:hAnsi="Verdana" w:eastAsia="Verdana" w:ascii="Verdana"/>
                <w:b w:val="1"/>
                <w:color w:val="464646"/>
                <w:sz w:val="18"/>
                <w:highlight w:val="white"/>
                <w:rtl w:val="0"/>
              </w:rPr>
              <w:t xml:space="preserve">25</w:t>
            </w:r>
            <w:r w:rsidRPr="00000000" w:rsidR="00000000" w:rsidDel="00000000">
              <w:rPr>
                <w:rFonts w:cs="Verdana" w:hAnsi="Verdana" w:eastAsia="Verdana" w:ascii="Verdana"/>
                <w:color w:val="464646"/>
                <w:sz w:val="18"/>
                <w:highlight w:val="white"/>
                <w:rtl w:val="0"/>
              </w:rPr>
              <w:t xml:space="preserve"> balles =&gt; 5h de prison + 750 ¤ d'amende + 500 ¤ dédommagement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Plus de 25 balles =&gt; 10 heures de prison + 1000 euros d’amende + 500 ¤ dédommagement</w:t>
            </w: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Si récidive, et quelques soit le nombre de balles utilisées lors de l'acte récidiviste :</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Peine d'Asile de 5h + 1000 ¤ d'amende + 500 ¤ dédommagement.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Article 2 : Policide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Donner la mort à autrui constitue un meurtre, et ce quelque soit le nombre de balles infligées à la victime.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Peines requises :</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Peine d'Asile de 12 heures + 1 000 ¤ d'amende + retrait des diplômes de policier, supercop, avocat et/ou juge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Si récidive :</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Peine d'Asile de 24 heures + 1 000 ¤ d'amende + retrait des diplômes de policier, supercop, avocat et/ou juge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Article 3 : Preuves à apporter</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Tout détective découvrant un tireur (dangereux ou non) pourra en avertir la victime ou la famille si celui-ci est décédé et ce, afin de rendre justice à ce citoyen.</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1 : Tentative de policide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-Imprim écran de la page hors-mariage (la liste des victimes du tireur)</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-Impression du journal de bord de la victime avec les tirs reçus.</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Alinéa 2 : Policide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-Imprim écran de la page hors-mariage (la liste des victimes du tireur)</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-Imprim écran de la nécrologie.</w:t>
            </w:r>
          </w:p>
        </w:tc>
      </w:tr>
      <w:tr>
        <w:tc>
          <w:tcPr>
            <w:tcMar>
              <w:top w:w="100.0" w:type="dxa"/>
              <w:left w:w="3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Loi </w:t>
            </w:r>
            <w:hyperlink r:id="rId8">
              <w:r w:rsidRPr="00000000" w:rsidR="00000000" w:rsidDel="00000000">
                <w:rPr>
                  <w:rFonts w:cs="Verdana" w:hAnsi="Verdana" w:eastAsia="Verdana" w:ascii="Verdana"/>
                  <w:b w:val="1"/>
                  <w:color w:val="0290bf"/>
                  <w:sz w:val="18"/>
                  <w:highlight w:val="white"/>
                  <w:u w:val="single"/>
                  <w:rtl w:val="0"/>
                </w:rPr>
                <w:t xml:space="preserve">DOLPHYN James</w:t>
              </w:r>
            </w:hyperlink>
            <w:r w:rsidRPr="00000000" w:rsidR="00000000" w:rsidDel="00000000">
              <w:rPr>
                <w:rFonts w:cs="Verdana" w:hAnsi="Verdana" w:eastAsia="Verdana" w:ascii="Verdana"/>
                <w:b w:val="1"/>
                <w:color w:val="464646"/>
                <w:sz w:val="18"/>
                <w:highlight w:val="white"/>
                <w:rtl w:val="0"/>
              </w:rPr>
              <w:t xml:space="preserve"> N° 221 (provisoire) :</w:t>
            </w:r>
            <w:r w:rsidRPr="00000000" w:rsidR="00000000" w:rsidDel="00000000">
              <w:rPr>
                <w:rtl w:val="0"/>
              </w:rPr>
            </w:r>
          </w:p>
        </w:tc>
      </w:tr>
      <w:tr>
        <w:tc>
          <w:tcPr>
            <w:tcMar>
              <w:top w:w="100.0" w:type="dxa"/>
              <w:left w:w="22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LA PRESCRIPTION</w:t>
            </w:r>
          </w:p>
        </w:tc>
      </w:tr>
      <w:tr>
        <w:tc>
          <w:tcPr>
            <w:tcMar>
              <w:top w:w="100.0" w:type="dxa"/>
              <w:left w:w="3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Anciennement Loi CELIBRITY Charles N° 3 transférée du Code A</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Modifiée par Marcus Cicero le 20 février 2014 sous le Gouvernement de Dante HELLSING, après approbation par référendum à 90% de "Pour".</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Tout crime ou délit non instruit auprès d'un juge après 5 années, sera considéré comme nul.</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Le Juge Suprême est seul habilité à ouvrir une instruction passé le délai de 5 ans, si celle-ci concerne un juge ou un politicien. Il a également la possibilité d’autoriser un juge à ignorer cette loi dans le cadre d’une affaire relative à la loi N° 167 (policide), l’enquête afin de trouver le tireur pouvant prendre beaucoup de temps (le délai supplémentaire accordé ne doit pas excéder 25 ans).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ff0000"/>
                <w:sz w:val="18"/>
                <w:highlight w:val="white"/>
                <w:rtl w:val="0"/>
              </w:rPr>
              <w:t xml:space="preserve">Un juge pourra également demander un délai supplémentaire au juge suprême si une incompatibilité d’horaires entre les parties est avérée (entre l’avocat du plaignant / l’avocat de l’accusé mais également le juge lui-même) . Il devra donc transmettre au juge suprême ses communications avec les parties qui  pourra alors juger de la recevabilité de la demande de délai et accorder le délai ou non.</w:t>
            </w:r>
          </w:p>
        </w:tc>
      </w:tr>
      <w:tr>
        <w:tc>
          <w:tcPr>
            <w:tcMar>
              <w:top w:w="100.0" w:type="dxa"/>
              <w:left w:w="3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Peines requises : Avertissement du Juge Suprême, voire retrait du diplôme de juge.</w:t>
            </w:r>
          </w:p>
        </w:tc>
      </w:tr>
    </w:tbl>
    <w:p w:rsidP="00000000" w:rsidRPr="00000000" w:rsidR="00000000" w:rsidDel="00000000" w:rsidRDefault="00000000">
      <w:pPr>
        <w:contextualSpacing w:val="0"/>
      </w:pPr>
      <w:r w:rsidRPr="00000000" w:rsidR="00000000" w:rsidDel="00000000">
        <w:rPr>
          <w:rtl w:val="0"/>
        </w:rPr>
      </w:r>
    </w:p>
    <w:tbl>
      <w:tblPr>
        <w:tblStyle w:val="Table5"/>
        <w:bidiVisual w:val="0"/>
        <w:tblW w:w="9200.0" w:type="dxa"/>
        <w:jc w:val="left"/>
        <w:tblBorders>
          <w:top w:color="000000" w:space="0" w:val="nil" w:sz="0"/>
          <w:left w:color="000000" w:space="0" w:val="nil" w:sz="0"/>
          <w:bottom w:color="000000" w:space="0" w:val="nil" w:sz="0"/>
          <w:right w:color="000000" w:space="0" w:val="nil" w:sz="0"/>
          <w:insideH w:color="000000" w:space="0" w:val="nil" w:sz="0"/>
          <w:insideV w:color="000000" w:space="0" w:val="nil" w:sz="0"/>
        </w:tblBorders>
        <w:tblLayout w:type="fixed"/>
        <w:tblLook w:val="0600"/>
      </w:tblPr>
      <w:tblGrid>
        <w:gridCol w:w="9200"/>
        <w:tblGridChange w:id="0">
          <w:tblGrid>
            <w:gridCol w:w="9200"/>
          </w:tblGrid>
        </w:tblGridChange>
      </w:tblGrid>
      <w:tr>
        <w:tc>
          <w:tcPr>
            <w:tcMar>
              <w:top w:w="100.0" w:type="dxa"/>
              <w:left w:w="1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Loi </w:t>
            </w:r>
            <w:hyperlink r:id="rId9">
              <w:r w:rsidRPr="00000000" w:rsidR="00000000" w:rsidDel="00000000">
                <w:rPr>
                  <w:rFonts w:cs="Verdana" w:hAnsi="Verdana" w:eastAsia="Verdana" w:ascii="Verdana"/>
                  <w:b w:val="1"/>
                  <w:color w:val="f0037f"/>
                  <w:sz w:val="18"/>
                  <w:highlight w:val="white"/>
                  <w:u w:val="single"/>
                  <w:rtl w:val="0"/>
                </w:rPr>
                <w:t xml:space="preserve">DOHH Malo</w:t>
              </w:r>
            </w:hyperlink>
            <w:r w:rsidRPr="00000000" w:rsidR="00000000" w:rsidDel="00000000">
              <w:rPr>
                <w:rFonts w:cs="Verdana" w:hAnsi="Verdana" w:eastAsia="Verdana" w:ascii="Verdana"/>
                <w:b w:val="1"/>
                <w:color w:val="464646"/>
                <w:sz w:val="18"/>
                <w:highlight w:val="white"/>
                <w:rtl w:val="0"/>
              </w:rPr>
              <w:t xml:space="preserve"> N° 240 (provisoire) :</w:t>
            </w:r>
            <w:r w:rsidRPr="00000000" w:rsidR="00000000" w:rsidDel="00000000">
              <w:rPr>
                <w:rtl w:val="0"/>
              </w:rPr>
            </w:r>
          </w:p>
        </w:tc>
      </w:tr>
      <w:tr>
        <w:tc>
          <w:tcPr>
            <w:tcMar>
              <w:top w:w="100.0" w:type="dxa"/>
              <w:left w:w="22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Inspection d'un professeur par le Ministre de la Culture. </w:t>
            </w:r>
            <w:r w:rsidRPr="00000000" w:rsidR="00000000" w:rsidDel="00000000">
              <w:rPr>
                <w:rtl w:val="0"/>
              </w:rPr>
            </w:r>
          </w:p>
        </w:tc>
      </w:tr>
      <w:tr>
        <w:tc>
          <w:tcPr>
            <w:tcMar>
              <w:top w:w="100.0" w:type="dxa"/>
              <w:left w:w="3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Modifiée par Jesica Moore le 11 octobre 2014 sous le gouvernement Marcus Ciceron après approbation par référendum à 70% de "Pour".</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Le ministre de la culture peut demander les cours et les tests d'un professeur de Stéréopoly uniquement si celui-ci a des élèves.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Si ceux-ci ne sont pas conformes à la loi n°205 PLUMAY Plumine sur les DROITS ET DEVOIRS DES PROFESSEURS ET DES ELEVES (alinéa 1 et alinéa 3), le professeur recevra un avertissement et aura une période de 5 jours pour se remettre en règle. </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Si cela n'est pas fait, ou si le Professeur lit le message et/ou se connecte, sans y répondre (dans un délai de </w:t>
            </w:r>
            <w:r w:rsidRPr="00000000" w:rsidR="00000000" w:rsidDel="00000000">
              <w:rPr>
                <w:rFonts w:cs="Verdana" w:hAnsi="Verdana" w:eastAsia="Verdana" w:ascii="Verdana"/>
                <w:b w:val="1"/>
                <w:color w:val="464646"/>
                <w:sz w:val="18"/>
                <w:highlight w:val="white"/>
                <w:rtl w:val="0"/>
              </w:rPr>
              <w:t xml:space="preserve">5</w:t>
            </w:r>
            <w:r w:rsidRPr="00000000" w:rsidR="00000000" w:rsidDel="00000000">
              <w:rPr>
                <w:rFonts w:cs="Verdana" w:hAnsi="Verdana" w:eastAsia="Verdana" w:ascii="Verdana"/>
                <w:color w:val="464646"/>
                <w:sz w:val="18"/>
                <w:highlight w:val="white"/>
                <w:rtl w:val="0"/>
              </w:rPr>
              <w:t xml:space="preserve"> jours), le Ministre de la Culture pourra porter plainte contre lui. </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Ceci ne s’appliquant pas si le professeur n’a pas d’élève dans sa classe.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Preuves requises : Captures d'écran des cours et/ou tests de fin d'année, ou capture d'écran du refus, ou capture d'écran du message envoyé lu, ou capture d'écran du pol connecté à une date postérieure à celle de l'envoi du message. Capture écran de la page métier prouvant la présence d’élèves.</w:t>
            </w: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Peines requises : </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 Amende de 500 euros et 3 heures de prison</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highlight w:val="white"/>
                <w:rtl w:val="0"/>
              </w:rPr>
              <w:t xml:space="preserve">S</w:t>
            </w:r>
            <w:r w:rsidRPr="00000000" w:rsidR="00000000" w:rsidDel="00000000">
              <w:rPr>
                <w:rFonts w:cs="Verdana" w:hAnsi="Verdana" w:eastAsia="Verdana" w:ascii="Verdana"/>
                <w:color w:val="464646"/>
                <w:sz w:val="18"/>
                <w:highlight w:val="white"/>
                <w:rtl w:val="0"/>
              </w:rPr>
              <w:t xml:space="preserve">i récidive :</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highlight w:val="white"/>
                <w:rtl w:val="0"/>
              </w:rPr>
              <w:t xml:space="preserve">1000 euros d'amende </w:t>
            </w:r>
            <w:r w:rsidRPr="00000000" w:rsidR="00000000" w:rsidDel="00000000">
              <w:rPr>
                <w:rFonts w:cs="Verdana" w:hAnsi="Verdana" w:eastAsia="Verdana" w:ascii="Verdana"/>
                <w:b w:val="1"/>
                <w:color w:val="464646"/>
                <w:sz w:val="18"/>
                <w:highlight w:val="white"/>
                <w:rtl w:val="0"/>
              </w:rPr>
              <w:t xml:space="preserve">+  5 heures de prison</w:t>
            </w:r>
            <w:r w:rsidRPr="00000000" w:rsidR="00000000" w:rsidDel="00000000">
              <w:rPr>
                <w:rFonts w:cs="Verdana" w:hAnsi="Verdana" w:eastAsia="Verdana" w:ascii="Verdana"/>
                <w:color w:val="464646"/>
                <w:sz w:val="18"/>
                <w:highlight w:val="white"/>
                <w:rtl w:val="0"/>
              </w:rPr>
              <w:t xml:space="preserve"> et</w:t>
            </w:r>
            <w:r w:rsidRPr="00000000" w:rsidR="00000000" w:rsidDel="00000000">
              <w:rPr>
                <w:rFonts w:cs="Verdana" w:hAnsi="Verdana" w:eastAsia="Verdana" w:ascii="Verdana"/>
                <w:color w:val="464646"/>
                <w:sz w:val="18"/>
                <w:highlight w:val="white"/>
                <w:rtl w:val="0"/>
              </w:rPr>
              <w:t xml:space="preserve"> Retrait du DCA d'université auxquels s'ajouteront le retrait du DCAU de la matière enseignée en cas de récidive aggravée.</w:t>
            </w:r>
          </w:p>
          <w:p w:rsidP="00000000" w:rsidRPr="00000000" w:rsidR="00000000" w:rsidDel="00000000" w:rsidRDefault="00000000">
            <w:pPr>
              <w:spacing w:lineRule="auto" w:after="340" w:line="360"/>
              <w:contextualSpacing w:val="0"/>
            </w:pPr>
            <w:r w:rsidRPr="00000000" w:rsidR="00000000" w:rsidDel="00000000">
              <w:rPr>
                <w:rtl w:val="0"/>
              </w:rPr>
            </w:r>
          </w:p>
        </w:tc>
      </w:tr>
      <w:tr>
        <w:tc>
          <w:tcPr>
            <w:tcMar>
              <w:top w:w="100.0" w:type="dxa"/>
              <w:left w:w="3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tbl>
      <w:tblPr>
        <w:tblStyle w:val="Table6"/>
        <w:bidiVisual w:val="0"/>
        <w:tblW w:w="9165.0" w:type="dxa"/>
        <w:jc w:val="left"/>
        <w:tblInd w:w="30.0" w:type="dxa"/>
        <w:tblBorders>
          <w:top w:color="000000" w:space="0" w:val="nil" w:sz="0"/>
          <w:left w:color="000000" w:space="0" w:val="nil" w:sz="0"/>
          <w:bottom w:color="000000" w:space="0" w:val="nil" w:sz="0"/>
          <w:right w:color="000000" w:space="0" w:val="nil" w:sz="0"/>
          <w:insideH w:color="000000" w:space="0" w:val="nil" w:sz="0"/>
          <w:insideV w:color="000000" w:space="0" w:val="nil" w:sz="0"/>
        </w:tblBorders>
        <w:tblLayout w:type="fixed"/>
        <w:tblLook w:val="0600"/>
      </w:tblPr>
      <w:tblGrid>
        <w:gridCol w:w="9165"/>
        <w:tblGridChange w:id="0">
          <w:tblGrid>
            <w:gridCol w:w="9165"/>
          </w:tblGrid>
        </w:tblGridChange>
      </w:tblGrid>
      <w:tr>
        <w:tc>
          <w:tcPr>
            <w:tcMar>
              <w:top w:w="100.0" w:type="dxa"/>
              <w:left w:w="1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rtl w:val="0"/>
              </w:rPr>
              <w:t xml:space="preserve">Loi </w:t>
            </w:r>
            <w:hyperlink r:id="rId10">
              <w:r w:rsidRPr="00000000" w:rsidR="00000000" w:rsidDel="00000000">
                <w:rPr>
                  <w:rFonts w:cs="Verdana" w:hAnsi="Verdana" w:eastAsia="Verdana" w:ascii="Verdana"/>
                  <w:b w:val="1"/>
                  <w:color w:val="0290bf"/>
                  <w:sz w:val="18"/>
                  <w:u w:val="single"/>
                  <w:rtl w:val="0"/>
                </w:rPr>
                <w:t xml:space="preserve">TH3 Mafia</w:t>
              </w:r>
            </w:hyperlink>
            <w:r w:rsidRPr="00000000" w:rsidR="00000000" w:rsidDel="00000000">
              <w:rPr>
                <w:rFonts w:cs="Verdana" w:hAnsi="Verdana" w:eastAsia="Verdana" w:ascii="Verdana"/>
                <w:b w:val="1"/>
                <w:color w:val="464646"/>
                <w:sz w:val="18"/>
                <w:rtl w:val="0"/>
              </w:rPr>
              <w:t xml:space="preserve"> N° 245 (provisoire) :</w:t>
            </w:r>
            <w:r w:rsidRPr="00000000" w:rsidR="00000000" w:rsidDel="00000000">
              <w:rPr>
                <w:rtl w:val="0"/>
              </w:rPr>
            </w:r>
          </w:p>
        </w:tc>
      </w:tr>
      <w:tr>
        <w:tc>
          <w:tcPr>
            <w:tcMar>
              <w:top w:w="100.0" w:type="dxa"/>
              <w:left w:w="22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rtl w:val="0"/>
              </w:rPr>
              <w:t xml:space="preserve">LES MEMBRES DU GOUVERNEMENT</w:t>
            </w:r>
            <w:r w:rsidRPr="00000000" w:rsidR="00000000" w:rsidDel="00000000">
              <w:rPr>
                <w:rtl w:val="0"/>
              </w:rPr>
            </w:r>
          </w:p>
        </w:tc>
      </w:tr>
      <w:tr>
        <w:tc>
          <w:tcPr>
            <w:tcMar>
              <w:top w:w="100.0" w:type="dxa"/>
              <w:left w:w="3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Modifiée par _The Men_ le 10 août 2014 sous le gouvernement de Hugo L_VI après approbation par référendum à 57% de "Pour".</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Préambule : Les membres du gouvernement sont des politiciens préalablement choisis par le Président. Ils possèdent des droits et des obligations, comme n’importe quels citoyens. Ils sont dirigés par le Président, qui possède le droit de les virer. Cependant, le président devra respecter certains points :</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ARTICLE 1 – LES AVERTISSEMENTS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Alinéa 1 : Dans le cas où une/plusieurs plaintes sont à déplorer, le président se doit d’en avertir le/les ministres incriminés.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Alinéa 2 : Un avertissement doit toujours précéder un renvoi, sauf dans le cas de l’alinéa 4.</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Alinéa 3 : Cependant, le Président se doit de s’appuyer sur des preuves concrètes. Toutes accusations non fondées pourraient alors se transformer en accusations calomnieuses (relativement à la loi Loi AXIDE Kafeyn N° 215 du code I) et se retournerait contre le plaignant.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Alinéa 4 : Dans le cas où les faits s’avèrent graves (vol de la caisse d’Etat, vols des citoyens, messages insultants et/ou participation dans un renversement [ou tentative de renversement] de gouvernement), le président ne doit pas préalablement avertir le ministre incriminé.</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ARTIILE 2 – LE REMPLACEMENT DES MINISTRES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Un ministre est un politicien ayant conclu un accord avec le Président. Ce dernier s’engage donc à respecter les points suivants :</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Alinéa 1 : Le président ne peut remplacer ou virer un ministre sans justificatifs valables. C’est pourquoi il a le devoir de se justifier en cas de réclamation du ministre déchu.</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Alinéa 2 : Dans le cas de l’article 1 - alinéa 4, le président s’engage à virer immédiatement, après avoir pris connaissance des preuves, le ministre incriminé.</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Alinéa 3 : Dans le cas où un poste est amené à être vacant, le Président aura 48H pour trouver un nouveau ministre.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Alinéa 4 : Un politicien ayant reçu une demande de la part du Président n’est pas obligé de rejoindre le gouvernement.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Alinéa 5 : Le ministre remplacé ne peut rejoindre à nouveau le gouvernement durant le même mandat.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ARTICLE 3 – LA DEMISSION D’UN MINISTRE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Un ministre est un politicien ayant conclu un accord avec le Président. De ce fait, le ministre se doit de respecter certaines conditions avant de quitter le gouvernement.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Alinéa 1 : Le ministre désirant quitter le gouvernement se doit de prévenir le président au minimum 24H avant afin de laisser le temps à ce dernier de lui trouver un remplaçant.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Alinéa 2 : Le Président n’a pas le droit de maintenir de force un ministre dans son gouvernement. Il se doit donc de le libérer au maximum 24H après la demande de son ministre.</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Alinéa 3 : Le ministre désirant quitter le gouvernement n’a pas de justifications à apporter pour appuyer sa demande. Il est libre de se démettre de ses fonctions quand il le veut.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ARTICLE 4 – LES ROTATIONS INTERNES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Alinéa 1 : Les rotations internes entre ministres sont autorisées et ne sont pas limitées dans le temps </w:t>
            </w:r>
            <w:r w:rsidRPr="00000000" w:rsidR="00000000" w:rsidDel="00000000">
              <w:rPr>
                <w:rFonts w:cs="Verdana" w:hAnsi="Verdana" w:eastAsia="Verdana" w:ascii="Verdana"/>
                <w:b w:val="1"/>
                <w:color w:val="464646"/>
                <w:sz w:val="18"/>
                <w:rtl w:val="0"/>
              </w:rPr>
              <w:t xml:space="preserve">pourvu qu’elles ne soient pas abusives dans le but de respecter l’article 2 , alinéa3 .  Le président se devra de chercher à recruter un nouveau ministre en cas de renvoi ou de démission et n'abusera pas des rotations internes dans le but de ne jamais laisser un poste vacant plus de 48 heures.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b w:val="1"/>
                <w:color w:val="464646"/>
                <w:sz w:val="18"/>
                <w:rtl w:val="0"/>
              </w:rPr>
              <w:t xml:space="preserve">Le président devra donc veiller au mieux à avoir une équipe complète et non un/des membre(s) tournant(s) sur un/plusieurs poste(s) pouvant provoquer une surcharge de travail.</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Alinéa 2 : Les ministres doivent être avertis d’un éventuel changement de poste les touchant.</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Alinéa 3 : Les éventuels rapports et/ou comptes rendus doivent être transférés au Ministre prenant ses nouvelles fonctions.</w:t>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Peines : 300 à 500 euros d'amende + annotation dans le casier judiciaire.</w:t>
            </w:r>
          </w:p>
          <w:p w:rsidP="00000000" w:rsidRPr="00000000" w:rsidR="00000000" w:rsidDel="00000000" w:rsidRDefault="00000000">
            <w:pPr>
              <w:spacing w:lineRule="auto" w:after="340" w:line="360"/>
              <w:contextualSpacing w:val="0"/>
            </w:pPr>
            <w:r w:rsidRPr="00000000" w:rsidR="00000000" w:rsidDel="00000000">
              <w:rPr>
                <w:rtl w:val="0"/>
              </w:rPr>
            </w:r>
          </w:p>
          <w:p w:rsidP="00000000" w:rsidRPr="00000000" w:rsidR="00000000" w:rsidDel="00000000" w:rsidRDefault="00000000">
            <w:pPr>
              <w:spacing w:lineRule="auto" w:after="340" w:line="360"/>
              <w:contextualSpacing w:val="0"/>
            </w:pPr>
            <w:r w:rsidRPr="00000000" w:rsidR="00000000" w:rsidDel="00000000">
              <w:rPr>
                <w:rFonts w:cs="Verdana" w:hAnsi="Verdana" w:eastAsia="Verdana" w:ascii="Verdana"/>
                <w:color w:val="464646"/>
                <w:sz w:val="18"/>
                <w:rtl w:val="0"/>
              </w:rPr>
              <w:t xml:space="preserve">Si Récidive : 1000 euros d'amende + retrait du diplôme de SciPol.</w:t>
            </w:r>
          </w:p>
        </w:tc>
      </w:tr>
      <w:tr>
        <w:tc>
          <w:tcPr>
            <w:tcMar>
              <w:top w:w="100.0" w:type="dxa"/>
              <w:left w:w="3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tl w:val="0"/>
              </w:rPr>
            </w:r>
          </w:p>
        </w:tc>
      </w:tr>
      <w:tr>
        <w:tc>
          <w:tcPr>
            <w:tcMar>
              <w:top w:w="100.0" w:type="dxa"/>
              <w:left w:w="22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tl w:val="0"/>
              </w:rPr>
            </w:r>
          </w:p>
        </w:tc>
      </w:tr>
      <w:tr>
        <w:tc>
          <w:tcPr>
            <w:tcMar>
              <w:top w:w="100.0" w:type="dxa"/>
              <w:left w:w="3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tl w:val="0"/>
              </w:rPr>
            </w:r>
          </w:p>
        </w:tc>
      </w:tr>
      <w:tr>
        <w:tc>
          <w:tcPr>
            <w:tcMar>
              <w:top w:w="100.0" w:type="dxa"/>
              <w:left w:w="300.0" w:type="dxa"/>
              <w:bottom w:w="100.0" w:type="dxa"/>
              <w:right w:w="100.0" w:type="dxa"/>
            </w:tcMar>
          </w:tcPr>
          <w:p w:rsidP="00000000" w:rsidRPr="00000000" w:rsidR="00000000" w:rsidDel="00000000" w:rsidRDefault="00000000">
            <w:pPr>
              <w:spacing w:lineRule="auto" w:after="340" w:line="36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 w:styleId="Table1" w:type="table">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 w:type="table">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3" w:type="table">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4" w:type="table">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5" w:type="table">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6" w:type="table">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http://www.stereopoly.com/jeu/profil.php?id=1229057" Type="http://schemas.openxmlformats.org/officeDocument/2006/relationships/hyperlink" TargetMode="External" Id="rId10"/><Relationship Target="styles.xml" Type="http://schemas.openxmlformats.org/officeDocument/2006/relationships/styles" Id="rId4"/><Relationship Target="numbering.xml" Type="http://schemas.openxmlformats.org/officeDocument/2006/relationships/numbering" Id="rId3"/><Relationship Target="http://www.stereopoly.com/jeu/profil.php?id=1205703" Type="http://schemas.openxmlformats.org/officeDocument/2006/relationships/hyperlink" TargetMode="External" Id="rId9"/><Relationship Target="http://www.stereopoly.com/jeu/profil.php?id=1245116" Type="http://schemas.openxmlformats.org/officeDocument/2006/relationships/hyperlink" TargetMode="External" Id="rId6"/><Relationship Target="http://www.stereopoly.com/jeu/profil.php?id=975276" Type="http://schemas.openxmlformats.org/officeDocument/2006/relationships/hyperlink" TargetMode="External" Id="rId5"/><Relationship Target="http://www.stereopoly.com/jeu/profil.php?id=1002340" Type="http://schemas.openxmlformats.org/officeDocument/2006/relationships/hyperlink" TargetMode="External" Id="rId8"/><Relationship Target="http://www.stereopoly.com/jeu/profil.php?id=656670"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modifications de loi.docx</dc:title>
</cp:coreProperties>
</file>