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23" w:rsidRPr="006F723F" w:rsidRDefault="00430E23" w:rsidP="00430E23">
      <w:pPr>
        <w:jc w:val="both"/>
        <w:rPr>
          <w:color w:val="C0504D" w:themeColor="accent2"/>
          <w:sz w:val="40"/>
        </w:rPr>
      </w:pPr>
      <w:r w:rsidRPr="006F723F">
        <w:rPr>
          <w:color w:val="C0504D" w:themeColor="accent2"/>
          <w:sz w:val="40"/>
        </w:rPr>
        <w:t xml:space="preserve">Titre 2 : L’effet relatif du contrat </w:t>
      </w:r>
    </w:p>
    <w:p w:rsidR="00430E23" w:rsidRDefault="00430E23" w:rsidP="00430E23">
      <w:pPr>
        <w:jc w:val="both"/>
      </w:pPr>
    </w:p>
    <w:p w:rsidR="00430E23" w:rsidRDefault="00430E23" w:rsidP="00430E23">
      <w:pPr>
        <w:jc w:val="both"/>
      </w:pPr>
      <w:r>
        <w:t xml:space="preserve">L’A1165 du cc dispose que les conventions n’ont d’effet qu’entre les parties contractantes. L’effet relatif signifie en premier lieu que la force obligatoire du contrat est limitée aux parties. Les tiers ne doivent pas subir ou profiter des effets dus au contrat. </w:t>
      </w:r>
    </w:p>
    <w:p w:rsidR="00430E23" w:rsidRDefault="00430E23" w:rsidP="00430E23">
      <w:pPr>
        <w:jc w:val="both"/>
      </w:pPr>
    </w:p>
    <w:p w:rsidR="00430E23" w:rsidRPr="006F723F" w:rsidRDefault="00430E23" w:rsidP="00430E23">
      <w:pPr>
        <w:jc w:val="both"/>
        <w:rPr>
          <w:color w:val="C0504D" w:themeColor="accent2"/>
          <w:sz w:val="36"/>
        </w:rPr>
      </w:pPr>
      <w:r w:rsidRPr="006F723F">
        <w:rPr>
          <w:color w:val="C0504D" w:themeColor="accent2"/>
          <w:sz w:val="36"/>
        </w:rPr>
        <w:t>Chapitre 1 : L’effet relatif du contrat stricto sensu</w:t>
      </w:r>
    </w:p>
    <w:p w:rsidR="00430E23" w:rsidRDefault="00430E23" w:rsidP="00430E23">
      <w:pPr>
        <w:jc w:val="both"/>
      </w:pPr>
    </w:p>
    <w:p w:rsidR="00430E23" w:rsidRDefault="00430E23" w:rsidP="00430E23">
      <w:pPr>
        <w:jc w:val="both"/>
      </w:pPr>
      <w:r>
        <w:t xml:space="preserve">On ne peut en principe pas créer des obligations au profit ou à la charge d’un tiers. </w:t>
      </w:r>
    </w:p>
    <w:p w:rsidR="00430E23" w:rsidRDefault="00430E23" w:rsidP="00430E23">
      <w:pPr>
        <w:jc w:val="both"/>
      </w:pPr>
    </w:p>
    <w:p w:rsidR="00430E23" w:rsidRPr="006F723F" w:rsidRDefault="00430E23" w:rsidP="00430E23">
      <w:pPr>
        <w:jc w:val="both"/>
        <w:rPr>
          <w:color w:val="9BBB59" w:themeColor="accent3"/>
          <w:sz w:val="32"/>
        </w:rPr>
      </w:pPr>
      <w:r w:rsidRPr="006F723F">
        <w:rPr>
          <w:color w:val="9BBB59" w:themeColor="accent3"/>
          <w:sz w:val="32"/>
        </w:rPr>
        <w:t>Section 1 : Le principe de l’effet relatif</w:t>
      </w:r>
    </w:p>
    <w:p w:rsidR="00430E23" w:rsidRDefault="00430E23" w:rsidP="00430E23">
      <w:pPr>
        <w:jc w:val="both"/>
      </w:pPr>
    </w:p>
    <w:p w:rsidR="00430E23" w:rsidRDefault="00430E23" w:rsidP="00430E23">
      <w:pPr>
        <w:jc w:val="both"/>
      </w:pPr>
      <w:r>
        <w:t xml:space="preserve">Par un contrat, on ne peut pas rendre un tiers créancier ou débiteurs. Néanmoins, la notion de tiers, comme la notion de partie, n’est pas très claire. Il existe une certaine perméabilité entre ces notions. Il y a trois catégories de tiers soumis à des règles différentes : les tiers qui sont assimilés aux parties, les tiers qui sont liés aux parties et les tiers absolus. </w:t>
      </w:r>
    </w:p>
    <w:p w:rsidR="00430E23" w:rsidRDefault="00430E23" w:rsidP="00430E23">
      <w:pPr>
        <w:jc w:val="both"/>
      </w:pPr>
    </w:p>
    <w:p w:rsidR="00430E23" w:rsidRPr="00763598" w:rsidRDefault="00430E23" w:rsidP="00430E23">
      <w:pPr>
        <w:jc w:val="both"/>
        <w:rPr>
          <w:color w:val="4F81BD" w:themeColor="accent1"/>
          <w:sz w:val="28"/>
        </w:rPr>
      </w:pPr>
      <w:r>
        <w:rPr>
          <w:color w:val="4F81BD" w:themeColor="accent1"/>
          <w:sz w:val="28"/>
        </w:rPr>
        <w:t>Paragraphe 1</w:t>
      </w:r>
      <w:r w:rsidRPr="00763598">
        <w:rPr>
          <w:color w:val="4F81BD" w:themeColor="accent1"/>
          <w:sz w:val="28"/>
        </w:rPr>
        <w:t xml:space="preserve"> : Les tiers </w:t>
      </w:r>
      <w:r>
        <w:rPr>
          <w:color w:val="4F81BD" w:themeColor="accent1"/>
          <w:sz w:val="28"/>
        </w:rPr>
        <w:t>assimilés à</w:t>
      </w:r>
      <w:r w:rsidRPr="00763598">
        <w:rPr>
          <w:color w:val="4F81BD" w:themeColor="accent1"/>
          <w:sz w:val="28"/>
        </w:rPr>
        <w:t xml:space="preserve"> des parties </w:t>
      </w:r>
    </w:p>
    <w:p w:rsidR="00430E23" w:rsidRDefault="00430E23" w:rsidP="00430E23">
      <w:pPr>
        <w:jc w:val="both"/>
      </w:pPr>
    </w:p>
    <w:p w:rsidR="00430E23" w:rsidRDefault="00430E23" w:rsidP="00430E23">
      <w:pPr>
        <w:jc w:val="both"/>
      </w:pPr>
      <w:r>
        <w:t xml:space="preserve">Il y a trois hypothèses dans lesquelles les tiers sont considérés comme des parties et sont soumis aux effets du contrat. </w:t>
      </w:r>
    </w:p>
    <w:p w:rsidR="00430E23" w:rsidRDefault="00430E23" w:rsidP="00430E23">
      <w:pPr>
        <w:jc w:val="both"/>
      </w:pPr>
    </w:p>
    <w:p w:rsidR="00430E23" w:rsidRDefault="00430E23" w:rsidP="00430E23">
      <w:pPr>
        <w:jc w:val="both"/>
      </w:pPr>
      <w:r>
        <w:t xml:space="preserve">La première hypothèse touche les ayant-causes à titre universel (la personne qui recueille toute ou partie du patrimoine d’un contractant ; héritiers ou légataires). Ces personnes sont tenues par le contrat en cours d’exécution. Il y a néanmoins une limite dans les contrats </w:t>
      </w:r>
      <w:r w:rsidRPr="000E0A88">
        <w:rPr>
          <w:i/>
        </w:rPr>
        <w:t>intuitu personae</w:t>
      </w:r>
      <w:r>
        <w:t xml:space="preserve"> où cette substitution est impossible. </w:t>
      </w:r>
    </w:p>
    <w:p w:rsidR="00430E23" w:rsidRDefault="00430E23" w:rsidP="00430E23">
      <w:pPr>
        <w:jc w:val="both"/>
      </w:pPr>
    </w:p>
    <w:p w:rsidR="00430E23" w:rsidRDefault="00430E23" w:rsidP="00430E23">
      <w:pPr>
        <w:jc w:val="both"/>
      </w:pPr>
      <w:r>
        <w:t xml:space="preserve">La deuxième hypothèse vise la représentation. Il s’agit d’un procédé juridique par lequel le représentant agit au nom et pour le compte du représenté, de sorte que les effets de l’acte conclu par le représentant se produisent directement sur la tête du représenté. En cas de représentation, le tiers représenté n’est cependant pas vraiment un tiers, c’est une partie. Il faut distinguer les représentations parfaites et les représentations imparfaites. La représentation est dite parfaite lorsque le mandataire révèle sa qualité à l’autre partie. Dans ce cas là, le représentant est transparent, il n’existe pas juridiquement et ne s’engage pas lui-même. Cependant, la représentation peut être imparfaite lorsque le représentant ne révèle pas sa qualité à l’autre partie. Dans ce cas là, le mandataire est engagé lui-même par le contrat. </w:t>
      </w:r>
    </w:p>
    <w:p w:rsidR="00430E23" w:rsidRDefault="00430E23" w:rsidP="00430E23">
      <w:pPr>
        <w:jc w:val="both"/>
      </w:pPr>
    </w:p>
    <w:p w:rsidR="00430E23" w:rsidRDefault="00430E23" w:rsidP="00430E23">
      <w:pPr>
        <w:jc w:val="both"/>
      </w:pPr>
      <w:r>
        <w:t xml:space="preserve">La troisième hypothèse vise les cessionnaires (parties à une cession de contrat ou de créance). La cession de contrat a pour objet de remplacer une partie par un tiers en cours d’exécution du contrat (ex : cession de bail). </w:t>
      </w:r>
    </w:p>
    <w:p w:rsidR="00430E23" w:rsidRDefault="00430E23" w:rsidP="00430E23">
      <w:pPr>
        <w:jc w:val="both"/>
      </w:pPr>
    </w:p>
    <w:p w:rsidR="00430E23" w:rsidRPr="00E61894" w:rsidRDefault="00430E23" w:rsidP="00430E23">
      <w:pPr>
        <w:jc w:val="both"/>
        <w:rPr>
          <w:color w:val="4F81BD" w:themeColor="accent1"/>
          <w:sz w:val="28"/>
        </w:rPr>
      </w:pPr>
      <w:r w:rsidRPr="00E61894">
        <w:rPr>
          <w:color w:val="4F81BD" w:themeColor="accent1"/>
          <w:sz w:val="28"/>
        </w:rPr>
        <w:t>Paragraphe 2 : Les ayant-causes à titre particulier</w:t>
      </w:r>
    </w:p>
    <w:p w:rsidR="00430E23" w:rsidRDefault="00430E23" w:rsidP="00430E23">
      <w:pPr>
        <w:jc w:val="both"/>
      </w:pPr>
    </w:p>
    <w:p w:rsidR="00430E23" w:rsidRDefault="00430E23" w:rsidP="00430E23">
      <w:pPr>
        <w:jc w:val="both"/>
      </w:pPr>
      <w:r>
        <w:lastRenderedPageBreak/>
        <w:t xml:space="preserve">Ce sont les personnes qui reçoivent d’autrui un bien ou un droit. En recevant un bien, ces ayant-causes reçoivent les droits et les actions qui y sont attachés alors que ceux-ci ont été créés par un contrat auquel l’intéressé n’était pas parti. </w:t>
      </w:r>
    </w:p>
    <w:p w:rsidR="00430E23" w:rsidRDefault="00430E23" w:rsidP="00430E23">
      <w:pPr>
        <w:jc w:val="both"/>
      </w:pPr>
    </w:p>
    <w:p w:rsidR="00430E23" w:rsidRDefault="00430E23" w:rsidP="00430E23">
      <w:pPr>
        <w:jc w:val="both"/>
      </w:pPr>
      <w:r>
        <w:t>Dans un arrêt de la 1</w:t>
      </w:r>
      <w:r w:rsidRPr="00DA2F37">
        <w:rPr>
          <w:vertAlign w:val="superscript"/>
        </w:rPr>
        <w:t>ère</w:t>
      </w:r>
      <w:r>
        <w:t xml:space="preserve"> chambre civile du 15 janvier 1918, la Cour de cassation précise que les dettes ne sont pas transmises avec la chose. Peut-il y avoir transmission des créances à l’ayant-cause à titre particulier ? Cela est parfois admis ; par exemple on estime que la créance de non-concurrence se transmet aux acquéreurs successifs d’un fond de commerce. Il en va de même pour les actions en garantie. Dans le droit de la vente, le vendeur est débiteur de garanties au profit de l’acheteur, il doit par exemple la garantie de conformité (la chose vendue doit être celle prévue dans le contrat) et la garantie des vices cachés (la chose doit être propre à l’usage auquel elle est destinée). Ces actions en garantie sont considérées, par la doctrine comme par la jurisprudence, comme des accessoires de la chose vendue. Cela signifie que chaque fois que la chose est vendue, avec elle sont transmises les clauses de garantie, alors même que ces actions en garanties ont été créées par un contrat auquel l’ayant-cause à titre particulier n’est pas forcément partie. Cela a été expressément confirmé par un arrêt rendu par l’assemblée plénière de la Cour de cassation le 7 février 1986. </w:t>
      </w:r>
    </w:p>
    <w:p w:rsidR="00430E23" w:rsidRDefault="00430E23" w:rsidP="00430E23">
      <w:pPr>
        <w:jc w:val="both"/>
      </w:pPr>
    </w:p>
    <w:p w:rsidR="00430E23" w:rsidRDefault="00430E23" w:rsidP="00430E23">
      <w:pPr>
        <w:jc w:val="both"/>
      </w:pPr>
      <w:r>
        <w:t xml:space="preserve">Exemple des chaines de contrat de ventes. </w:t>
      </w:r>
    </w:p>
    <w:p w:rsidR="00430E23" w:rsidRDefault="00430E23" w:rsidP="00430E23">
      <w:pPr>
        <w:jc w:val="both"/>
      </w:pPr>
    </w:p>
    <w:p w:rsidR="00430E23" w:rsidRDefault="00430E23" w:rsidP="00430E23">
      <w:pPr>
        <w:jc w:val="both"/>
      </w:pPr>
      <w:r>
        <w:t xml:space="preserve">Il y a donc une limite importante à l’effet relatif du contrat. Cette limite a été illustrée dans la théorie des groupes de contrats (ensemble de contrats qui présente une unité économique, soit parce qu’elles portent sur un même objet, soit parce qu’elles poursuivent un même but ; ex de la chaine de contrat de vente). Les chaines de contrats qui portent sur la même chose peuvent être tantôt homogènes, tantôt hétérogènes. On dit d’une chaine de contrat qu’elle est homogène lorsque les contrats qui ont successivement le même objet ont la même nature (ex : succession de contrats de vente). Parfois, au contraire, la chaine de contrat est hétérogène càd qu’elle porte toujours sur le même objet mais les contrats dans ce groupe n’ont plus la même nature (ex : pour construire une maison il y a une succession de contrats d’entreprise et un contrat de vente). </w:t>
      </w:r>
    </w:p>
    <w:p w:rsidR="00430E23" w:rsidRDefault="00430E23" w:rsidP="00430E23">
      <w:pPr>
        <w:jc w:val="both"/>
      </w:pPr>
    </w:p>
    <w:p w:rsidR="00430E23" w:rsidRDefault="00430E23" w:rsidP="00430E23">
      <w:pPr>
        <w:jc w:val="both"/>
      </w:pPr>
      <w:r>
        <w:t xml:space="preserve">Dans ces hypothèses la question est de savoir quels sont les effets du contrat à l’égard des personnes qui participent au même groupe de contrats. Si on appliquait l’effet relatif càd l’A1165 du cc, l’acquéreur final ne devrait pas profiter des effets du contrat initial. Si l’on applique la jurisprudence de l’assemblée plénière selon laquelle la garantie est accessoire de la chose successivement vendue, alors il faut permettre à l’acquéreur final d’invoquer la responsabilité contractuelle du fabriquant alors pourtant qu’il n’y aucun lien contractuel qui unit ce dernier à l’acquéreur. </w:t>
      </w:r>
    </w:p>
    <w:p w:rsidR="00430E23" w:rsidRDefault="00430E23" w:rsidP="00430E23">
      <w:pPr>
        <w:jc w:val="both"/>
      </w:pPr>
    </w:p>
    <w:p w:rsidR="00430E23" w:rsidRDefault="00430E23" w:rsidP="00430E23">
      <w:pPr>
        <w:jc w:val="both"/>
      </w:pPr>
      <w:r>
        <w:t>Il y a eu de nombreux arrêts sur cette question. La 1</w:t>
      </w:r>
      <w:r w:rsidRPr="006C4BA9">
        <w:rPr>
          <w:vertAlign w:val="superscript"/>
        </w:rPr>
        <w:t>ère</w:t>
      </w:r>
      <w:r>
        <w:t xml:space="preserve"> civile a rendu un arrêt du 8 mars 1988 dans lequel elle étend, de façon audacieuse, les effets du contrat initial aux sous-acquéreurs et plus largement aux parties dans les groupes de contrats. </w:t>
      </w:r>
    </w:p>
    <w:p w:rsidR="00A7009B" w:rsidRDefault="00A7009B">
      <w:bookmarkStart w:id="0" w:name="_GoBack"/>
      <w:bookmarkEnd w:id="0"/>
    </w:p>
    <w:sectPr w:rsidR="00A7009B" w:rsidSect="002B32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23"/>
    <w:rsid w:val="002B3256"/>
    <w:rsid w:val="00430E23"/>
    <w:rsid w:val="00A700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D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4815</Characters>
  <Application>Microsoft Macintosh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 Taris</dc:creator>
  <cp:keywords/>
  <dc:description/>
  <cp:lastModifiedBy>Viva Taris</cp:lastModifiedBy>
  <cp:revision>1</cp:revision>
  <dcterms:created xsi:type="dcterms:W3CDTF">2014-12-04T20:59:00Z</dcterms:created>
  <dcterms:modified xsi:type="dcterms:W3CDTF">2014-12-04T20:59:00Z</dcterms:modified>
</cp:coreProperties>
</file>