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A12" w:rsidRPr="00095A12" w:rsidRDefault="00095A12" w:rsidP="001D1D81">
      <w:pPr>
        <w:shd w:val="clear" w:color="auto" w:fill="FFFFFF"/>
        <w:spacing w:before="100" w:beforeAutospacing="1" w:after="24" w:line="360" w:lineRule="auto"/>
        <w:jc w:val="both"/>
        <w:rPr>
          <w:rFonts w:ascii="Tahoma" w:eastAsia="Times New Roman" w:hAnsi="Tahoma" w:cs="Tahoma"/>
          <w:sz w:val="20"/>
          <w:szCs w:val="20"/>
          <w:lang w:val="fr-FR" w:eastAsia="fr-FR"/>
        </w:rPr>
      </w:pPr>
      <w:r w:rsidRPr="00095A12">
        <w:rPr>
          <w:rFonts w:ascii="Tahoma" w:eastAsia="Times New Roman" w:hAnsi="Tahoma" w:cs="Tahoma"/>
          <w:sz w:val="20"/>
          <w:szCs w:val="20"/>
          <w:lang w:val="fr-FR" w:eastAsia="fr-FR"/>
        </w:rPr>
        <w:t>L'ORGANISATION POUR LA SECURITE ET LA COOPERATION EN EUROPE (OSCE), l'anciennement Conférence sur la sécurité et la coopération en Europe (CSCE), est une association internationale ayant pour but de favoriser le dialogue et la négociation entre l'Est et l'Ouest.</w:t>
      </w:r>
    </w:p>
    <w:p w:rsidR="00095A12" w:rsidRPr="00095A12" w:rsidRDefault="00095A12" w:rsidP="001D1D81">
      <w:pPr>
        <w:shd w:val="clear" w:color="auto" w:fill="FFFFFF"/>
        <w:spacing w:before="100" w:beforeAutospacing="1" w:after="24" w:line="360" w:lineRule="auto"/>
        <w:jc w:val="both"/>
        <w:rPr>
          <w:rFonts w:ascii="Tahoma" w:eastAsia="Times New Roman" w:hAnsi="Tahoma" w:cs="Tahoma"/>
          <w:sz w:val="20"/>
          <w:szCs w:val="20"/>
          <w:lang w:val="fr-FR" w:eastAsia="fr-FR"/>
        </w:rPr>
      </w:pPr>
      <w:r w:rsidRPr="00095A12">
        <w:rPr>
          <w:rFonts w:ascii="Tahoma" w:eastAsia="Times New Roman" w:hAnsi="Tahoma" w:cs="Tahoma"/>
          <w:sz w:val="20"/>
          <w:szCs w:val="20"/>
          <w:lang w:val="fr-FR" w:eastAsia="fr-FR"/>
        </w:rPr>
        <w:t xml:space="preserve">Cette organisation est formée par 57 pays d'autour de trois continents l'Amérique du Nord, l'Europe et L'Asie, touche plus de 1 billon des personnes. Les droits des minorités sont incluses parmi ces plusieurs champs d'action veulent identifier et chercher la résolution rapide des tensions ethniques qui pourront menacer la paix ou la stabilité. Il défend les droits des minorités nationales et accorde une attention particulière à la situation des Roms et des </w:t>
      </w:r>
      <w:proofErr w:type="spellStart"/>
      <w:r w:rsidRPr="00095A12">
        <w:rPr>
          <w:rFonts w:ascii="Tahoma" w:eastAsia="Times New Roman" w:hAnsi="Tahoma" w:cs="Tahoma"/>
          <w:sz w:val="20"/>
          <w:szCs w:val="20"/>
          <w:lang w:val="fr-FR" w:eastAsia="fr-FR"/>
        </w:rPr>
        <w:t>Sinti</w:t>
      </w:r>
      <w:proofErr w:type="spellEnd"/>
    </w:p>
    <w:p w:rsidR="00095A12" w:rsidRDefault="00095A12" w:rsidP="001D1D81">
      <w:pPr>
        <w:shd w:val="clear" w:color="auto" w:fill="FFFFFF"/>
        <w:spacing w:before="100" w:beforeAutospacing="1" w:after="24" w:line="360" w:lineRule="auto"/>
        <w:jc w:val="both"/>
        <w:rPr>
          <w:rFonts w:ascii="Tahoma" w:eastAsia="Times New Roman" w:hAnsi="Tahoma" w:cs="Tahoma"/>
          <w:sz w:val="20"/>
          <w:szCs w:val="20"/>
          <w:lang w:val="fr-FR" w:eastAsia="fr-FR"/>
        </w:rPr>
      </w:pPr>
      <w:r>
        <w:rPr>
          <w:rFonts w:ascii="Tahoma" w:eastAsia="Times New Roman" w:hAnsi="Tahoma" w:cs="Tahoma"/>
          <w:sz w:val="20"/>
          <w:szCs w:val="20"/>
          <w:lang w:val="fr-FR" w:eastAsia="fr-FR"/>
        </w:rPr>
        <w:t>L'OSCE dispose de cinq</w:t>
      </w:r>
      <w:r w:rsidRPr="00095A12">
        <w:rPr>
          <w:rFonts w:ascii="Tahoma" w:eastAsia="Times New Roman" w:hAnsi="Tahoma" w:cs="Tahoma"/>
          <w:sz w:val="20"/>
          <w:szCs w:val="20"/>
          <w:lang w:val="fr-FR" w:eastAsia="fr-FR"/>
        </w:rPr>
        <w:t xml:space="preserve"> institutions susceptibles d'</w:t>
      </w:r>
      <w:r w:rsidRPr="00095A12">
        <w:rPr>
          <w:rFonts w:ascii="Tahoma" w:eastAsia="Times New Roman" w:hAnsi="Tahoma" w:cs="Tahoma"/>
          <w:sz w:val="20"/>
          <w:szCs w:val="20"/>
          <w:lang w:val="fr-FR" w:eastAsia="fr-FR"/>
        </w:rPr>
        <w:t>œuvrer</w:t>
      </w:r>
      <w:r w:rsidRPr="00095A12">
        <w:rPr>
          <w:rFonts w:ascii="Tahoma" w:eastAsia="Times New Roman" w:hAnsi="Tahoma" w:cs="Tahoma"/>
          <w:sz w:val="20"/>
          <w:szCs w:val="20"/>
          <w:lang w:val="fr-FR" w:eastAsia="fr-FR"/>
        </w:rPr>
        <w:t xml:space="preserve"> contre les « manifestations d'intolérance et les pratiques discriminatoires » :</w:t>
      </w:r>
    </w:p>
    <w:p w:rsidR="00095A12" w:rsidRPr="00095A12" w:rsidRDefault="00014D51" w:rsidP="001D1D81">
      <w:pPr>
        <w:pStyle w:val="Prrafodelista"/>
        <w:numPr>
          <w:ilvl w:val="0"/>
          <w:numId w:val="3"/>
        </w:numPr>
        <w:shd w:val="clear" w:color="auto" w:fill="FFFFFF"/>
        <w:spacing w:before="100" w:beforeAutospacing="1" w:after="24" w:line="360" w:lineRule="auto"/>
        <w:ind w:left="768"/>
        <w:jc w:val="both"/>
        <w:rPr>
          <w:rFonts w:ascii="Tahoma" w:eastAsia="Times New Roman" w:hAnsi="Tahoma" w:cs="Tahoma"/>
          <w:i/>
          <w:sz w:val="20"/>
          <w:szCs w:val="20"/>
          <w:lang w:val="fr-FR" w:eastAsia="fr-FR"/>
        </w:rPr>
      </w:pPr>
      <w:r w:rsidRPr="00095A12">
        <w:rPr>
          <w:rFonts w:ascii="Tahoma" w:eastAsia="Times New Roman" w:hAnsi="Tahoma" w:cs="Tahoma"/>
          <w:i/>
          <w:iCs/>
          <w:sz w:val="20"/>
          <w:szCs w:val="20"/>
          <w:lang w:val="fr-FR" w:eastAsia="fr-FR"/>
        </w:rPr>
        <w:t xml:space="preserve">Le </w:t>
      </w:r>
      <w:r w:rsidR="00FC193E" w:rsidRPr="00095A12">
        <w:rPr>
          <w:rFonts w:ascii="Tahoma" w:eastAsia="Times New Roman" w:hAnsi="Tahoma" w:cs="Tahoma"/>
          <w:i/>
          <w:iCs/>
          <w:sz w:val="20"/>
          <w:szCs w:val="20"/>
          <w:lang w:val="fr-FR" w:eastAsia="fr-FR"/>
        </w:rPr>
        <w:t>Bureau des institutions démocratiques et des droits de l’homme</w:t>
      </w:r>
    </w:p>
    <w:p w:rsidR="00FC193E" w:rsidRPr="00095A12" w:rsidRDefault="00014D51" w:rsidP="001D1D81">
      <w:pPr>
        <w:pStyle w:val="Prrafodelista"/>
        <w:numPr>
          <w:ilvl w:val="0"/>
          <w:numId w:val="3"/>
        </w:numPr>
        <w:shd w:val="clear" w:color="auto" w:fill="FFFFFF"/>
        <w:spacing w:before="100" w:beforeAutospacing="1" w:after="24" w:line="360" w:lineRule="auto"/>
        <w:ind w:left="768"/>
        <w:jc w:val="both"/>
        <w:rPr>
          <w:rFonts w:ascii="Tahoma" w:eastAsia="Times New Roman" w:hAnsi="Tahoma" w:cs="Tahoma"/>
          <w:i/>
          <w:sz w:val="20"/>
          <w:szCs w:val="20"/>
          <w:lang w:val="fr-FR" w:eastAsia="fr-FR"/>
        </w:rPr>
      </w:pPr>
      <w:r w:rsidRPr="00095A12">
        <w:rPr>
          <w:rFonts w:ascii="Tahoma" w:eastAsia="Times New Roman" w:hAnsi="Tahoma" w:cs="Tahoma"/>
          <w:i/>
          <w:iCs/>
          <w:sz w:val="20"/>
          <w:szCs w:val="20"/>
          <w:lang w:val="fr-FR" w:eastAsia="fr-FR"/>
        </w:rPr>
        <w:t xml:space="preserve">Le </w:t>
      </w:r>
      <w:r w:rsidR="00A05B85" w:rsidRPr="00095A12">
        <w:rPr>
          <w:rFonts w:ascii="Tahoma" w:eastAsia="Times New Roman" w:hAnsi="Tahoma" w:cs="Tahoma"/>
          <w:i/>
          <w:iCs/>
          <w:sz w:val="20"/>
          <w:szCs w:val="20"/>
          <w:lang w:val="fr-FR" w:eastAsia="fr-FR"/>
        </w:rPr>
        <w:t>Haut-Commissaire</w:t>
      </w:r>
      <w:r w:rsidR="00FC193E" w:rsidRPr="00095A12">
        <w:rPr>
          <w:rFonts w:ascii="Tahoma" w:eastAsia="Times New Roman" w:hAnsi="Tahoma" w:cs="Tahoma"/>
          <w:i/>
          <w:iCs/>
          <w:sz w:val="20"/>
          <w:szCs w:val="20"/>
          <w:lang w:val="fr-FR" w:eastAsia="fr-FR"/>
        </w:rPr>
        <w:t xml:space="preserve"> aux minorités nationales</w:t>
      </w:r>
      <w:r w:rsidR="00021A49" w:rsidRPr="00095A12">
        <w:rPr>
          <w:rFonts w:ascii="Tahoma" w:eastAsia="Times New Roman" w:hAnsi="Tahoma" w:cs="Tahoma"/>
          <w:i/>
          <w:sz w:val="20"/>
          <w:szCs w:val="20"/>
          <w:lang w:val="fr-FR" w:eastAsia="fr-FR"/>
        </w:rPr>
        <w:t>.</w:t>
      </w:r>
    </w:p>
    <w:p w:rsidR="00021A49" w:rsidRPr="00014D51" w:rsidRDefault="00014D51" w:rsidP="001D1D81">
      <w:pPr>
        <w:numPr>
          <w:ilvl w:val="0"/>
          <w:numId w:val="3"/>
        </w:numPr>
        <w:shd w:val="clear" w:color="auto" w:fill="FFFFFF"/>
        <w:spacing w:before="100" w:beforeAutospacing="1" w:after="24" w:line="360" w:lineRule="auto"/>
        <w:ind w:left="768"/>
        <w:jc w:val="both"/>
        <w:rPr>
          <w:rFonts w:ascii="Tahoma" w:eastAsia="Times New Roman" w:hAnsi="Tahoma" w:cs="Tahoma"/>
          <w:i/>
          <w:sz w:val="20"/>
          <w:szCs w:val="20"/>
          <w:lang w:val="fr-FR" w:eastAsia="fr-FR"/>
        </w:rPr>
      </w:pPr>
      <w:r w:rsidRPr="00FC193E">
        <w:rPr>
          <w:rFonts w:ascii="Tahoma" w:eastAsia="Times New Roman" w:hAnsi="Tahoma" w:cs="Tahoma"/>
          <w:i/>
          <w:iCs/>
          <w:sz w:val="20"/>
          <w:szCs w:val="20"/>
          <w:lang w:val="fr-FR" w:eastAsia="fr-FR"/>
        </w:rPr>
        <w:t xml:space="preserve">Le </w:t>
      </w:r>
      <w:r w:rsidR="00FC193E" w:rsidRPr="00FC193E">
        <w:rPr>
          <w:rFonts w:ascii="Tahoma" w:eastAsia="Times New Roman" w:hAnsi="Tahoma" w:cs="Tahoma"/>
          <w:i/>
          <w:iCs/>
          <w:sz w:val="20"/>
          <w:szCs w:val="20"/>
          <w:lang w:val="fr-FR" w:eastAsia="fr-FR"/>
        </w:rPr>
        <w:t>Représentant pour la liberté des médias</w:t>
      </w:r>
      <w:r w:rsidR="00A05B85" w:rsidRPr="00014D51">
        <w:rPr>
          <w:rFonts w:ascii="Tahoma" w:eastAsia="Times New Roman" w:hAnsi="Tahoma" w:cs="Tahoma"/>
          <w:i/>
          <w:sz w:val="20"/>
          <w:szCs w:val="20"/>
          <w:lang w:val="fr-FR" w:eastAsia="fr-FR"/>
        </w:rPr>
        <w:t xml:space="preserve"> </w:t>
      </w:r>
    </w:p>
    <w:p w:rsidR="00014D51" w:rsidRPr="00014D51" w:rsidRDefault="00014D51" w:rsidP="001D1D81">
      <w:pPr>
        <w:numPr>
          <w:ilvl w:val="0"/>
          <w:numId w:val="3"/>
        </w:numPr>
        <w:shd w:val="clear" w:color="auto" w:fill="FFFFFF"/>
        <w:spacing w:before="100" w:beforeAutospacing="1" w:after="24" w:line="360" w:lineRule="auto"/>
        <w:ind w:left="768"/>
        <w:jc w:val="both"/>
        <w:rPr>
          <w:rFonts w:ascii="Tahoma" w:eastAsia="Times New Roman" w:hAnsi="Tahoma" w:cs="Tahoma"/>
          <w:i/>
          <w:sz w:val="20"/>
          <w:szCs w:val="20"/>
          <w:lang w:val="fr-FR" w:eastAsia="fr-FR"/>
        </w:rPr>
      </w:pPr>
      <w:r>
        <w:rPr>
          <w:rFonts w:ascii="Tahoma" w:eastAsia="Times New Roman" w:hAnsi="Tahoma" w:cs="Tahoma"/>
          <w:i/>
          <w:sz w:val="20"/>
          <w:szCs w:val="20"/>
          <w:lang w:val="fr-FR" w:eastAsia="fr-FR"/>
        </w:rPr>
        <w:t>La C</w:t>
      </w:r>
      <w:r w:rsidRPr="00014D51">
        <w:rPr>
          <w:rFonts w:ascii="Tahoma" w:eastAsia="Times New Roman" w:hAnsi="Tahoma" w:cs="Tahoma"/>
          <w:i/>
          <w:sz w:val="20"/>
          <w:szCs w:val="20"/>
          <w:lang w:val="fr-FR" w:eastAsia="fr-FR"/>
        </w:rPr>
        <w:t xml:space="preserve">our de Conciliation et </w:t>
      </w:r>
      <w:r>
        <w:rPr>
          <w:rFonts w:ascii="Tahoma" w:eastAsia="Times New Roman" w:hAnsi="Tahoma" w:cs="Tahoma"/>
          <w:i/>
          <w:sz w:val="20"/>
          <w:szCs w:val="20"/>
          <w:lang w:val="fr-FR" w:eastAsia="fr-FR"/>
        </w:rPr>
        <w:t>A</w:t>
      </w:r>
      <w:r w:rsidRPr="00014D51">
        <w:rPr>
          <w:rFonts w:ascii="Tahoma" w:eastAsia="Times New Roman" w:hAnsi="Tahoma" w:cs="Tahoma"/>
          <w:i/>
          <w:sz w:val="20"/>
          <w:szCs w:val="20"/>
          <w:lang w:val="fr-FR" w:eastAsia="fr-FR"/>
        </w:rPr>
        <w:t>rbitrage</w:t>
      </w:r>
    </w:p>
    <w:p w:rsidR="00014D51" w:rsidRPr="00014D51" w:rsidRDefault="00095A12" w:rsidP="001D1D81">
      <w:pPr>
        <w:numPr>
          <w:ilvl w:val="0"/>
          <w:numId w:val="3"/>
        </w:numPr>
        <w:shd w:val="clear" w:color="auto" w:fill="FFFFFF"/>
        <w:spacing w:before="100" w:beforeAutospacing="1" w:after="24" w:line="360" w:lineRule="auto"/>
        <w:ind w:left="768"/>
        <w:jc w:val="both"/>
        <w:rPr>
          <w:rFonts w:ascii="Tahoma" w:eastAsia="Times New Roman" w:hAnsi="Tahoma" w:cs="Tahoma"/>
          <w:i/>
          <w:sz w:val="20"/>
          <w:szCs w:val="20"/>
          <w:lang w:val="fr-FR" w:eastAsia="fr-FR"/>
        </w:rPr>
      </w:pPr>
      <w:r>
        <w:rPr>
          <w:rFonts w:ascii="Tahoma" w:eastAsia="Times New Roman" w:hAnsi="Tahoma" w:cs="Tahoma"/>
          <w:i/>
          <w:sz w:val="20"/>
          <w:szCs w:val="20"/>
          <w:lang w:val="fr-FR" w:eastAsia="fr-FR"/>
        </w:rPr>
        <w:t xml:space="preserve">Le </w:t>
      </w:r>
      <w:r w:rsidRPr="00014D51">
        <w:rPr>
          <w:rFonts w:ascii="Tahoma" w:eastAsia="Times New Roman" w:hAnsi="Tahoma" w:cs="Tahoma"/>
          <w:i/>
          <w:sz w:val="20"/>
          <w:szCs w:val="20"/>
          <w:lang w:val="fr-FR" w:eastAsia="fr-FR"/>
        </w:rPr>
        <w:t>Groupe</w:t>
      </w:r>
      <w:r>
        <w:rPr>
          <w:rFonts w:ascii="Tahoma" w:eastAsia="Times New Roman" w:hAnsi="Tahoma" w:cs="Tahoma"/>
          <w:i/>
          <w:sz w:val="20"/>
          <w:szCs w:val="20"/>
          <w:lang w:val="fr-FR" w:eastAsia="fr-FR"/>
        </w:rPr>
        <w:t xml:space="preserve"> de Minsk</w:t>
      </w:r>
    </w:p>
    <w:p w:rsidR="00021A49" w:rsidRDefault="00021A49" w:rsidP="001D1D81">
      <w:pPr>
        <w:shd w:val="clear" w:color="auto" w:fill="FFFFFF"/>
        <w:spacing w:before="100" w:beforeAutospacing="1" w:after="24" w:line="360" w:lineRule="auto"/>
        <w:jc w:val="both"/>
        <w:rPr>
          <w:rFonts w:ascii="Tahoma" w:eastAsia="Times New Roman" w:hAnsi="Tahoma" w:cs="Tahoma"/>
          <w:sz w:val="20"/>
          <w:szCs w:val="20"/>
          <w:u w:val="single"/>
          <w:lang w:val="fr-FR" w:eastAsia="fr-FR"/>
        </w:rPr>
      </w:pPr>
      <w:r w:rsidRPr="00021A49">
        <w:rPr>
          <w:rFonts w:ascii="Tahoma" w:eastAsia="Times New Roman" w:hAnsi="Tahoma" w:cs="Tahoma"/>
          <w:iCs/>
          <w:sz w:val="20"/>
          <w:szCs w:val="20"/>
          <w:u w:val="single"/>
          <w:lang w:val="fr-FR" w:eastAsia="fr-FR"/>
        </w:rPr>
        <w:t>L</w:t>
      </w:r>
      <w:r w:rsidRPr="00FC193E">
        <w:rPr>
          <w:rFonts w:ascii="Tahoma" w:eastAsia="Times New Roman" w:hAnsi="Tahoma" w:cs="Tahoma"/>
          <w:iCs/>
          <w:sz w:val="20"/>
          <w:szCs w:val="20"/>
          <w:u w:val="single"/>
          <w:lang w:val="fr-FR" w:eastAsia="fr-FR"/>
        </w:rPr>
        <w:t xml:space="preserve">e </w:t>
      </w:r>
      <w:r w:rsidRPr="00021A49">
        <w:rPr>
          <w:rFonts w:ascii="Tahoma" w:eastAsia="Times New Roman" w:hAnsi="Tahoma" w:cs="Tahoma"/>
          <w:iCs/>
          <w:sz w:val="20"/>
          <w:szCs w:val="20"/>
          <w:u w:val="single"/>
          <w:lang w:val="fr-FR" w:eastAsia="fr-FR"/>
        </w:rPr>
        <w:t>Haut-Commissaire</w:t>
      </w:r>
      <w:r w:rsidRPr="00FC193E">
        <w:rPr>
          <w:rFonts w:ascii="Tahoma" w:eastAsia="Times New Roman" w:hAnsi="Tahoma" w:cs="Tahoma"/>
          <w:iCs/>
          <w:sz w:val="20"/>
          <w:szCs w:val="20"/>
          <w:u w:val="single"/>
          <w:lang w:val="fr-FR" w:eastAsia="fr-FR"/>
        </w:rPr>
        <w:t xml:space="preserve"> aux minorités nationales</w:t>
      </w:r>
      <w:r w:rsidRPr="00021A49">
        <w:rPr>
          <w:rFonts w:ascii="Tahoma" w:eastAsia="Times New Roman" w:hAnsi="Tahoma" w:cs="Tahoma"/>
          <w:sz w:val="20"/>
          <w:szCs w:val="20"/>
          <w:u w:val="single"/>
          <w:lang w:val="fr-FR" w:eastAsia="fr-FR"/>
        </w:rPr>
        <w:t>.</w:t>
      </w:r>
    </w:p>
    <w:p w:rsidR="001D1D81" w:rsidRPr="001D1D81" w:rsidRDefault="001D1D81" w:rsidP="001D1D81">
      <w:pPr>
        <w:pStyle w:val="Prrafodelista"/>
        <w:numPr>
          <w:ilvl w:val="0"/>
          <w:numId w:val="7"/>
        </w:numPr>
        <w:spacing w:line="360" w:lineRule="auto"/>
        <w:jc w:val="both"/>
        <w:rPr>
          <w:rFonts w:ascii="Tahoma" w:eastAsia="Times New Roman" w:hAnsi="Tahoma" w:cs="Tahoma"/>
          <w:sz w:val="20"/>
          <w:szCs w:val="20"/>
          <w:lang w:val="fr-FR" w:eastAsia="fr-FR"/>
        </w:rPr>
      </w:pPr>
      <w:r w:rsidRPr="001D1D81">
        <w:rPr>
          <w:rFonts w:ascii="Tahoma" w:eastAsia="Times New Roman" w:hAnsi="Tahoma" w:cs="Tahoma"/>
          <w:sz w:val="20"/>
          <w:szCs w:val="20"/>
          <w:lang w:val="fr-FR" w:eastAsia="fr-FR"/>
        </w:rPr>
        <w:t>Est un instrument de prévention des conflits au stade le plus précoce possible</w:t>
      </w:r>
    </w:p>
    <w:p w:rsidR="001D1D81" w:rsidRPr="001D1D81" w:rsidRDefault="001D1D81" w:rsidP="001D1D81">
      <w:pPr>
        <w:pStyle w:val="Prrafodelista"/>
        <w:numPr>
          <w:ilvl w:val="0"/>
          <w:numId w:val="7"/>
        </w:numPr>
        <w:spacing w:line="360" w:lineRule="auto"/>
        <w:jc w:val="both"/>
        <w:rPr>
          <w:rFonts w:ascii="Tahoma" w:eastAsia="Times New Roman" w:hAnsi="Tahoma" w:cs="Tahoma"/>
          <w:sz w:val="20"/>
          <w:szCs w:val="20"/>
          <w:lang w:val="fr-FR" w:eastAsia="fr-FR"/>
        </w:rPr>
      </w:pPr>
      <w:r w:rsidRPr="001D1D81">
        <w:rPr>
          <w:rFonts w:ascii="Tahoma" w:eastAsia="Times New Roman" w:hAnsi="Tahoma" w:cs="Tahoma"/>
          <w:sz w:val="20"/>
          <w:szCs w:val="20"/>
          <w:lang w:val="fr-FR" w:eastAsia="fr-FR"/>
        </w:rPr>
        <w:t>Est un bureau indépendant impartial et coopératif ayant une fonction de supervision.</w:t>
      </w:r>
    </w:p>
    <w:p w:rsidR="001D1D81" w:rsidRPr="001D1D81" w:rsidRDefault="001D1D81" w:rsidP="001D1D81">
      <w:pPr>
        <w:pStyle w:val="Prrafodelista"/>
        <w:numPr>
          <w:ilvl w:val="0"/>
          <w:numId w:val="7"/>
        </w:numPr>
        <w:spacing w:line="360" w:lineRule="auto"/>
        <w:jc w:val="both"/>
        <w:rPr>
          <w:rFonts w:ascii="Tahoma" w:eastAsia="Times New Roman" w:hAnsi="Tahoma" w:cs="Tahoma"/>
          <w:sz w:val="20"/>
          <w:szCs w:val="20"/>
          <w:lang w:val="fr-FR" w:eastAsia="fr-FR"/>
        </w:rPr>
      </w:pPr>
      <w:r w:rsidRPr="001D1D81">
        <w:rPr>
          <w:rFonts w:ascii="Tahoma" w:eastAsia="Times New Roman" w:hAnsi="Tahoma" w:cs="Tahoma"/>
          <w:sz w:val="20"/>
          <w:szCs w:val="20"/>
          <w:lang w:val="fr-FR" w:eastAsia="fr-FR"/>
        </w:rPr>
        <w:t xml:space="preserve">Base son travail sur les normes internationales auxquelles chaque État est souscrit. </w:t>
      </w:r>
    </w:p>
    <w:p w:rsidR="001D1D81" w:rsidRPr="001D1D81" w:rsidRDefault="001D1D81" w:rsidP="001D1D81">
      <w:pPr>
        <w:pStyle w:val="Prrafodelista"/>
        <w:numPr>
          <w:ilvl w:val="0"/>
          <w:numId w:val="7"/>
        </w:numPr>
        <w:spacing w:line="360" w:lineRule="auto"/>
        <w:jc w:val="both"/>
        <w:rPr>
          <w:rFonts w:ascii="Tahoma" w:eastAsia="Times New Roman" w:hAnsi="Tahoma" w:cs="Tahoma"/>
          <w:sz w:val="20"/>
          <w:szCs w:val="20"/>
          <w:lang w:val="fr-FR" w:eastAsia="fr-FR"/>
        </w:rPr>
      </w:pPr>
      <w:r w:rsidRPr="001D1D81">
        <w:rPr>
          <w:rFonts w:ascii="Tahoma" w:eastAsia="Times New Roman" w:hAnsi="Tahoma" w:cs="Tahoma"/>
          <w:sz w:val="20"/>
          <w:szCs w:val="20"/>
          <w:lang w:val="fr-FR" w:eastAsia="fr-FR"/>
        </w:rPr>
        <w:t xml:space="preserve">Au cours des plusieurs années d'activité, certains problèmes et thèmes ont été cibles et grâce au travail des institutions, différents recommandations à ce sujet ont été réalisés, ces recommandations ont servi de référence aux dirigeants politiques et législateurs d'un certain nombre d'états. </w:t>
      </w:r>
    </w:p>
    <w:p w:rsidR="001D1D81" w:rsidRPr="001D1D81" w:rsidRDefault="001D1D81" w:rsidP="001D1D81">
      <w:pPr>
        <w:spacing w:line="360" w:lineRule="auto"/>
        <w:ind w:left="360"/>
        <w:jc w:val="both"/>
        <w:rPr>
          <w:rFonts w:ascii="Tahoma" w:eastAsia="Times New Roman" w:hAnsi="Tahoma" w:cs="Tahoma"/>
          <w:sz w:val="20"/>
          <w:szCs w:val="20"/>
          <w:lang w:val="fr-FR" w:eastAsia="fr-FR"/>
        </w:rPr>
      </w:pPr>
      <w:r>
        <w:rPr>
          <w:rFonts w:ascii="Tahoma" w:eastAsia="Times New Roman" w:hAnsi="Tahoma" w:cs="Tahoma"/>
          <w:sz w:val="20"/>
          <w:szCs w:val="20"/>
          <w:lang w:val="fr-FR" w:eastAsia="fr-FR"/>
        </w:rPr>
        <w:t>Parmi</w:t>
      </w:r>
      <w:r w:rsidRPr="001D1D81">
        <w:rPr>
          <w:rFonts w:ascii="Tahoma" w:eastAsia="Times New Roman" w:hAnsi="Tahoma" w:cs="Tahoma"/>
          <w:sz w:val="20"/>
          <w:szCs w:val="20"/>
          <w:lang w:val="fr-FR" w:eastAsia="fr-FR"/>
        </w:rPr>
        <w:t xml:space="preserve"> ses recommandations par exemple on a : </w:t>
      </w:r>
    </w:p>
    <w:p w:rsidR="001D1D81" w:rsidRPr="001D1D81" w:rsidRDefault="001D1D81" w:rsidP="001D1D81">
      <w:pPr>
        <w:pStyle w:val="Prrafodelista"/>
        <w:numPr>
          <w:ilvl w:val="0"/>
          <w:numId w:val="7"/>
        </w:numPr>
        <w:spacing w:line="360" w:lineRule="auto"/>
        <w:jc w:val="both"/>
        <w:rPr>
          <w:rFonts w:ascii="Tahoma" w:eastAsia="Times New Roman" w:hAnsi="Tahoma" w:cs="Tahoma"/>
          <w:sz w:val="20"/>
          <w:szCs w:val="20"/>
          <w:lang w:val="fr-FR" w:eastAsia="fr-FR"/>
        </w:rPr>
      </w:pPr>
      <w:r w:rsidRPr="001D1D81">
        <w:rPr>
          <w:rFonts w:ascii="Tahoma" w:eastAsia="Times New Roman" w:hAnsi="Tahoma" w:cs="Tahoma"/>
          <w:sz w:val="20"/>
          <w:szCs w:val="20"/>
          <w:lang w:val="fr-FR" w:eastAsia="fr-FR"/>
        </w:rPr>
        <w:t xml:space="preserve">Les recommandations de la Haye relatives aux droits des minorités nationales en matière d'éducation (1996) </w:t>
      </w:r>
    </w:p>
    <w:p w:rsidR="001D1D81" w:rsidRPr="001D1D81" w:rsidRDefault="001D1D81" w:rsidP="001D1D81">
      <w:pPr>
        <w:pStyle w:val="Prrafodelista"/>
        <w:numPr>
          <w:ilvl w:val="0"/>
          <w:numId w:val="7"/>
        </w:numPr>
        <w:spacing w:line="360" w:lineRule="auto"/>
        <w:jc w:val="both"/>
        <w:rPr>
          <w:rFonts w:ascii="Tahoma" w:eastAsia="Times New Roman" w:hAnsi="Tahoma" w:cs="Tahoma"/>
          <w:sz w:val="20"/>
          <w:szCs w:val="20"/>
          <w:lang w:val="fr-FR" w:eastAsia="fr-FR"/>
        </w:rPr>
      </w:pPr>
      <w:r w:rsidRPr="001D1D81">
        <w:rPr>
          <w:rFonts w:ascii="Tahoma" w:eastAsia="Times New Roman" w:hAnsi="Tahoma" w:cs="Tahoma"/>
          <w:sz w:val="20"/>
          <w:szCs w:val="20"/>
          <w:lang w:val="fr-FR" w:eastAsia="fr-FR"/>
        </w:rPr>
        <w:t>Les Recommandations d'Oslo relative aux droits linguistiques des minorités nationales (1998)</w:t>
      </w:r>
    </w:p>
    <w:p w:rsidR="0019724B" w:rsidRPr="001D1D81" w:rsidRDefault="001D1D81" w:rsidP="001D1D81">
      <w:pPr>
        <w:pStyle w:val="Prrafodelista"/>
        <w:numPr>
          <w:ilvl w:val="0"/>
          <w:numId w:val="7"/>
        </w:numPr>
        <w:spacing w:line="360" w:lineRule="auto"/>
        <w:jc w:val="both"/>
        <w:rPr>
          <w:rFonts w:ascii="Tahoma" w:hAnsi="Tahoma" w:cs="Tahoma"/>
          <w:sz w:val="20"/>
          <w:szCs w:val="20"/>
          <w:lang w:val="fr-FR"/>
        </w:rPr>
      </w:pPr>
      <w:r w:rsidRPr="001D1D81">
        <w:rPr>
          <w:rFonts w:ascii="Tahoma" w:eastAsia="Times New Roman" w:hAnsi="Tahoma" w:cs="Tahoma"/>
          <w:sz w:val="20"/>
          <w:szCs w:val="20"/>
          <w:lang w:val="fr-FR" w:eastAsia="fr-FR"/>
        </w:rPr>
        <w:t>LES RECOMMANDATIONS DE LUND SUR LA PARTICIPATION EFFECTIVE DES MINORITÉS NATIONALES À LA VIE PUBLIQUE (1999)</w:t>
      </w:r>
      <w:bookmarkStart w:id="0" w:name="_GoBack"/>
      <w:bookmarkEnd w:id="0"/>
    </w:p>
    <w:p w:rsidR="00021A49" w:rsidRPr="00021A49" w:rsidRDefault="00021A49" w:rsidP="001D1D81">
      <w:pPr>
        <w:spacing w:line="360" w:lineRule="auto"/>
        <w:jc w:val="both"/>
        <w:rPr>
          <w:rFonts w:ascii="Tahoma" w:hAnsi="Tahoma" w:cs="Tahoma"/>
          <w:sz w:val="20"/>
          <w:szCs w:val="20"/>
          <w:lang w:val="fr-FR"/>
        </w:rPr>
      </w:pPr>
    </w:p>
    <w:sectPr w:rsidR="00021A49" w:rsidRPr="00021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816C6"/>
    <w:multiLevelType w:val="multilevel"/>
    <w:tmpl w:val="A0E8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9E1400"/>
    <w:multiLevelType w:val="hybridMultilevel"/>
    <w:tmpl w:val="12B64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F623A00"/>
    <w:multiLevelType w:val="hybridMultilevel"/>
    <w:tmpl w:val="C8668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36E1A86"/>
    <w:multiLevelType w:val="multilevel"/>
    <w:tmpl w:val="7046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2390F66"/>
    <w:multiLevelType w:val="hybridMultilevel"/>
    <w:tmpl w:val="0184A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28860BD"/>
    <w:multiLevelType w:val="hybridMultilevel"/>
    <w:tmpl w:val="FB28D3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DB944C1"/>
    <w:multiLevelType w:val="multilevel"/>
    <w:tmpl w:val="A1DAC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93E"/>
    <w:rsid w:val="00014D51"/>
    <w:rsid w:val="00021A49"/>
    <w:rsid w:val="00095A12"/>
    <w:rsid w:val="0019724B"/>
    <w:rsid w:val="001D1D81"/>
    <w:rsid w:val="00A05B85"/>
    <w:rsid w:val="00CB0A4D"/>
    <w:rsid w:val="00FC19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615C6-6943-433B-AA70-FCFEC8E2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C193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pple-converted-space">
    <w:name w:val="apple-converted-space"/>
    <w:basedOn w:val="Fuentedeprrafopredeter"/>
    <w:rsid w:val="00FC193E"/>
  </w:style>
  <w:style w:type="character" w:styleId="Hipervnculo">
    <w:name w:val="Hyperlink"/>
    <w:basedOn w:val="Fuentedeprrafopredeter"/>
    <w:uiPriority w:val="99"/>
    <w:semiHidden/>
    <w:unhideWhenUsed/>
    <w:rsid w:val="00FC193E"/>
    <w:rPr>
      <w:color w:val="0000FF"/>
      <w:u w:val="single"/>
    </w:rPr>
  </w:style>
  <w:style w:type="paragraph" w:styleId="Prrafodelista">
    <w:name w:val="List Paragraph"/>
    <w:basedOn w:val="Normal"/>
    <w:uiPriority w:val="34"/>
    <w:qFormat/>
    <w:rsid w:val="00FC1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846025">
      <w:bodyDiv w:val="1"/>
      <w:marLeft w:val="0"/>
      <w:marRight w:val="0"/>
      <w:marTop w:val="0"/>
      <w:marBottom w:val="0"/>
      <w:divBdr>
        <w:top w:val="none" w:sz="0" w:space="0" w:color="auto"/>
        <w:left w:val="none" w:sz="0" w:space="0" w:color="auto"/>
        <w:bottom w:val="none" w:sz="0" w:space="0" w:color="auto"/>
        <w:right w:val="none" w:sz="0" w:space="0" w:color="auto"/>
      </w:divBdr>
    </w:div>
    <w:div w:id="1189107178">
      <w:bodyDiv w:val="1"/>
      <w:marLeft w:val="0"/>
      <w:marRight w:val="0"/>
      <w:marTop w:val="0"/>
      <w:marBottom w:val="0"/>
      <w:divBdr>
        <w:top w:val="none" w:sz="0" w:space="0" w:color="auto"/>
        <w:left w:val="none" w:sz="0" w:space="0" w:color="auto"/>
        <w:bottom w:val="none" w:sz="0" w:space="0" w:color="auto"/>
        <w:right w:val="none" w:sz="0" w:space="0" w:color="auto"/>
      </w:divBdr>
    </w:div>
    <w:div w:id="148682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312</Words>
  <Characters>1716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 Ramírez</dc:creator>
  <cp:keywords/>
  <dc:description/>
  <cp:lastModifiedBy>Mae Ramírez</cp:lastModifiedBy>
  <cp:revision>2</cp:revision>
  <dcterms:created xsi:type="dcterms:W3CDTF">2014-11-27T08:40:00Z</dcterms:created>
  <dcterms:modified xsi:type="dcterms:W3CDTF">2014-11-27T09:45:00Z</dcterms:modified>
</cp:coreProperties>
</file>