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8C" w:rsidRDefault="0034718C" w:rsidP="00F51197">
      <w:pPr>
        <w:spacing w:line="480" w:lineRule="auto"/>
        <w:ind w:firstLine="706"/>
        <w:jc w:val="both"/>
        <w:rPr>
          <w:rFonts w:ascii="Bookman Old Style" w:hAnsi="Bookman Old Style"/>
        </w:rPr>
      </w:pPr>
    </w:p>
    <w:p w:rsidR="0034718C" w:rsidRPr="008B7789" w:rsidRDefault="0034718C" w:rsidP="00F51197">
      <w:pPr>
        <w:pBdr>
          <w:top w:val="single" w:sz="4" w:space="1" w:color="auto"/>
          <w:left w:val="single" w:sz="4" w:space="4" w:color="auto"/>
          <w:bottom w:val="single" w:sz="4" w:space="1" w:color="auto"/>
          <w:right w:val="single" w:sz="4" w:space="4" w:color="auto"/>
        </w:pBdr>
        <w:spacing w:line="480" w:lineRule="auto"/>
        <w:jc w:val="both"/>
        <w:rPr>
          <w:rFonts w:ascii="Bookman Old Style" w:hAnsi="Bookman Old Style"/>
          <w:b/>
        </w:rPr>
      </w:pPr>
      <w:r w:rsidRPr="008B7789">
        <w:rPr>
          <w:rFonts w:ascii="Bookman Old Style" w:hAnsi="Bookman Old Style"/>
          <w:b/>
        </w:rPr>
        <w:t>Sujet : La nouvelle gestion publique : origines et impacts : le cas du CERD</w:t>
      </w:r>
      <w:r w:rsidRPr="008B7789">
        <w:rPr>
          <w:rStyle w:val="Appelnotedebasdep"/>
          <w:rFonts w:ascii="Bookman Old Style" w:eastAsia="Calibri" w:hAnsi="Bookman Old Style"/>
          <w:b/>
        </w:rPr>
        <w:footnoteReference w:id="2"/>
      </w:r>
      <w:r w:rsidRPr="008B7789">
        <w:rPr>
          <w:rFonts w:ascii="Bookman Old Style" w:hAnsi="Bookman Old Style"/>
          <w:b/>
        </w:rPr>
        <w:t xml:space="preserve"> à Djibouti</w:t>
      </w:r>
    </w:p>
    <w:p w:rsidR="0034718C" w:rsidRDefault="0034718C" w:rsidP="00F51197">
      <w:pPr>
        <w:spacing w:line="480" w:lineRule="auto"/>
        <w:ind w:firstLine="706"/>
        <w:jc w:val="both"/>
        <w:rPr>
          <w:rFonts w:ascii="Bookman Old Style" w:hAnsi="Bookman Old Style"/>
        </w:rPr>
      </w:pPr>
    </w:p>
    <w:p w:rsidR="0034718C" w:rsidRDefault="0034718C" w:rsidP="00F51197">
      <w:pPr>
        <w:spacing w:line="480" w:lineRule="auto"/>
        <w:ind w:firstLine="706"/>
        <w:jc w:val="both"/>
        <w:rPr>
          <w:rFonts w:ascii="Bookman Old Style" w:hAnsi="Bookman Old Style"/>
        </w:rPr>
      </w:pPr>
    </w:p>
    <w:p w:rsidR="0034718C" w:rsidRPr="008B7789" w:rsidRDefault="0034718C" w:rsidP="00F51197">
      <w:pPr>
        <w:spacing w:line="480" w:lineRule="auto"/>
        <w:ind w:firstLine="706"/>
        <w:jc w:val="both"/>
        <w:rPr>
          <w:rFonts w:ascii="Bookman Old Style" w:hAnsi="Bookman Old Style"/>
        </w:rPr>
      </w:pPr>
      <w:r w:rsidRPr="008B7789">
        <w:rPr>
          <w:rFonts w:ascii="Bookman Old Style" w:hAnsi="Bookman Old Style"/>
        </w:rPr>
        <w:t>L’économie djiboutienne est aussi marquée par la forte présence du secteur public. Cependant à Djibouti, depuis le début des années 1990, les débats sur les réformes et l’avenir de l’Etat se multiplient et un processus majeur de redéfinition du rôle de l’Etat s’est engagé. L’Etat en tant que producteur de biens et services, est en recul. Il privatise de nombreuses activités qu’il gérait auparavant en interne et sous-traite une part croissante des fonctions et activités auprès du secteur privé par le biais d’appels d’offres sur le marché public et de contrats de concessions pour assurer l’approvisionnement en eau potable de la population, ou pour gérer les services publics de santé, de la sécurité ou encore des infrastructures.</w:t>
      </w:r>
    </w:p>
    <w:p w:rsidR="0034718C" w:rsidRPr="003301C6" w:rsidRDefault="0034718C" w:rsidP="00F51197">
      <w:pPr>
        <w:spacing w:line="480" w:lineRule="auto"/>
        <w:ind w:firstLine="706"/>
        <w:jc w:val="both"/>
        <w:rPr>
          <w:rFonts w:ascii="Bookman Old Style" w:hAnsi="Bookman Old Style"/>
          <w:bCs/>
        </w:rPr>
      </w:pPr>
      <w:r w:rsidRPr="008B7789">
        <w:rPr>
          <w:rFonts w:ascii="Bookman Old Style" w:hAnsi="Bookman Old Style"/>
        </w:rPr>
        <w:t xml:space="preserve">En outre, les distinctions et barrières habituelles entre les organisations publiques et les entreprises privées mues par le profit deviennent floues. Le secteur public est exposé, analysé et comparé avec le secteur privé et des méthodes de management traditionnellement employées dans le secteur privé se sont diffusées dans le secteur public. Cette nouvelle approche qui transfère la propriété, la gestion des organisations publiques au secteur privé ou qui introduit le mode de fonctionnement du privé dans les organisations publiques, est appelée nouvelle gestion publique. </w:t>
      </w:r>
      <w:r w:rsidRPr="008B7789">
        <w:rPr>
          <w:rFonts w:ascii="Bookman Old Style" w:hAnsi="Bookman Old Style"/>
          <w:lang w:val="fr-BE"/>
        </w:rPr>
        <w:t xml:space="preserve">Née dans </w:t>
      </w:r>
      <w:r w:rsidRPr="008B7789">
        <w:rPr>
          <w:rFonts w:ascii="Bookman Old Style" w:hAnsi="Bookman Old Style"/>
          <w:lang w:val="fr-BE"/>
        </w:rPr>
        <w:lastRenderedPageBreak/>
        <w:t xml:space="preserve">les années 1980, la Nouvelle Gestion Publique se développe au départ dans les pays anglo-saxons </w:t>
      </w:r>
      <w:r w:rsidRPr="008B7789">
        <w:rPr>
          <w:rFonts w:ascii="Bookman Old Style" w:hAnsi="Bookman Old Style"/>
          <w:bCs/>
        </w:rPr>
        <w:t>(Grande-Bretagne, Nouvelle-Zélande, Australie)</w:t>
      </w:r>
      <w:r w:rsidRPr="008B7789">
        <w:rPr>
          <w:rFonts w:ascii="Bookman Old Style" w:hAnsi="Bookman Old Style"/>
          <w:lang w:val="fr-BE"/>
        </w:rPr>
        <w:t>.</w:t>
      </w:r>
      <w:r w:rsidRPr="008B7789">
        <w:rPr>
          <w:rFonts w:ascii="Bookman Old Style" w:hAnsi="Bookman Old Style"/>
          <w:bCs/>
        </w:rPr>
        <w:t xml:space="preserve"> </w:t>
      </w:r>
      <w:r w:rsidRPr="008B7789">
        <w:rPr>
          <w:rFonts w:ascii="Bookman Old Style" w:hAnsi="Bookman Old Style"/>
        </w:rPr>
        <w:t>L’idée principale développée par la Nouvelle Gestion Publique est que les méthodes de management du secteur privé peuvent être intégrées au secteur public.</w:t>
      </w:r>
      <w:r w:rsidRPr="008B7789">
        <w:rPr>
          <w:rFonts w:ascii="Bookman Old Style" w:hAnsi="Bookman Old Style"/>
          <w:lang w:val="fr-BE"/>
        </w:rPr>
        <w:t xml:space="preserve"> </w:t>
      </w:r>
      <w:r w:rsidRPr="003301C6">
        <w:rPr>
          <w:rFonts w:ascii="Bookman Old Style" w:hAnsi="Bookman Old Style"/>
        </w:rPr>
        <w:t>L’idée principale développée par la Nouvelle Gestion Publique ou Nouveau Management Public est que les méthodes de management du secteur privé peuvent être intégrées au secteur public.</w:t>
      </w:r>
      <w:r w:rsidRPr="003301C6">
        <w:rPr>
          <w:rFonts w:ascii="Bookman Old Style" w:hAnsi="Bookman Old Style"/>
          <w:lang w:val="fr-BE"/>
        </w:rPr>
        <w:t xml:space="preserve"> Les organisations publiques se doivent d’être efficaces, efficientes et économes.</w:t>
      </w:r>
      <w:r w:rsidRPr="003301C6">
        <w:rPr>
          <w:rFonts w:ascii="Bookman Old Style" w:hAnsi="Bookman Old Style"/>
          <w:bCs/>
          <w:lang w:val="fr-BE"/>
        </w:rPr>
        <w:t xml:space="preserve"> </w:t>
      </w:r>
      <w:r w:rsidRPr="003301C6">
        <w:rPr>
          <w:rFonts w:ascii="Bookman Old Style" w:hAnsi="Bookman Old Style"/>
          <w:bCs/>
        </w:rPr>
        <w:t>P</w:t>
      </w:r>
      <w:r w:rsidRPr="003301C6">
        <w:rPr>
          <w:rFonts w:ascii="Bookman Old Style" w:hAnsi="Bookman Old Style"/>
          <w:lang w:val="fr-BE"/>
        </w:rPr>
        <w:t xml:space="preserve">our cela, l’entreprise privée semble représenter le modèle à suivre s’opposant à une bureaucratie symbole de tous les dysfonctionnements. </w:t>
      </w:r>
      <w:r w:rsidRPr="003301C6">
        <w:rPr>
          <w:rFonts w:ascii="Bookman Old Style" w:hAnsi="Bookman Old Style"/>
          <w:bCs/>
        </w:rPr>
        <w:t xml:space="preserve">Les </w:t>
      </w:r>
      <w:r w:rsidRPr="003301C6">
        <w:rPr>
          <w:rFonts w:ascii="Bookman Old Style" w:hAnsi="Bookman Old Style"/>
          <w:bCs/>
          <w:i/>
        </w:rPr>
        <w:t>3 E</w:t>
      </w:r>
      <w:r w:rsidRPr="003301C6">
        <w:rPr>
          <w:rFonts w:ascii="Bookman Old Style" w:hAnsi="Bookman Old Style"/>
          <w:bCs/>
        </w:rPr>
        <w:t xml:space="preserve">  « </w:t>
      </w:r>
      <w:r w:rsidRPr="003301C6">
        <w:rPr>
          <w:rFonts w:ascii="Bookman Old Style" w:hAnsi="Bookman Old Style"/>
          <w:bCs/>
          <w:i/>
        </w:rPr>
        <w:t>Economie, Efficacité, Efficience (</w:t>
      </w:r>
      <w:r w:rsidRPr="003301C6">
        <w:rPr>
          <w:rFonts w:ascii="Bookman Old Style" w:hAnsi="Bookman Old Style"/>
          <w:bCs/>
        </w:rPr>
        <w:t xml:space="preserve">Urio, 1998), thèmes qui se sont imposés depuis fort longtemps dans le secteur privé, doivent être une préoccupation permanente de tout responsable, de tout niveau hiérarchique du secteur public (Trosa, 2008, p. 7). </w:t>
      </w:r>
      <w:r w:rsidRPr="003301C6">
        <w:rPr>
          <w:rFonts w:ascii="Bookman Old Style" w:hAnsi="Bookman Old Style"/>
          <w:lang w:val="fr-BE"/>
        </w:rPr>
        <w:t xml:space="preserve">Si la réflexion sur l’optimisation et l’amélioration de la performance des organisations publiques n’est pas nouvelle, le rapport avec les organisations privées l’est davantage. Née dans les années 1980, La Nouvelle Gestion Publique appelée aussi Nouveau Management Public se développe au départ dans les pays anglo-saxons </w:t>
      </w:r>
      <w:r w:rsidRPr="003301C6">
        <w:rPr>
          <w:rFonts w:ascii="Bookman Old Style" w:hAnsi="Bookman Old Style"/>
          <w:bCs/>
        </w:rPr>
        <w:t>(Grande-Bretagne, Nouvelle-Zélande, Australie)</w:t>
      </w:r>
      <w:r w:rsidRPr="003301C6">
        <w:rPr>
          <w:rFonts w:ascii="Bookman Old Style" w:hAnsi="Bookman Old Style"/>
          <w:lang w:val="fr-BE"/>
        </w:rPr>
        <w:t>.</w:t>
      </w:r>
      <w:r w:rsidRPr="003301C6">
        <w:rPr>
          <w:rFonts w:ascii="Bookman Old Style" w:hAnsi="Bookman Old Style"/>
          <w:bCs/>
        </w:rPr>
        <w:t xml:space="preserve"> Concrètement, de nombreuses actions peuvent s’inscrire dans le champ de la Nouvelle Gestion Publique (Hood, 1991, 1995, Urio, 1998, Bouckaert Pollitt, 2000, Bezes, 2007). </w:t>
      </w:r>
      <w:r>
        <w:rPr>
          <w:rFonts w:ascii="Bookman Old Style" w:hAnsi="Bookman Old Style"/>
          <w:bCs/>
          <w:szCs w:val="28"/>
        </w:rPr>
        <w:t>Le</w:t>
      </w:r>
      <w:r w:rsidRPr="005114BF">
        <w:rPr>
          <w:rFonts w:ascii="Bookman Old Style" w:hAnsi="Bookman Old Style"/>
          <w:bCs/>
          <w:szCs w:val="28"/>
        </w:rPr>
        <w:t xml:space="preserve"> </w:t>
      </w:r>
      <w:r>
        <w:rPr>
          <w:rFonts w:ascii="Bookman Old Style" w:hAnsi="Bookman Old Style"/>
          <w:bCs/>
          <w:szCs w:val="28"/>
        </w:rPr>
        <w:t>concept de NGP touche de nombreuses fonctions</w:t>
      </w:r>
      <w:r w:rsidRPr="005114BF">
        <w:rPr>
          <w:rFonts w:ascii="Bookman Old Style" w:hAnsi="Bookman Old Style"/>
          <w:bCs/>
          <w:szCs w:val="28"/>
        </w:rPr>
        <w:t xml:space="preserve"> du secteur public</w:t>
      </w:r>
      <w:r>
        <w:rPr>
          <w:rFonts w:ascii="Bookman Old Style" w:hAnsi="Bookman Old Style"/>
          <w:bCs/>
          <w:szCs w:val="28"/>
        </w:rPr>
        <w:t xml:space="preserve"> (financement, ressources humaines, organisations, etc.). </w:t>
      </w:r>
      <w:r w:rsidRPr="003301C6">
        <w:rPr>
          <w:rFonts w:ascii="Bookman Old Style" w:hAnsi="Bookman Old Style"/>
          <w:bCs/>
        </w:rPr>
        <w:t xml:space="preserve">Il préconise quelques principes d’organisation déclinés en différents mesures : </w:t>
      </w:r>
    </w:p>
    <w:p w:rsidR="0034718C" w:rsidRPr="003301C6" w:rsidRDefault="0034718C" w:rsidP="00F51197">
      <w:pPr>
        <w:spacing w:line="480" w:lineRule="auto"/>
        <w:jc w:val="both"/>
        <w:rPr>
          <w:rFonts w:ascii="Bookman Old Style" w:hAnsi="Bookman Old Style"/>
          <w:bCs/>
        </w:rPr>
      </w:pPr>
      <w:r w:rsidRPr="003301C6">
        <w:rPr>
          <w:rFonts w:ascii="Bookman Old Style" w:hAnsi="Bookman Old Style"/>
          <w:bCs/>
        </w:rPr>
        <w:lastRenderedPageBreak/>
        <w:t xml:space="preserve">- la séparation dans l’administration entre les fonctions de stratégie, de pilotage et de contrôle et les fonctions opérationnelles de mise en œuvre et d’exécution ; la fragmentation du secteur public en unités administratives autonomes (des agences), par décentralisation ; </w:t>
      </w:r>
    </w:p>
    <w:p w:rsidR="0034718C" w:rsidRPr="003301C6" w:rsidRDefault="0034718C" w:rsidP="00F51197">
      <w:pPr>
        <w:spacing w:line="480" w:lineRule="auto"/>
        <w:jc w:val="both"/>
        <w:rPr>
          <w:rFonts w:ascii="Bookman Old Style" w:hAnsi="Bookman Old Style"/>
          <w:bCs/>
        </w:rPr>
      </w:pPr>
      <w:r w:rsidRPr="003301C6">
        <w:rPr>
          <w:rFonts w:ascii="Bookman Old Style" w:hAnsi="Bookman Old Style"/>
        </w:rPr>
        <w:t>- le r</w:t>
      </w:r>
      <w:r w:rsidRPr="003301C6">
        <w:rPr>
          <w:rFonts w:ascii="Bookman Old Style" w:hAnsi="Bookman Old Style"/>
          <w:bCs/>
        </w:rPr>
        <w:t xml:space="preserve">ecours systématique aux mécanismes de marché :  individualisation des incitations, une recherche active de moyens de production à moindre coût, un mouvement vers un contrôle des organisations publiques par des managers visibles exerçant un pouvoir discrétionnaire, les usagers assimilés à des clients, etc.) ; </w:t>
      </w:r>
    </w:p>
    <w:p w:rsidR="0034718C" w:rsidRPr="003301C6" w:rsidRDefault="0034718C" w:rsidP="00F51197">
      <w:pPr>
        <w:spacing w:line="480" w:lineRule="auto"/>
        <w:jc w:val="both"/>
        <w:rPr>
          <w:rFonts w:ascii="Bookman Old Style" w:hAnsi="Bookman Old Style"/>
          <w:bCs/>
        </w:rPr>
      </w:pPr>
      <w:r w:rsidRPr="003301C6">
        <w:rPr>
          <w:rFonts w:ascii="Bookman Old Style" w:hAnsi="Bookman Old Style"/>
          <w:bCs/>
        </w:rPr>
        <w:t xml:space="preserve">- la transformation de la structure hiérarchique de l’administration en renforçant les responsabilités et l’autonomie des échelons en charge de la mise en œuvre de l’action de l’Etat ; </w:t>
      </w:r>
    </w:p>
    <w:p w:rsidR="0034718C" w:rsidRPr="003301C6" w:rsidRDefault="0034718C" w:rsidP="00F51197">
      <w:pPr>
        <w:spacing w:line="480" w:lineRule="auto"/>
        <w:jc w:val="both"/>
        <w:rPr>
          <w:rFonts w:ascii="Bookman Old Style" w:hAnsi="Bookman Old Style"/>
          <w:bCs/>
        </w:rPr>
      </w:pPr>
      <w:r w:rsidRPr="003301C6">
        <w:rPr>
          <w:rFonts w:ascii="Bookman Old Style" w:hAnsi="Bookman Old Style"/>
        </w:rPr>
        <w:t xml:space="preserve">- </w:t>
      </w:r>
      <w:r w:rsidRPr="003301C6">
        <w:rPr>
          <w:rFonts w:ascii="Bookman Old Style" w:hAnsi="Bookman Old Style"/>
          <w:bCs/>
        </w:rPr>
        <w:t>la mise en place d’une gestion par les résultats fondés sur la réalisation d’objectifs,  et la mesure et l’évaluation des performances dans le cadre de programmes de contractualisation et la mise en avant de la mesure du résultat, etc.</w:t>
      </w:r>
    </w:p>
    <w:p w:rsidR="0034718C" w:rsidRPr="0034718C" w:rsidRDefault="0034718C" w:rsidP="00F51197">
      <w:pPr>
        <w:spacing w:line="480" w:lineRule="auto"/>
        <w:jc w:val="both"/>
        <w:rPr>
          <w:rFonts w:ascii="Bookman Old Style" w:hAnsi="Bookman Old Style"/>
          <w:bCs/>
        </w:rPr>
      </w:pPr>
      <w:r w:rsidRPr="003301C6">
        <w:rPr>
          <w:rFonts w:ascii="Bookman Old Style" w:hAnsi="Bookman Old Style"/>
        </w:rPr>
        <w:t xml:space="preserve">Ces recettes sont au cœur des multiples politiques de réformes administratives conduites dans les Etats occidentaux depuis les années 1980 (Pollitt et Boukaert, 2004). Par importation et par mimétisme, elles ont aussi alimenté les discours et les réformes des Etats dans les pays en développement et dans les pays en transition (Bezes, 2007, p. 12).  Les organisations internationales de financement et de coopération ne sont pas étrangères à la diffusion de ces standards. Les recettes du nouveau management public sont intégrées aux projets inspirés du paradigme de la « bonne gouvernance ». Au cœur de normes internationales préconisées par </w:t>
      </w:r>
      <w:smartTag w:uri="urn:schemas-microsoft-com:office:smarttags" w:element="PersonName">
        <w:smartTagPr>
          <w:attr w:name="ProductID" w:val="la Banque"/>
        </w:smartTagPr>
        <w:r w:rsidRPr="003301C6">
          <w:rPr>
            <w:rFonts w:ascii="Bookman Old Style" w:hAnsi="Bookman Old Style"/>
          </w:rPr>
          <w:lastRenderedPageBreak/>
          <w:t>la Banque</w:t>
        </w:r>
      </w:smartTag>
      <w:r w:rsidRPr="003301C6">
        <w:rPr>
          <w:rFonts w:ascii="Bookman Old Style" w:hAnsi="Bookman Old Style"/>
        </w:rPr>
        <w:t xml:space="preserve"> mondiale ou le FMI, le nouveau management public constituerait un « langage » commun aux réseaux internationaux qui mêlent consultants, technocrates nouvellement nommés dans les hautes administrations et élites politiques, parfois issues des milieux des affaires (Dezalay et Garth, 2006). Les emprunts aux recettes du nouveau management public dans les programmes de développement datent de la seconde moitié des années 1990. Ils se développent sous la forme de slogans (responsabilisation des fonctionnaires, impératifs d’efficacité, gestion par la performance, transparence, etc.) déclinés en instruments (mécanismes de contractualisation et mesure des résultats, obligation de rendre compte, de réformes des procédures budgétaires, standards de qualité pour les usagers, etc.).</w:t>
      </w:r>
    </w:p>
    <w:p w:rsidR="0034718C" w:rsidRDefault="0034718C" w:rsidP="00F51197">
      <w:pPr>
        <w:pStyle w:val="Notedebasdepage"/>
        <w:spacing w:line="480" w:lineRule="auto"/>
        <w:ind w:firstLine="706"/>
        <w:jc w:val="both"/>
        <w:rPr>
          <w:rFonts w:ascii="Bookman Old Style" w:hAnsi="Bookman Old Style"/>
          <w:sz w:val="24"/>
          <w:szCs w:val="24"/>
          <w:lang w:val="fr-BE"/>
        </w:rPr>
      </w:pPr>
    </w:p>
    <w:p w:rsidR="0034718C" w:rsidRPr="008B7789" w:rsidRDefault="0034718C" w:rsidP="00F51197">
      <w:pPr>
        <w:pStyle w:val="Notedebasdepage"/>
        <w:spacing w:line="480" w:lineRule="auto"/>
        <w:ind w:firstLine="706"/>
        <w:jc w:val="both"/>
        <w:rPr>
          <w:rFonts w:ascii="Bookman Old Style" w:hAnsi="Bookman Old Style"/>
          <w:sz w:val="24"/>
          <w:szCs w:val="24"/>
        </w:rPr>
      </w:pPr>
      <w:r w:rsidRPr="008B7789">
        <w:rPr>
          <w:rFonts w:ascii="Bookman Old Style" w:hAnsi="Bookman Old Style"/>
          <w:sz w:val="24"/>
          <w:szCs w:val="24"/>
        </w:rPr>
        <w:t>Nous nous attacherons dans ce mémoire à analyser cette notion plus en détails, en expliquant ses fondements théoriques, les formes qu’elle prend et les conséquences observables dans un pays en développement –Djibouti- et dans un domaine particulier, celui de la recherche.</w:t>
      </w:r>
    </w:p>
    <w:p w:rsidR="0034718C" w:rsidRPr="008B7789" w:rsidRDefault="0034718C" w:rsidP="00F51197">
      <w:pPr>
        <w:spacing w:line="480" w:lineRule="auto"/>
        <w:ind w:firstLine="706"/>
        <w:jc w:val="both"/>
        <w:rPr>
          <w:rFonts w:ascii="Bookman Old Style" w:hAnsi="Bookman Old Style"/>
        </w:rPr>
      </w:pPr>
      <w:r w:rsidRPr="008B7789">
        <w:rPr>
          <w:rFonts w:ascii="Bookman Old Style" w:hAnsi="Bookman Old Style"/>
        </w:rPr>
        <w:t xml:space="preserve">Sur le plan méthodologique, notre recherche s’appuie sur une analyse documentaire. </w:t>
      </w:r>
    </w:p>
    <w:p w:rsidR="0034718C" w:rsidRPr="008B7789" w:rsidRDefault="0034718C" w:rsidP="00F51197">
      <w:pPr>
        <w:spacing w:line="480" w:lineRule="auto"/>
        <w:ind w:firstLine="706"/>
        <w:jc w:val="both"/>
        <w:rPr>
          <w:rFonts w:ascii="Bookman Old Style" w:hAnsi="Bookman Old Style"/>
        </w:rPr>
      </w:pPr>
    </w:p>
    <w:p w:rsidR="0034718C" w:rsidRDefault="0034718C" w:rsidP="00F51197">
      <w:pPr>
        <w:spacing w:line="480" w:lineRule="auto"/>
        <w:jc w:val="both"/>
        <w:rPr>
          <w:rFonts w:ascii="Bookman Old Style" w:hAnsi="Bookman Old Style"/>
        </w:rPr>
      </w:pPr>
    </w:p>
    <w:p w:rsidR="0034718C" w:rsidRDefault="0034718C" w:rsidP="00F51197">
      <w:pPr>
        <w:spacing w:line="480" w:lineRule="auto"/>
        <w:ind w:firstLine="706"/>
        <w:jc w:val="both"/>
        <w:rPr>
          <w:rFonts w:ascii="Bookman Old Style" w:hAnsi="Bookman Old Style"/>
        </w:rPr>
      </w:pPr>
    </w:p>
    <w:p w:rsidR="003F4A7A" w:rsidRDefault="0034718C" w:rsidP="00F51197">
      <w:pPr>
        <w:spacing w:line="480" w:lineRule="auto"/>
        <w:ind w:firstLine="706"/>
        <w:jc w:val="both"/>
        <w:rPr>
          <w:rFonts w:ascii="Bookman Old Style" w:hAnsi="Bookman Old Style"/>
        </w:rPr>
      </w:pPr>
      <w:r>
        <w:rPr>
          <w:rFonts w:ascii="Bookman Old Style" w:hAnsi="Bookman Old Style"/>
        </w:rPr>
        <w:t>Le nouveau management s’inscrit à</w:t>
      </w:r>
      <w:r w:rsidRPr="001A5DDE">
        <w:rPr>
          <w:rFonts w:ascii="Bookman Old Style" w:hAnsi="Bookman Old Style"/>
        </w:rPr>
        <w:t xml:space="preserve"> Djibouti dans un vaste programme d’ajustement macro-économique et structurel engagé par le Gouvernement au début des années 1990 visant, d’une part, à alléger le poids de l’Etat dans </w:t>
      </w:r>
      <w:r w:rsidRPr="001A5DDE">
        <w:rPr>
          <w:rFonts w:ascii="Bookman Old Style" w:hAnsi="Bookman Old Style"/>
        </w:rPr>
        <w:lastRenderedPageBreak/>
        <w:t>l’économie à travers une compression des dépenses publiques, un désengagement de celui-ci de certains secteurs d’activité, et de l’autre, à mettre en place des réformes structurelles pour créer un environnement propice au développement du secteur privé et améliorer la compétitivité de Djibouti</w:t>
      </w:r>
      <w:r>
        <w:rPr>
          <w:rFonts w:ascii="Bookman Old Style" w:hAnsi="Bookman Old Style"/>
        </w:rPr>
        <w:t xml:space="preserve">. </w:t>
      </w:r>
    </w:p>
    <w:p w:rsidR="003F4A7A" w:rsidRDefault="003F4A7A" w:rsidP="00F51197">
      <w:pPr>
        <w:spacing w:line="480" w:lineRule="auto"/>
        <w:ind w:firstLine="706"/>
        <w:jc w:val="both"/>
        <w:rPr>
          <w:rFonts w:ascii="Bookman Old Style" w:hAnsi="Bookman Old Style"/>
        </w:rPr>
      </w:pPr>
    </w:p>
    <w:p w:rsidR="003F4A7A" w:rsidRPr="008B7789" w:rsidRDefault="003F4A7A" w:rsidP="00F51197">
      <w:pPr>
        <w:spacing w:line="480" w:lineRule="auto"/>
        <w:ind w:firstLine="706"/>
        <w:jc w:val="both"/>
        <w:rPr>
          <w:rFonts w:ascii="Bookman Old Style" w:hAnsi="Bookman Old Style"/>
        </w:rPr>
      </w:pPr>
      <w:r w:rsidRPr="008B7789">
        <w:rPr>
          <w:rFonts w:ascii="Bookman Old Style" w:hAnsi="Bookman Old Style"/>
        </w:rPr>
        <w:t>Nous proposons de diviser notre travail en deux chapitres :</w:t>
      </w:r>
    </w:p>
    <w:p w:rsidR="003F4A7A" w:rsidRDefault="003F4A7A" w:rsidP="00F51197">
      <w:pPr>
        <w:spacing w:line="480" w:lineRule="auto"/>
        <w:ind w:firstLine="706"/>
        <w:jc w:val="both"/>
        <w:rPr>
          <w:rFonts w:ascii="Bookman Old Style" w:hAnsi="Bookman Old Style"/>
        </w:rPr>
      </w:pPr>
      <w:r w:rsidRPr="008B7789">
        <w:rPr>
          <w:rFonts w:ascii="Bookman Old Style" w:hAnsi="Bookman Old Style"/>
        </w:rPr>
        <w:t xml:space="preserve">Le nouveau management  concerne l’ensemble de domaines du secteur public, depuis les missions régaliennes jusqu’aux grandes entreprises industrielles et commerciales de l’Etat. Cette tendance s’étend aussi bien aux pays développés, aux pays en développement et ceux en transition. </w:t>
      </w:r>
      <w:r w:rsidRPr="008B7789">
        <w:rPr>
          <w:rFonts w:ascii="Bookman Old Style" w:hAnsi="Bookman Old Style"/>
          <w:bCs/>
        </w:rPr>
        <w:t xml:space="preserve">Le premier chapitre </w:t>
      </w:r>
      <w:r>
        <w:rPr>
          <w:rFonts w:ascii="Bookman Old Style" w:hAnsi="Bookman Old Style"/>
          <w:bCs/>
        </w:rPr>
        <w:t>étude</w:t>
      </w:r>
      <w:r w:rsidRPr="008B7789">
        <w:rPr>
          <w:rFonts w:ascii="Bookman Old Style" w:hAnsi="Bookman Old Style"/>
          <w:bCs/>
        </w:rPr>
        <w:t xml:space="preserve"> les</w:t>
      </w:r>
      <w:r>
        <w:rPr>
          <w:rFonts w:ascii="Bookman Old Style" w:hAnsi="Bookman Old Style"/>
          <w:bCs/>
        </w:rPr>
        <w:t xml:space="preserve"> facteurs qui sont à l’origine. </w:t>
      </w:r>
      <w:r>
        <w:rPr>
          <w:rFonts w:ascii="Bookman Old Style" w:hAnsi="Bookman Old Style"/>
        </w:rPr>
        <w:t>L</w:t>
      </w:r>
      <w:r w:rsidRPr="008B7789">
        <w:rPr>
          <w:rFonts w:ascii="Bookman Old Style" w:hAnsi="Bookman Old Style"/>
        </w:rPr>
        <w:t>a persistance et l’ampleur des problèmes économiques qui touchent les Etats à l’échelle planétaire ont conduit notamment à repenser les fondements économiques et politiques des activités du secteur public. Ce qui n’est pas sans conséquence sur la nature des missions du secteur public, sur le régime de propriété et le mode d’organisation de services publics</w:t>
      </w:r>
    </w:p>
    <w:p w:rsidR="003F4A7A" w:rsidRDefault="003F4A7A" w:rsidP="00F51197">
      <w:pPr>
        <w:spacing w:line="480" w:lineRule="auto"/>
        <w:ind w:firstLine="706"/>
        <w:jc w:val="both"/>
        <w:rPr>
          <w:rFonts w:ascii="Bookman Old Style" w:hAnsi="Bookman Old Style"/>
        </w:rPr>
      </w:pPr>
    </w:p>
    <w:p w:rsidR="0034718C" w:rsidRDefault="003F4A7A" w:rsidP="00F51197">
      <w:pPr>
        <w:spacing w:line="480" w:lineRule="auto"/>
        <w:jc w:val="both"/>
        <w:rPr>
          <w:rFonts w:ascii="Bookman Old Style" w:hAnsi="Bookman Old Style"/>
        </w:rPr>
      </w:pPr>
      <w:r>
        <w:rPr>
          <w:rFonts w:ascii="Bookman Old Style" w:hAnsi="Bookman Old Style"/>
        </w:rPr>
        <w:t>Le deuxième chapitre</w:t>
      </w:r>
      <w:r w:rsidR="0034718C">
        <w:rPr>
          <w:rFonts w:ascii="Bookman Old Style" w:hAnsi="Bookman Old Style"/>
        </w:rPr>
        <w:t xml:space="preserve"> </w:t>
      </w:r>
      <w:r>
        <w:rPr>
          <w:rFonts w:ascii="Bookman Old Style" w:hAnsi="Bookman Old Style"/>
        </w:rPr>
        <w:t>aborde les impacts de ce nouveau management public</w:t>
      </w:r>
      <w:r w:rsidR="0034718C">
        <w:rPr>
          <w:rFonts w:ascii="Bookman Old Style" w:hAnsi="Bookman Old Style"/>
        </w:rPr>
        <w:t>.</w:t>
      </w:r>
    </w:p>
    <w:p w:rsidR="0034718C" w:rsidRDefault="0034718C" w:rsidP="00F51197">
      <w:pPr>
        <w:spacing w:line="480" w:lineRule="auto"/>
        <w:ind w:firstLine="706"/>
        <w:jc w:val="both"/>
        <w:rPr>
          <w:rFonts w:ascii="Bookman Old Style" w:hAnsi="Bookman Old Style"/>
        </w:rPr>
      </w:pPr>
      <w:r>
        <w:rPr>
          <w:rFonts w:ascii="Bookman Old Style" w:hAnsi="Bookman Old Style"/>
        </w:rPr>
        <w:t>Les données utilisées dans ce</w:t>
      </w:r>
      <w:r w:rsidR="003F4A7A">
        <w:rPr>
          <w:rFonts w:ascii="Bookman Old Style" w:hAnsi="Bookman Old Style"/>
        </w:rPr>
        <w:t>s</w:t>
      </w:r>
      <w:r>
        <w:rPr>
          <w:rFonts w:ascii="Bookman Old Style" w:hAnsi="Bookman Old Style"/>
        </w:rPr>
        <w:t xml:space="preserve"> chapitre proviennent de documents d’analyse économique produits notamment par la Banque mondiale ainsi que des données nationales fournis par</w:t>
      </w:r>
      <w:r w:rsidR="003F4A7A">
        <w:rPr>
          <w:rFonts w:ascii="Bookman Old Style" w:hAnsi="Bookman Old Style"/>
        </w:rPr>
        <w:t xml:space="preserve"> le ministère de l’Economie, </w:t>
      </w:r>
      <w:r>
        <w:rPr>
          <w:rFonts w:ascii="Bookman Old Style" w:hAnsi="Bookman Old Style"/>
        </w:rPr>
        <w:t xml:space="preserve">la Banque centrale de Djibouti, etc. La principale difficulté de collecte des données réside à Djibouti dans le fait que les données sont produites par les pouvoirs publics uniquement quand elles sont demandées et financées par </w:t>
      </w:r>
      <w:r>
        <w:rPr>
          <w:rFonts w:ascii="Bookman Old Style" w:hAnsi="Bookman Old Style"/>
        </w:rPr>
        <w:lastRenderedPageBreak/>
        <w:t>les bailleurs de fonds. La rareté des données fiables et exhaustives explique   que certaines données sont parfois anciennes. A titr</w:t>
      </w:r>
      <w:r w:rsidR="003F4A7A">
        <w:rPr>
          <w:rFonts w:ascii="Bookman Old Style" w:hAnsi="Bookman Old Style"/>
        </w:rPr>
        <w:t xml:space="preserve">e d’exemple, jusqu’en juin 2012 </w:t>
      </w:r>
      <w:r>
        <w:rPr>
          <w:rFonts w:ascii="Bookman Old Style" w:hAnsi="Bookman Old Style"/>
        </w:rPr>
        <w:t xml:space="preserve">et plus de 30 ans après l’indépendance, le chiffre concernant le nombre d’habitants de Djibouti était inconnu faute de dénombrement de la population. </w:t>
      </w:r>
    </w:p>
    <w:p w:rsidR="0034718C" w:rsidRDefault="0034718C" w:rsidP="00F51197">
      <w:pPr>
        <w:spacing w:line="480" w:lineRule="auto"/>
        <w:ind w:firstLine="706"/>
        <w:jc w:val="both"/>
        <w:rPr>
          <w:rFonts w:ascii="Bookman Old Style" w:hAnsi="Bookman Old Style"/>
        </w:rPr>
      </w:pPr>
    </w:p>
    <w:p w:rsidR="0034718C" w:rsidRDefault="0034718C" w:rsidP="00F51197">
      <w:pPr>
        <w:spacing w:line="480" w:lineRule="auto"/>
        <w:jc w:val="both"/>
        <w:rPr>
          <w:rFonts w:ascii="Bookman Old Style" w:hAnsi="Bookman Old Style"/>
        </w:rPr>
      </w:pPr>
    </w:p>
    <w:p w:rsidR="0034718C" w:rsidRPr="009B0AFA" w:rsidRDefault="003F4A7A" w:rsidP="00F51197">
      <w:pPr>
        <w:spacing w:line="480" w:lineRule="auto"/>
        <w:rPr>
          <w:rFonts w:ascii="Bookman Old Style" w:hAnsi="Bookman Old Style"/>
          <w:b/>
          <w:sz w:val="28"/>
          <w:szCs w:val="28"/>
        </w:rPr>
      </w:pPr>
      <w:r w:rsidRPr="009B0AFA">
        <w:rPr>
          <w:rFonts w:ascii="Bookman Old Style" w:hAnsi="Bookman Old Style"/>
          <w:b/>
          <w:sz w:val="28"/>
          <w:szCs w:val="28"/>
        </w:rPr>
        <w:t>Chapitre 1 : Les facteurs à l’origine du nouveau management public  à Djibouti</w:t>
      </w:r>
    </w:p>
    <w:p w:rsidR="003F4A7A" w:rsidRDefault="003F4A7A" w:rsidP="00F51197">
      <w:pPr>
        <w:spacing w:line="480" w:lineRule="auto"/>
      </w:pPr>
    </w:p>
    <w:p w:rsidR="0034718C" w:rsidRDefault="0034718C" w:rsidP="00F51197">
      <w:pPr>
        <w:spacing w:line="480" w:lineRule="auto"/>
        <w:ind w:firstLine="706"/>
        <w:jc w:val="both"/>
        <w:rPr>
          <w:rFonts w:ascii="Bookman Old Style" w:hAnsi="Bookman Old Style"/>
        </w:rPr>
      </w:pPr>
      <w:r>
        <w:rPr>
          <w:rFonts w:ascii="Bookman Old Style" w:hAnsi="Bookman Old Style"/>
        </w:rPr>
        <w:t xml:space="preserve">La République de </w:t>
      </w:r>
      <w:r w:rsidRPr="00C03CC1">
        <w:rPr>
          <w:rFonts w:ascii="Bookman Old Style" w:hAnsi="Bookman Old Style"/>
        </w:rPr>
        <w:t>Djibouti situé</w:t>
      </w:r>
      <w:r>
        <w:rPr>
          <w:rFonts w:ascii="Bookman Old Style" w:hAnsi="Bookman Old Style"/>
        </w:rPr>
        <w:t>e</w:t>
      </w:r>
      <w:r w:rsidRPr="00C03CC1">
        <w:rPr>
          <w:rFonts w:ascii="Bookman Old Style" w:hAnsi="Bookman Old Style"/>
        </w:rPr>
        <w:t xml:space="preserve"> à l’entrée sud de la Mer Rouge</w:t>
      </w:r>
      <w:r>
        <w:rPr>
          <w:rFonts w:ascii="Bookman Old Style" w:hAnsi="Bookman Old Style"/>
        </w:rPr>
        <w:t xml:space="preserve"> bénéficie </w:t>
      </w:r>
      <w:r w:rsidRPr="00C03CC1">
        <w:rPr>
          <w:rFonts w:ascii="Bookman Old Style" w:hAnsi="Bookman Old Style"/>
        </w:rPr>
        <w:t>d’une position géostratégique privilégiée au carrefour des</w:t>
      </w:r>
      <w:r>
        <w:rPr>
          <w:rFonts w:ascii="Bookman Old Style" w:hAnsi="Bookman Old Style"/>
        </w:rPr>
        <w:t xml:space="preserve"> principales routes maritimes. Elle </w:t>
      </w:r>
      <w:r w:rsidRPr="00C03CC1">
        <w:rPr>
          <w:rFonts w:ascii="Bookman Old Style" w:hAnsi="Bookman Old Style"/>
        </w:rPr>
        <w:t>partage ses frontières terrestres avec la Somalie au sud-est, l’Ethiopie au sud-ouest et à l’ouest</w:t>
      </w:r>
      <w:r>
        <w:rPr>
          <w:rFonts w:ascii="Bookman Old Style" w:hAnsi="Bookman Old Style"/>
        </w:rPr>
        <w:t xml:space="preserve">, et l’Erythrée au nord-ouest (voir carte de Djibouti p.7). Djibouti </w:t>
      </w:r>
      <w:r w:rsidRPr="00C03CC1">
        <w:rPr>
          <w:rFonts w:ascii="Bookman Old Style" w:hAnsi="Bookman Old Style"/>
        </w:rPr>
        <w:t>accè</w:t>
      </w:r>
      <w:r>
        <w:rPr>
          <w:rFonts w:ascii="Bookman Old Style" w:hAnsi="Bookman Old Style"/>
        </w:rPr>
        <w:t>de à l’indépendance en juin 1977</w:t>
      </w:r>
      <w:r w:rsidRPr="00C03CC1">
        <w:rPr>
          <w:rFonts w:ascii="Bookman Old Style" w:hAnsi="Bookman Old Style"/>
        </w:rPr>
        <w:t>. Ancienne colonie française depuis 1862, le pays a connu diverses appellations : Côte Française des Somalis (CFS) de 1862 à 1967 ; Territoires Français des Afars et des Issas (TFAI) jusqu’à l’indépendance. Les langues officielles sont le Français et l’Arabe et les langues les plus couramment parlées sont l’Afar et le Somali.</w:t>
      </w:r>
    </w:p>
    <w:p w:rsidR="0034718C" w:rsidRDefault="0034718C" w:rsidP="00F51197">
      <w:pPr>
        <w:spacing w:line="480" w:lineRule="auto"/>
        <w:ind w:firstLine="706"/>
        <w:jc w:val="both"/>
        <w:rPr>
          <w:rFonts w:ascii="Bookman Old Style" w:hAnsi="Bookman Old Style"/>
        </w:rPr>
      </w:pPr>
      <w:r>
        <w:rPr>
          <w:rFonts w:ascii="Bookman Old Style" w:hAnsi="Bookman Old Style"/>
        </w:rPr>
        <w:t xml:space="preserve">Dans les années 1990, le pays s’est engagé dans un processus de démocratisation marqué par l’adoption d’une constitution en 1992. </w:t>
      </w:r>
      <w:r w:rsidRPr="00C03CC1">
        <w:rPr>
          <w:rFonts w:ascii="Bookman Old Style" w:hAnsi="Bookman Old Style"/>
        </w:rPr>
        <w:t>L’organisation politique actuelle de Djibouti résulte de la constitution adoptée par référendum le 4 septembre 1992</w:t>
      </w:r>
      <w:r>
        <w:rPr>
          <w:rFonts w:ascii="Bookman Old Style" w:hAnsi="Bookman Old Style"/>
        </w:rPr>
        <w:t>. Le président de la République</w:t>
      </w:r>
      <w:r w:rsidRPr="00C03CC1">
        <w:rPr>
          <w:rFonts w:ascii="Bookman Old Style" w:hAnsi="Bookman Old Style"/>
        </w:rPr>
        <w:t xml:space="preserve"> est élu au suffrage universel</w:t>
      </w:r>
      <w:r>
        <w:rPr>
          <w:rFonts w:ascii="Bookman Old Style" w:hAnsi="Bookman Old Style"/>
        </w:rPr>
        <w:t xml:space="preserve"> pour 6 ans</w:t>
      </w:r>
      <w:r w:rsidRPr="00C03CC1">
        <w:rPr>
          <w:rFonts w:ascii="Bookman Old Style" w:hAnsi="Bookman Old Style"/>
        </w:rPr>
        <w:t xml:space="preserve"> et cumule à la fois les fonctions de </w:t>
      </w:r>
      <w:r w:rsidRPr="00C03CC1">
        <w:rPr>
          <w:rFonts w:ascii="Bookman Old Style" w:hAnsi="Bookman Old Style"/>
        </w:rPr>
        <w:lastRenderedPageBreak/>
        <w:t xml:space="preserve">chef de l’Etat </w:t>
      </w:r>
      <w:r>
        <w:rPr>
          <w:rFonts w:ascii="Bookman Old Style" w:hAnsi="Bookman Old Style"/>
        </w:rPr>
        <w:t>et le chef du G</w:t>
      </w:r>
      <w:r w:rsidRPr="00C03CC1">
        <w:rPr>
          <w:rFonts w:ascii="Bookman Old Style" w:hAnsi="Bookman Old Style"/>
        </w:rPr>
        <w:t>ouvernemen</w:t>
      </w:r>
      <w:r>
        <w:rPr>
          <w:rFonts w:ascii="Bookman Old Style" w:hAnsi="Bookman Old Style"/>
        </w:rPr>
        <w:t>t. Il nomme le Premier Ministre</w:t>
      </w:r>
      <w:r w:rsidRPr="00C03CC1">
        <w:rPr>
          <w:rFonts w:ascii="Bookman Old Style" w:hAnsi="Bookman Old Style"/>
        </w:rPr>
        <w:t xml:space="preserve"> qui, outre ses propres prérogatives, coordonne les activités des différents ministères.</w:t>
      </w:r>
      <w:r>
        <w:rPr>
          <w:rFonts w:ascii="Bookman Old Style" w:hAnsi="Bookman Old Style"/>
        </w:rPr>
        <w:t xml:space="preserve"> Le pouvoir législatif est composé de l’Assemblée nationale, chambre unique de 65 députés, élus au suffrage universel pour cinq ans.</w:t>
      </w:r>
    </w:p>
    <w:p w:rsidR="0034718C" w:rsidRDefault="0034718C" w:rsidP="00F51197">
      <w:pPr>
        <w:spacing w:line="480" w:lineRule="auto"/>
        <w:ind w:firstLine="706"/>
        <w:jc w:val="both"/>
        <w:rPr>
          <w:rFonts w:ascii="Bookman Old Style" w:hAnsi="Bookman Old Style"/>
        </w:rPr>
      </w:pPr>
      <w:r w:rsidRPr="00C03CC1">
        <w:rPr>
          <w:rFonts w:ascii="Bookman Old Style" w:hAnsi="Bookman Old Style"/>
        </w:rPr>
        <w:t xml:space="preserve"> </w:t>
      </w:r>
    </w:p>
    <w:p w:rsidR="0034718C" w:rsidRDefault="0034718C" w:rsidP="00F51197">
      <w:pPr>
        <w:spacing w:line="480" w:lineRule="auto"/>
        <w:ind w:firstLine="706"/>
        <w:jc w:val="both"/>
        <w:rPr>
          <w:rFonts w:ascii="Bookman Old Style" w:hAnsi="Bookman Old Style"/>
        </w:rPr>
      </w:pPr>
      <w:r>
        <w:rPr>
          <w:rFonts w:ascii="Bookman Old Style" w:hAnsi="Bookman Old Style"/>
        </w:rPr>
        <w:t xml:space="preserve">Le processus de décentralisation en cours dans cette dernière décennie </w:t>
      </w:r>
      <w:r w:rsidRPr="00C03CC1">
        <w:rPr>
          <w:rFonts w:ascii="Bookman Old Style" w:hAnsi="Bookman Old Style"/>
        </w:rPr>
        <w:t xml:space="preserve"> </w:t>
      </w:r>
      <w:r>
        <w:rPr>
          <w:rFonts w:ascii="Bookman Old Style" w:hAnsi="Bookman Old Style"/>
        </w:rPr>
        <w:t>a permis de diviser le pays en six régions administratives : une région centrée sur la capitale (Djibouti-ville) qui a un statut particulier (collectivité territoriale subdivisée en trois communes : commune de Ras-Dika, commune de Boulaos et la commune de Balbala) et cinq autres régions de l’intérieur (Ali Sabieh, Arta, Dikhil, Obock et Tadjourah).</w:t>
      </w:r>
    </w:p>
    <w:p w:rsidR="0034718C" w:rsidRDefault="0034718C" w:rsidP="00F51197">
      <w:pPr>
        <w:spacing w:line="480" w:lineRule="auto"/>
        <w:ind w:firstLine="706"/>
        <w:jc w:val="both"/>
        <w:rPr>
          <w:rFonts w:ascii="Bookman Old Style" w:hAnsi="Bookman Old Style"/>
        </w:rPr>
      </w:pPr>
      <w:r w:rsidRPr="00C03CC1">
        <w:rPr>
          <w:rFonts w:ascii="Bookman Old Style" w:hAnsi="Bookman Old Style"/>
        </w:rPr>
        <w:t>L</w:t>
      </w:r>
      <w:r>
        <w:rPr>
          <w:rFonts w:ascii="Bookman Old Style" w:hAnsi="Bookman Old Style"/>
        </w:rPr>
        <w:t>a répartition de la population d</w:t>
      </w:r>
      <w:r w:rsidRPr="00C03CC1">
        <w:rPr>
          <w:rFonts w:ascii="Bookman Old Style" w:hAnsi="Bookman Old Style"/>
        </w:rPr>
        <w:t>jiboutienne est inégal</w:t>
      </w:r>
      <w:r>
        <w:rPr>
          <w:rFonts w:ascii="Bookman Old Style" w:hAnsi="Bookman Old Style"/>
        </w:rPr>
        <w:t>e</w:t>
      </w:r>
      <w:r w:rsidRPr="00C03CC1">
        <w:rPr>
          <w:rFonts w:ascii="Bookman Old Style" w:hAnsi="Bookman Old Style"/>
        </w:rPr>
        <w:t xml:space="preserve">. La capitale Djibouti-ville  reste le plus grand centre </w:t>
      </w:r>
      <w:r>
        <w:rPr>
          <w:rFonts w:ascii="Bookman Old Style" w:hAnsi="Bookman Old Style"/>
        </w:rPr>
        <w:t xml:space="preserve">urbain du pays et accueille plus de 7 djiboutien sur 10. </w:t>
      </w:r>
      <w:r w:rsidRPr="00C03CC1">
        <w:rPr>
          <w:rFonts w:ascii="Bookman Old Style" w:hAnsi="Bookman Old Style"/>
        </w:rPr>
        <w:t xml:space="preserve">Elle concentre également la totalité de la vie économique et commerciale du pays. </w:t>
      </w:r>
      <w:r>
        <w:rPr>
          <w:rFonts w:ascii="Bookman Old Style" w:hAnsi="Bookman Old Style"/>
        </w:rPr>
        <w:t>Toutes les infrastructures publiques et privées (d’éducation, sanitaires et culturelles, etc.) y sont aussi localisées au détriment du développement des autres régions.</w:t>
      </w:r>
    </w:p>
    <w:p w:rsidR="0034718C" w:rsidRDefault="0034718C" w:rsidP="00F51197">
      <w:pPr>
        <w:spacing w:line="480" w:lineRule="auto"/>
        <w:ind w:firstLine="706"/>
        <w:jc w:val="both"/>
        <w:rPr>
          <w:rFonts w:ascii="Bookman Old Style" w:hAnsi="Bookman Old Style"/>
        </w:rPr>
      </w:pPr>
    </w:p>
    <w:p w:rsidR="0034718C" w:rsidRDefault="0034718C" w:rsidP="00F51197">
      <w:pPr>
        <w:spacing w:line="480" w:lineRule="auto"/>
        <w:ind w:firstLine="706"/>
        <w:jc w:val="both"/>
        <w:rPr>
          <w:rFonts w:ascii="Bookman Old Style" w:hAnsi="Bookman Old Style"/>
        </w:rPr>
      </w:pPr>
      <w:r>
        <w:rPr>
          <w:rFonts w:ascii="Bookman Old Style" w:hAnsi="Bookman Old Style"/>
        </w:rPr>
        <w:t>La population d</w:t>
      </w:r>
      <w:r w:rsidRPr="00C03CC1">
        <w:rPr>
          <w:rFonts w:ascii="Bookman Old Style" w:hAnsi="Bookman Old Style"/>
        </w:rPr>
        <w:t>jiboutienne est estimée à environ 820 000</w:t>
      </w:r>
      <w:r w:rsidRPr="00A516C3">
        <w:t xml:space="preserve"> </w:t>
      </w:r>
      <w:r w:rsidRPr="00C03CC1">
        <w:rPr>
          <w:rFonts w:ascii="Bookman Old Style" w:hAnsi="Bookman Old Style"/>
        </w:rPr>
        <w:t>habitants</w:t>
      </w:r>
      <w:r>
        <w:rPr>
          <w:rFonts w:ascii="Bookman Old Style" w:hAnsi="Bookman Old Style"/>
        </w:rPr>
        <w:t xml:space="preserve"> </w:t>
      </w:r>
      <w:r w:rsidRPr="008C718C">
        <w:rPr>
          <w:rFonts w:ascii="Bookman Old Style" w:hAnsi="Bookman Old Style"/>
        </w:rPr>
        <w:t>par le dernier récemment de juin 2009</w:t>
      </w:r>
      <w:r>
        <w:rPr>
          <w:rFonts w:ascii="Bookman Old Style" w:hAnsi="Bookman Old Style"/>
        </w:rPr>
        <w:t>.</w:t>
      </w:r>
      <w:r w:rsidRPr="00C03CC1">
        <w:rPr>
          <w:rFonts w:ascii="Bookman Old Style" w:hAnsi="Bookman Old Style"/>
        </w:rPr>
        <w:t xml:space="preserve"> Le taux d’accroisse</w:t>
      </w:r>
      <w:r>
        <w:rPr>
          <w:rFonts w:ascii="Bookman Old Style" w:hAnsi="Bookman Old Style"/>
        </w:rPr>
        <w:t>ment démographique naturel de 3</w:t>
      </w:r>
      <w:r w:rsidRPr="00C03CC1">
        <w:rPr>
          <w:rFonts w:ascii="Bookman Old Style" w:hAnsi="Bookman Old Style"/>
        </w:rPr>
        <w:t>% par an situe Djibouti parmi les pays à croissance démographique élevée mais le pays a aussi un accroisse</w:t>
      </w:r>
      <w:r>
        <w:rPr>
          <w:rFonts w:ascii="Bookman Old Style" w:hAnsi="Bookman Old Style"/>
        </w:rPr>
        <w:t>ment migratoire de l’ordre de 3</w:t>
      </w:r>
      <w:r w:rsidRPr="00C03CC1">
        <w:rPr>
          <w:rFonts w:ascii="Bookman Old Style" w:hAnsi="Bookman Old Style"/>
        </w:rPr>
        <w:t>% par an. La po</w:t>
      </w:r>
      <w:r>
        <w:rPr>
          <w:rFonts w:ascii="Bookman Old Style" w:hAnsi="Bookman Old Style"/>
        </w:rPr>
        <w:t xml:space="preserve">pulation est </w:t>
      </w:r>
      <w:r w:rsidRPr="00C03CC1">
        <w:rPr>
          <w:rFonts w:ascii="Bookman Old Style" w:hAnsi="Bookman Old Style"/>
        </w:rPr>
        <w:t>jeune, les moins de 15 ans représentent</w:t>
      </w:r>
      <w:r>
        <w:rPr>
          <w:rFonts w:ascii="Bookman Old Style" w:hAnsi="Bookman Old Style"/>
        </w:rPr>
        <w:t xml:space="preserve"> plus de 40 % de la population. Selon les résultats de ce dernier recensement, la taille moyenne des ménages ordinaires est de 6,2 </w:t>
      </w:r>
      <w:r>
        <w:rPr>
          <w:rFonts w:ascii="Bookman Old Style" w:hAnsi="Bookman Old Style"/>
        </w:rPr>
        <w:lastRenderedPageBreak/>
        <w:t xml:space="preserve">personnes. La population de 0 à 4 ans représente 12 %, celle de 5 à 14 ans 24 % personnes. La population de 15 à 59 ans : 60 %.  </w:t>
      </w:r>
      <w:r w:rsidRPr="00C03CC1">
        <w:rPr>
          <w:rFonts w:ascii="Bookman Old Style" w:hAnsi="Bookman Old Style"/>
        </w:rPr>
        <w:t xml:space="preserve">Le pays connaît aussi l’un des taux d’urbanisation les plus élevés en Afrique </w:t>
      </w:r>
      <w:r>
        <w:rPr>
          <w:rFonts w:ascii="Bookman Old Style" w:hAnsi="Bookman Old Style"/>
        </w:rPr>
        <w:t xml:space="preserve">subsaharienne </w:t>
      </w:r>
      <w:r w:rsidRPr="00C03CC1">
        <w:rPr>
          <w:rFonts w:ascii="Bookman Old Style" w:hAnsi="Bookman Old Style"/>
        </w:rPr>
        <w:t>avec 85 % de la population habitant dans les villes</w:t>
      </w:r>
      <w:r>
        <w:rPr>
          <w:rFonts w:ascii="Bookman Old Style" w:hAnsi="Bookman Old Style"/>
        </w:rPr>
        <w:t xml:space="preserve"> contre une moyenne de 42 % pour l’Afrique subsaharienne.</w:t>
      </w:r>
    </w:p>
    <w:p w:rsidR="0034718C" w:rsidRPr="00C03CC1" w:rsidRDefault="0034718C" w:rsidP="00F51197">
      <w:pPr>
        <w:spacing w:line="480" w:lineRule="auto"/>
        <w:jc w:val="both"/>
        <w:rPr>
          <w:rFonts w:ascii="Bookman Old Style" w:hAnsi="Bookman Old Style"/>
        </w:rPr>
      </w:pPr>
    </w:p>
    <w:p w:rsidR="0034718C" w:rsidRDefault="0034718C" w:rsidP="00F51197">
      <w:pPr>
        <w:spacing w:line="480" w:lineRule="auto"/>
        <w:ind w:firstLine="706"/>
        <w:jc w:val="both"/>
        <w:rPr>
          <w:rFonts w:ascii="Bookman Old Style" w:hAnsi="Bookman Old Style"/>
        </w:rPr>
      </w:pPr>
      <w:r w:rsidRPr="00C03CC1">
        <w:rPr>
          <w:rFonts w:ascii="Bookman Old Style" w:hAnsi="Bookman Old Style"/>
        </w:rPr>
        <w:t xml:space="preserve"> L’économie du pays est lourdement tributaire du secteur des services qui compte pour 80 </w:t>
      </w:r>
      <w:r>
        <w:rPr>
          <w:rFonts w:ascii="Bookman Old Style" w:hAnsi="Bookman Old Style"/>
        </w:rPr>
        <w:t>% du PIB</w:t>
      </w:r>
      <w:r w:rsidRPr="00C03CC1">
        <w:rPr>
          <w:rFonts w:ascii="Bookman Old Style" w:hAnsi="Bookman Old Style"/>
        </w:rPr>
        <w:t xml:space="preserve"> et 80 % des emplois. Les services sont principalement axés sur les activités portuaires et les connexions routières. Le port qui est le poumon économique du pays assure la des</w:t>
      </w:r>
      <w:r>
        <w:rPr>
          <w:rFonts w:ascii="Bookman Old Style" w:hAnsi="Bookman Old Style"/>
        </w:rPr>
        <w:t>s</w:t>
      </w:r>
      <w:r w:rsidRPr="00C03CC1">
        <w:rPr>
          <w:rFonts w:ascii="Bookman Old Style" w:hAnsi="Bookman Old Style"/>
        </w:rPr>
        <w:t xml:space="preserve">erte des pays voisins surtout l’Ethiopie, dont Djibouti est le seul débouché maritime.  Pauvre en ressources naturelles, le pays est doté d’un secteur primaire et industriel peu développé représentant respectivement 3 % et 15 % du PIB. </w:t>
      </w:r>
      <w:r>
        <w:rPr>
          <w:rFonts w:ascii="Bookman Old Style" w:hAnsi="Bookman Old Style"/>
        </w:rPr>
        <w:t xml:space="preserve">Le secteur primaire se limite à l’élevage, à la production maraichère et à la pêche artisanale. </w:t>
      </w:r>
      <w:r w:rsidRPr="00C03CC1">
        <w:rPr>
          <w:rFonts w:ascii="Bookman Old Style" w:hAnsi="Bookman Old Style"/>
        </w:rPr>
        <w:t xml:space="preserve">Avec des terres peu fertiles et une faible pluviométrie, l’agriculture joue un rôle restreint. </w:t>
      </w:r>
      <w:r>
        <w:rPr>
          <w:rFonts w:ascii="Bookman Old Style" w:hAnsi="Bookman Old Style"/>
        </w:rPr>
        <w:t xml:space="preserve">Le secteur secondaire est de même peu développé à Djibouti en raison notamment d’un coût de production élevé (surtout énergétique), d’un marché intérieur étroit, d’une pénurie de main-d’œuvre qualifiée et de ressources naturelles rares. La majorité des entreprises dans ce secteur intervient dans la branche « bâtiments et travaux publics ». </w:t>
      </w:r>
    </w:p>
    <w:p w:rsidR="0034718C" w:rsidRDefault="0034718C" w:rsidP="00F51197">
      <w:pPr>
        <w:spacing w:line="480" w:lineRule="auto"/>
        <w:ind w:firstLine="706"/>
        <w:jc w:val="both"/>
        <w:rPr>
          <w:rFonts w:ascii="Bookman Old Style" w:hAnsi="Bookman Old Style"/>
        </w:rPr>
      </w:pPr>
    </w:p>
    <w:p w:rsidR="0034718C" w:rsidRDefault="0034718C" w:rsidP="00F51197">
      <w:pPr>
        <w:spacing w:line="480" w:lineRule="auto"/>
        <w:ind w:firstLine="706"/>
        <w:jc w:val="both"/>
        <w:rPr>
          <w:rFonts w:ascii="Bookman Old Style" w:hAnsi="Bookman Old Style"/>
        </w:rPr>
      </w:pPr>
      <w:r w:rsidRPr="00C03CC1">
        <w:rPr>
          <w:rFonts w:ascii="Bookman Old Style" w:hAnsi="Bookman Old Style"/>
        </w:rPr>
        <w:t xml:space="preserve">Djibouti continue de jouer un rôle important dans le contexte géographique régional. </w:t>
      </w:r>
      <w:r>
        <w:rPr>
          <w:rFonts w:ascii="Bookman Old Style" w:hAnsi="Bookman Old Style"/>
        </w:rPr>
        <w:t xml:space="preserve">Occupant une position stratégique sur la pointe Est de la Corne de l’Afrique et à l’entrée de la Mer Rouge, Djibouti évolue au </w:t>
      </w:r>
      <w:r>
        <w:rPr>
          <w:rFonts w:ascii="Bookman Old Style" w:hAnsi="Bookman Old Style"/>
        </w:rPr>
        <w:lastRenderedPageBreak/>
        <w:t xml:space="preserve">cœur d’un ensemble géographique qui connaît des crises politiques récurrentes et où elle peut être considérée comme un pôle de stabilité. Profitant de cet emplacement stratégique et de sa stabilité, Djibouti reste bien présent dans la région en fournissant des services de transport et des services bancaires aux pays de la région. </w:t>
      </w:r>
      <w:r w:rsidRPr="00C03CC1">
        <w:rPr>
          <w:rFonts w:ascii="Bookman Old Style" w:hAnsi="Bookman Old Style"/>
        </w:rPr>
        <w:t xml:space="preserve"> Les  effets  des événements du 11 septembre 2001 et de la guerre contre le terrorisme mondial </w:t>
      </w:r>
      <w:r>
        <w:rPr>
          <w:rFonts w:ascii="Bookman Old Style" w:hAnsi="Bookman Old Style"/>
        </w:rPr>
        <w:t xml:space="preserve">et la piraterie dans la corne d’Afrique plus récemment </w:t>
      </w:r>
      <w:r w:rsidRPr="00C03CC1">
        <w:rPr>
          <w:rFonts w:ascii="Bookman Old Style" w:hAnsi="Bookman Old Style"/>
        </w:rPr>
        <w:t xml:space="preserve">font que, outre la France dont la présence militaire est ancienne, les Etats-Unis y font stationner des troupes ; ceci constitue une source d’activité et de ressources non négligeables pour l’économie nationale. </w:t>
      </w:r>
    </w:p>
    <w:p w:rsidR="0034718C" w:rsidRDefault="0034718C" w:rsidP="00F51197">
      <w:pPr>
        <w:spacing w:line="480" w:lineRule="auto"/>
        <w:ind w:firstLine="706"/>
        <w:jc w:val="both"/>
        <w:rPr>
          <w:rFonts w:ascii="Bookman Old Style" w:hAnsi="Bookman Old Style"/>
        </w:rPr>
      </w:pPr>
    </w:p>
    <w:p w:rsidR="003F4A7A" w:rsidRDefault="003F4A7A" w:rsidP="00F51197">
      <w:pPr>
        <w:spacing w:line="480" w:lineRule="auto"/>
        <w:ind w:firstLine="706"/>
        <w:jc w:val="both"/>
        <w:rPr>
          <w:rFonts w:ascii="Bookman Old Style" w:hAnsi="Bookman Old Style"/>
        </w:rPr>
      </w:pPr>
      <w:r>
        <w:rPr>
          <w:rFonts w:ascii="Bookman Old Style" w:hAnsi="Bookman Old Style"/>
        </w:rPr>
        <w:t>Après l’indépendance,  le Gouvernement a engagé un vaste programme d’investissements publics pour doter le pays des infrastructures économiques de base. Dans les premières années de l’indépendance, l’investissement public a fortement augmenté, passant de 8 % du PIB en 1978 à 22 % du PIB en 1982 (Banque mondiale, 1984). La part des investissements privés quant à elle est restée faible, moins  de 5 % du PIB durant cette période. Cette situation a conduit l’Etat à être présent dans tous les secteurs de l’économie : transport, télécommunication, production et distribution de l’eau, de l’énergie, etc.   En 1983, le Gouvernement a mis en place un</w:t>
      </w:r>
      <w:r w:rsidRPr="00F262F5">
        <w:rPr>
          <w:rFonts w:ascii="Bookman Old Style" w:hAnsi="Bookman Old Style"/>
        </w:rPr>
        <w:t xml:space="preserve"> </w:t>
      </w:r>
      <w:r>
        <w:rPr>
          <w:rFonts w:ascii="Bookman Old Style" w:hAnsi="Bookman Old Style"/>
        </w:rPr>
        <w:t>ambitieux plan quinquennal de développement économique (1984-1988). Le tableau suivant décrit le niveau et la répartition sectorielle de l’investissement public sur la période de 1984-1988.</w:t>
      </w:r>
    </w:p>
    <w:p w:rsidR="003F4A7A" w:rsidRDefault="003F4A7A" w:rsidP="00F51197">
      <w:pPr>
        <w:spacing w:line="480" w:lineRule="auto"/>
        <w:jc w:val="both"/>
        <w:rPr>
          <w:rFonts w:ascii="Bookman Old Style" w:hAnsi="Bookman Old Style"/>
        </w:rPr>
      </w:pPr>
    </w:p>
    <w:p w:rsidR="003F4A7A" w:rsidRPr="00B021AB" w:rsidRDefault="003F4A7A" w:rsidP="00F51197">
      <w:pPr>
        <w:pStyle w:val="Lgende"/>
        <w:keepNext/>
        <w:spacing w:line="480" w:lineRule="auto"/>
        <w:jc w:val="center"/>
        <w:rPr>
          <w:rFonts w:ascii="Bookman Old Style" w:hAnsi="Bookman Old Style"/>
        </w:rPr>
      </w:pPr>
      <w:bookmarkStart w:id="0" w:name="_Toc337258658"/>
      <w:r w:rsidRPr="00B021AB">
        <w:rPr>
          <w:rFonts w:ascii="Bookman Old Style" w:hAnsi="Bookman Old Style"/>
        </w:rPr>
        <w:t xml:space="preserve">Tableau </w:t>
      </w:r>
      <w:r w:rsidR="009B0AFA">
        <w:rPr>
          <w:rFonts w:ascii="Bookman Old Style" w:hAnsi="Bookman Old Style"/>
        </w:rPr>
        <w:t>1</w:t>
      </w:r>
      <w:r w:rsidRPr="00B021AB">
        <w:rPr>
          <w:rFonts w:ascii="Bookman Old Style" w:hAnsi="Bookman Old Style"/>
        </w:rPr>
        <w:t xml:space="preserve"> : Répartition sectorielle des investissements publics durant </w:t>
      </w:r>
      <w:r w:rsidRPr="00B021AB">
        <w:rPr>
          <w:rFonts w:ascii="Bookman Old Style" w:hAnsi="Bookman Old Style"/>
        </w:rPr>
        <w:lastRenderedPageBreak/>
        <w:t>1984-1988</w:t>
      </w:r>
      <w:bookmarkEnd w:id="0"/>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1"/>
        <w:gridCol w:w="3240"/>
        <w:gridCol w:w="2430"/>
      </w:tblGrid>
      <w:tr w:rsidR="003F4A7A" w:rsidRPr="00084C52" w:rsidTr="00196209">
        <w:tc>
          <w:tcPr>
            <w:tcW w:w="4081" w:type="dxa"/>
            <w:shd w:val="pct12" w:color="auto" w:fill="DAEEF3"/>
          </w:tcPr>
          <w:p w:rsidR="003F4A7A" w:rsidRPr="00084C52" w:rsidRDefault="003F4A7A" w:rsidP="00F51197">
            <w:pPr>
              <w:spacing w:line="480" w:lineRule="auto"/>
              <w:jc w:val="center"/>
              <w:rPr>
                <w:rFonts w:ascii="Bookman Old Style" w:hAnsi="Bookman Old Style"/>
              </w:rPr>
            </w:pPr>
            <w:r w:rsidRPr="00084C52">
              <w:rPr>
                <w:rFonts w:ascii="Bookman Old Style" w:hAnsi="Bookman Old Style"/>
              </w:rPr>
              <w:t>Secteur d’activité</w:t>
            </w:r>
          </w:p>
        </w:tc>
        <w:tc>
          <w:tcPr>
            <w:tcW w:w="3240" w:type="dxa"/>
            <w:shd w:val="pct12" w:color="auto" w:fill="DAEEF3"/>
          </w:tcPr>
          <w:p w:rsidR="003F4A7A" w:rsidRPr="00084C52" w:rsidRDefault="003F4A7A" w:rsidP="00F51197">
            <w:pPr>
              <w:spacing w:line="480" w:lineRule="auto"/>
              <w:jc w:val="center"/>
              <w:rPr>
                <w:rFonts w:ascii="Bookman Old Style" w:hAnsi="Bookman Old Style"/>
              </w:rPr>
            </w:pPr>
            <w:r w:rsidRPr="00084C52">
              <w:rPr>
                <w:rFonts w:ascii="Bookman Old Style" w:hAnsi="Bookman Old Style"/>
              </w:rPr>
              <w:t>Montant  de d’investissement en millions de dollars US</w:t>
            </w:r>
          </w:p>
        </w:tc>
        <w:tc>
          <w:tcPr>
            <w:tcW w:w="2430" w:type="dxa"/>
            <w:shd w:val="pct12" w:color="auto" w:fill="DAEEF3"/>
          </w:tcPr>
          <w:p w:rsidR="003F4A7A" w:rsidRPr="00084C52" w:rsidRDefault="003F4A7A" w:rsidP="00F51197">
            <w:pPr>
              <w:spacing w:line="480" w:lineRule="auto"/>
              <w:rPr>
                <w:rFonts w:ascii="Bookman Old Style" w:hAnsi="Bookman Old Style"/>
              </w:rPr>
            </w:pPr>
            <w:r w:rsidRPr="00084C52">
              <w:rPr>
                <w:rFonts w:ascii="Bookman Old Style" w:hAnsi="Bookman Old Style"/>
              </w:rPr>
              <w:t xml:space="preserve">Pourcentage  d’investissement public par secteur </w:t>
            </w:r>
          </w:p>
        </w:tc>
      </w:tr>
      <w:tr w:rsidR="003F4A7A" w:rsidRPr="005114BF" w:rsidTr="00196209">
        <w:tc>
          <w:tcPr>
            <w:tcW w:w="4081" w:type="dxa"/>
          </w:tcPr>
          <w:p w:rsidR="003F4A7A" w:rsidRPr="005114BF" w:rsidRDefault="003F4A7A" w:rsidP="00F51197">
            <w:pPr>
              <w:spacing w:line="480" w:lineRule="auto"/>
              <w:rPr>
                <w:rFonts w:ascii="Bookman Old Style" w:hAnsi="Bookman Old Style"/>
              </w:rPr>
            </w:pPr>
            <w:r>
              <w:rPr>
                <w:rFonts w:ascii="Bookman Old Style" w:hAnsi="Bookman Old Style"/>
              </w:rPr>
              <w:t>Eau, agriculture, élevage</w:t>
            </w:r>
          </w:p>
        </w:tc>
        <w:tc>
          <w:tcPr>
            <w:tcW w:w="3240" w:type="dxa"/>
          </w:tcPr>
          <w:p w:rsidR="003F4A7A" w:rsidRDefault="003F4A7A" w:rsidP="00F51197">
            <w:pPr>
              <w:spacing w:line="480" w:lineRule="auto"/>
              <w:jc w:val="center"/>
              <w:rPr>
                <w:rFonts w:ascii="Bookman Old Style" w:hAnsi="Bookman Old Style"/>
              </w:rPr>
            </w:pPr>
            <w:r>
              <w:rPr>
                <w:rFonts w:ascii="Bookman Old Style" w:hAnsi="Bookman Old Style"/>
              </w:rPr>
              <w:t>38,8</w:t>
            </w:r>
          </w:p>
          <w:p w:rsidR="003F4A7A" w:rsidRPr="005114BF" w:rsidRDefault="003F4A7A" w:rsidP="00F51197">
            <w:pPr>
              <w:spacing w:line="480" w:lineRule="auto"/>
              <w:rPr>
                <w:rFonts w:ascii="Bookman Old Style" w:hAnsi="Bookman Old Style"/>
              </w:rPr>
            </w:pPr>
          </w:p>
        </w:tc>
        <w:tc>
          <w:tcPr>
            <w:tcW w:w="2430" w:type="dxa"/>
          </w:tcPr>
          <w:p w:rsidR="003F4A7A" w:rsidRPr="005114BF" w:rsidRDefault="003F4A7A" w:rsidP="00F51197">
            <w:pPr>
              <w:spacing w:line="480" w:lineRule="auto"/>
              <w:rPr>
                <w:rFonts w:ascii="Bookman Old Style" w:hAnsi="Bookman Old Style"/>
              </w:rPr>
            </w:pPr>
            <w:r>
              <w:rPr>
                <w:rFonts w:ascii="Bookman Old Style" w:hAnsi="Bookman Old Style"/>
              </w:rPr>
              <w:t>8,06</w:t>
            </w:r>
          </w:p>
        </w:tc>
      </w:tr>
      <w:tr w:rsidR="003F4A7A" w:rsidRPr="005114BF" w:rsidTr="00196209">
        <w:tc>
          <w:tcPr>
            <w:tcW w:w="4081" w:type="dxa"/>
          </w:tcPr>
          <w:p w:rsidR="003F4A7A" w:rsidRPr="005114BF" w:rsidRDefault="003F4A7A" w:rsidP="00F51197">
            <w:pPr>
              <w:spacing w:line="480" w:lineRule="auto"/>
              <w:rPr>
                <w:rFonts w:ascii="Bookman Old Style" w:hAnsi="Bookman Old Style"/>
              </w:rPr>
            </w:pPr>
            <w:r>
              <w:rPr>
                <w:rFonts w:ascii="Bookman Old Style" w:hAnsi="Bookman Old Style"/>
              </w:rPr>
              <w:t xml:space="preserve">Industrie, énergie, </w:t>
            </w:r>
          </w:p>
        </w:tc>
        <w:tc>
          <w:tcPr>
            <w:tcW w:w="3240" w:type="dxa"/>
          </w:tcPr>
          <w:p w:rsidR="003F4A7A" w:rsidRDefault="003F4A7A" w:rsidP="00F51197">
            <w:pPr>
              <w:spacing w:line="480" w:lineRule="auto"/>
              <w:jc w:val="center"/>
              <w:rPr>
                <w:rFonts w:ascii="Bookman Old Style" w:hAnsi="Bookman Old Style"/>
              </w:rPr>
            </w:pPr>
            <w:r>
              <w:rPr>
                <w:rFonts w:ascii="Bookman Old Style" w:hAnsi="Bookman Old Style"/>
              </w:rPr>
              <w:t>125</w:t>
            </w:r>
          </w:p>
          <w:p w:rsidR="003F4A7A" w:rsidRPr="005114BF" w:rsidRDefault="003F4A7A" w:rsidP="00F51197">
            <w:pPr>
              <w:spacing w:line="480" w:lineRule="auto"/>
              <w:rPr>
                <w:rFonts w:ascii="Bookman Old Style" w:hAnsi="Bookman Old Style"/>
              </w:rPr>
            </w:pPr>
          </w:p>
        </w:tc>
        <w:tc>
          <w:tcPr>
            <w:tcW w:w="2430" w:type="dxa"/>
          </w:tcPr>
          <w:p w:rsidR="003F4A7A" w:rsidRPr="005114BF" w:rsidRDefault="003F4A7A" w:rsidP="00F51197">
            <w:pPr>
              <w:spacing w:line="480" w:lineRule="auto"/>
              <w:rPr>
                <w:rFonts w:ascii="Bookman Old Style" w:hAnsi="Bookman Old Style"/>
              </w:rPr>
            </w:pPr>
            <w:r>
              <w:rPr>
                <w:rFonts w:ascii="Bookman Old Style" w:hAnsi="Bookman Old Style"/>
              </w:rPr>
              <w:t>25,96</w:t>
            </w:r>
          </w:p>
        </w:tc>
      </w:tr>
      <w:tr w:rsidR="003F4A7A" w:rsidRPr="005114BF" w:rsidTr="00196209">
        <w:tc>
          <w:tcPr>
            <w:tcW w:w="4081" w:type="dxa"/>
          </w:tcPr>
          <w:p w:rsidR="003F4A7A" w:rsidRPr="005114BF" w:rsidRDefault="003F4A7A" w:rsidP="00F51197">
            <w:pPr>
              <w:spacing w:line="480" w:lineRule="auto"/>
              <w:rPr>
                <w:rFonts w:ascii="Bookman Old Style" w:hAnsi="Bookman Old Style"/>
              </w:rPr>
            </w:pPr>
            <w:r>
              <w:rPr>
                <w:rFonts w:ascii="Bookman Old Style" w:hAnsi="Bookman Old Style"/>
              </w:rPr>
              <w:t>Transport e télécommunications</w:t>
            </w:r>
          </w:p>
        </w:tc>
        <w:tc>
          <w:tcPr>
            <w:tcW w:w="3240" w:type="dxa"/>
          </w:tcPr>
          <w:p w:rsidR="003F4A7A" w:rsidRPr="005114BF" w:rsidRDefault="003F4A7A" w:rsidP="00F51197">
            <w:pPr>
              <w:spacing w:line="480" w:lineRule="auto"/>
              <w:jc w:val="center"/>
              <w:rPr>
                <w:rFonts w:ascii="Bookman Old Style" w:hAnsi="Bookman Old Style"/>
              </w:rPr>
            </w:pPr>
            <w:r>
              <w:rPr>
                <w:rFonts w:ascii="Bookman Old Style" w:hAnsi="Bookman Old Style"/>
              </w:rPr>
              <w:t>171,10</w:t>
            </w:r>
          </w:p>
        </w:tc>
        <w:tc>
          <w:tcPr>
            <w:tcW w:w="2430" w:type="dxa"/>
          </w:tcPr>
          <w:p w:rsidR="003F4A7A" w:rsidRPr="005114BF" w:rsidRDefault="003F4A7A" w:rsidP="00F51197">
            <w:pPr>
              <w:spacing w:line="480" w:lineRule="auto"/>
              <w:rPr>
                <w:rFonts w:ascii="Bookman Old Style" w:hAnsi="Bookman Old Style"/>
              </w:rPr>
            </w:pPr>
            <w:r>
              <w:rPr>
                <w:rFonts w:ascii="Bookman Old Style" w:hAnsi="Bookman Old Style"/>
              </w:rPr>
              <w:t>35,53</w:t>
            </w:r>
          </w:p>
        </w:tc>
      </w:tr>
      <w:tr w:rsidR="003F4A7A" w:rsidRPr="005114BF" w:rsidTr="00196209">
        <w:tc>
          <w:tcPr>
            <w:tcW w:w="4081" w:type="dxa"/>
          </w:tcPr>
          <w:p w:rsidR="003F4A7A" w:rsidRPr="005114BF" w:rsidRDefault="003F4A7A" w:rsidP="00F51197">
            <w:pPr>
              <w:spacing w:line="480" w:lineRule="auto"/>
              <w:rPr>
                <w:rFonts w:ascii="Bookman Old Style" w:hAnsi="Bookman Old Style"/>
              </w:rPr>
            </w:pPr>
            <w:r>
              <w:rPr>
                <w:rFonts w:ascii="Bookman Old Style" w:hAnsi="Bookman Old Style"/>
              </w:rPr>
              <w:t>Développement urbain</w:t>
            </w:r>
          </w:p>
        </w:tc>
        <w:tc>
          <w:tcPr>
            <w:tcW w:w="3240" w:type="dxa"/>
          </w:tcPr>
          <w:p w:rsidR="003F4A7A" w:rsidRDefault="003F4A7A" w:rsidP="00F51197">
            <w:pPr>
              <w:spacing w:line="480" w:lineRule="auto"/>
              <w:jc w:val="center"/>
              <w:rPr>
                <w:rFonts w:ascii="Bookman Old Style" w:hAnsi="Bookman Old Style"/>
              </w:rPr>
            </w:pPr>
            <w:r>
              <w:rPr>
                <w:rFonts w:ascii="Bookman Old Style" w:hAnsi="Bookman Old Style"/>
              </w:rPr>
              <w:t>66,50</w:t>
            </w:r>
          </w:p>
          <w:p w:rsidR="003F4A7A" w:rsidRPr="005114BF" w:rsidRDefault="003F4A7A" w:rsidP="00F51197">
            <w:pPr>
              <w:spacing w:line="480" w:lineRule="auto"/>
              <w:rPr>
                <w:rFonts w:ascii="Bookman Old Style" w:hAnsi="Bookman Old Style"/>
              </w:rPr>
            </w:pPr>
          </w:p>
        </w:tc>
        <w:tc>
          <w:tcPr>
            <w:tcW w:w="2430" w:type="dxa"/>
          </w:tcPr>
          <w:p w:rsidR="003F4A7A" w:rsidRPr="005114BF" w:rsidRDefault="003F4A7A" w:rsidP="00F51197">
            <w:pPr>
              <w:spacing w:line="480" w:lineRule="auto"/>
              <w:rPr>
                <w:rFonts w:ascii="Bookman Old Style" w:hAnsi="Bookman Old Style"/>
              </w:rPr>
            </w:pPr>
            <w:r>
              <w:rPr>
                <w:rFonts w:ascii="Bookman Old Style" w:hAnsi="Bookman Old Style"/>
              </w:rPr>
              <w:t>13,81</w:t>
            </w:r>
          </w:p>
        </w:tc>
      </w:tr>
      <w:tr w:rsidR="003F4A7A" w:rsidRPr="005114BF" w:rsidTr="00196209">
        <w:tc>
          <w:tcPr>
            <w:tcW w:w="4081" w:type="dxa"/>
          </w:tcPr>
          <w:p w:rsidR="003F4A7A" w:rsidRDefault="003F4A7A" w:rsidP="00F51197">
            <w:pPr>
              <w:spacing w:line="480" w:lineRule="auto"/>
              <w:rPr>
                <w:rFonts w:ascii="Bookman Old Style" w:hAnsi="Bookman Old Style"/>
              </w:rPr>
            </w:pPr>
            <w:r>
              <w:rPr>
                <w:rFonts w:ascii="Bookman Old Style" w:hAnsi="Bookman Old Style"/>
              </w:rPr>
              <w:t xml:space="preserve">Formation,  jeunesse et sport </w:t>
            </w:r>
          </w:p>
        </w:tc>
        <w:tc>
          <w:tcPr>
            <w:tcW w:w="3240" w:type="dxa"/>
          </w:tcPr>
          <w:p w:rsidR="003F4A7A" w:rsidRDefault="003F4A7A" w:rsidP="00F51197">
            <w:pPr>
              <w:spacing w:line="480" w:lineRule="auto"/>
              <w:jc w:val="center"/>
              <w:rPr>
                <w:rFonts w:ascii="Bookman Old Style" w:hAnsi="Bookman Old Style"/>
              </w:rPr>
            </w:pPr>
            <w:r>
              <w:rPr>
                <w:rFonts w:ascii="Bookman Old Style" w:hAnsi="Bookman Old Style"/>
              </w:rPr>
              <w:t>64, 20</w:t>
            </w:r>
          </w:p>
          <w:p w:rsidR="003F4A7A" w:rsidRDefault="003F4A7A" w:rsidP="00F51197">
            <w:pPr>
              <w:spacing w:line="480" w:lineRule="auto"/>
              <w:jc w:val="center"/>
              <w:rPr>
                <w:rFonts w:ascii="Bookman Old Style" w:hAnsi="Bookman Old Style"/>
              </w:rPr>
            </w:pPr>
          </w:p>
          <w:p w:rsidR="003F4A7A" w:rsidRPr="005114BF" w:rsidRDefault="003F4A7A" w:rsidP="00F51197">
            <w:pPr>
              <w:spacing w:line="480" w:lineRule="auto"/>
              <w:jc w:val="center"/>
              <w:rPr>
                <w:rFonts w:ascii="Bookman Old Style" w:hAnsi="Bookman Old Style"/>
              </w:rPr>
            </w:pPr>
          </w:p>
        </w:tc>
        <w:tc>
          <w:tcPr>
            <w:tcW w:w="2430" w:type="dxa"/>
          </w:tcPr>
          <w:p w:rsidR="003F4A7A" w:rsidRPr="005114BF" w:rsidRDefault="003F4A7A" w:rsidP="00F51197">
            <w:pPr>
              <w:spacing w:line="480" w:lineRule="auto"/>
              <w:jc w:val="center"/>
              <w:rPr>
                <w:rFonts w:ascii="Bookman Old Style" w:hAnsi="Bookman Old Style"/>
              </w:rPr>
            </w:pPr>
            <w:r>
              <w:rPr>
                <w:rFonts w:ascii="Bookman Old Style" w:hAnsi="Bookman Old Style"/>
              </w:rPr>
              <w:t>13,33</w:t>
            </w:r>
          </w:p>
        </w:tc>
      </w:tr>
      <w:tr w:rsidR="003F4A7A" w:rsidRPr="005114BF" w:rsidTr="00196209">
        <w:tc>
          <w:tcPr>
            <w:tcW w:w="4081" w:type="dxa"/>
          </w:tcPr>
          <w:p w:rsidR="003F4A7A" w:rsidRDefault="003F4A7A" w:rsidP="00F51197">
            <w:pPr>
              <w:spacing w:line="480" w:lineRule="auto"/>
              <w:rPr>
                <w:rFonts w:ascii="Bookman Old Style" w:hAnsi="Bookman Old Style"/>
              </w:rPr>
            </w:pPr>
            <w:r>
              <w:rPr>
                <w:rFonts w:ascii="Bookman Old Style" w:hAnsi="Bookman Old Style"/>
              </w:rPr>
              <w:t>Santé</w:t>
            </w:r>
          </w:p>
        </w:tc>
        <w:tc>
          <w:tcPr>
            <w:tcW w:w="3240" w:type="dxa"/>
          </w:tcPr>
          <w:p w:rsidR="003F4A7A" w:rsidRDefault="003F4A7A" w:rsidP="00F51197">
            <w:pPr>
              <w:spacing w:line="480" w:lineRule="auto"/>
              <w:jc w:val="center"/>
              <w:rPr>
                <w:rFonts w:ascii="Bookman Old Style" w:hAnsi="Bookman Old Style"/>
              </w:rPr>
            </w:pPr>
            <w:r>
              <w:rPr>
                <w:rFonts w:ascii="Bookman Old Style" w:hAnsi="Bookman Old Style"/>
              </w:rPr>
              <w:t>9,90</w:t>
            </w:r>
          </w:p>
          <w:p w:rsidR="003F4A7A" w:rsidRPr="005114BF" w:rsidRDefault="003F4A7A" w:rsidP="00F51197">
            <w:pPr>
              <w:spacing w:line="480" w:lineRule="auto"/>
              <w:jc w:val="center"/>
              <w:rPr>
                <w:rFonts w:ascii="Bookman Old Style" w:hAnsi="Bookman Old Style"/>
              </w:rPr>
            </w:pPr>
          </w:p>
        </w:tc>
        <w:tc>
          <w:tcPr>
            <w:tcW w:w="2430" w:type="dxa"/>
          </w:tcPr>
          <w:p w:rsidR="003F4A7A" w:rsidRPr="005114BF" w:rsidRDefault="003F4A7A" w:rsidP="00F51197">
            <w:pPr>
              <w:spacing w:line="480" w:lineRule="auto"/>
              <w:jc w:val="center"/>
              <w:rPr>
                <w:rFonts w:ascii="Bookman Old Style" w:hAnsi="Bookman Old Style"/>
              </w:rPr>
            </w:pPr>
            <w:r>
              <w:rPr>
                <w:rFonts w:ascii="Bookman Old Style" w:hAnsi="Bookman Old Style"/>
              </w:rPr>
              <w:t>2,06</w:t>
            </w:r>
          </w:p>
        </w:tc>
      </w:tr>
      <w:tr w:rsidR="003F4A7A" w:rsidRPr="005114BF" w:rsidTr="00196209">
        <w:tc>
          <w:tcPr>
            <w:tcW w:w="4081" w:type="dxa"/>
          </w:tcPr>
          <w:p w:rsidR="003F4A7A" w:rsidRDefault="003F4A7A" w:rsidP="00F51197">
            <w:pPr>
              <w:spacing w:line="480" w:lineRule="auto"/>
              <w:rPr>
                <w:rFonts w:ascii="Bookman Old Style" w:hAnsi="Bookman Old Style"/>
              </w:rPr>
            </w:pPr>
            <w:r>
              <w:rPr>
                <w:rFonts w:ascii="Bookman Old Style" w:hAnsi="Bookman Old Style"/>
              </w:rPr>
              <w:t>Tourisme</w:t>
            </w:r>
          </w:p>
        </w:tc>
        <w:tc>
          <w:tcPr>
            <w:tcW w:w="3240" w:type="dxa"/>
          </w:tcPr>
          <w:p w:rsidR="003F4A7A" w:rsidRDefault="003F4A7A" w:rsidP="00F51197">
            <w:pPr>
              <w:spacing w:line="480" w:lineRule="auto"/>
              <w:jc w:val="center"/>
              <w:rPr>
                <w:rFonts w:ascii="Bookman Old Style" w:hAnsi="Bookman Old Style"/>
              </w:rPr>
            </w:pPr>
            <w:r>
              <w:rPr>
                <w:rFonts w:ascii="Bookman Old Style" w:hAnsi="Bookman Old Style"/>
              </w:rPr>
              <w:t>6,00</w:t>
            </w:r>
          </w:p>
          <w:p w:rsidR="003F4A7A" w:rsidRPr="005114BF" w:rsidRDefault="003F4A7A" w:rsidP="00F51197">
            <w:pPr>
              <w:spacing w:line="480" w:lineRule="auto"/>
              <w:jc w:val="center"/>
              <w:rPr>
                <w:rFonts w:ascii="Bookman Old Style" w:hAnsi="Bookman Old Style"/>
              </w:rPr>
            </w:pPr>
          </w:p>
        </w:tc>
        <w:tc>
          <w:tcPr>
            <w:tcW w:w="2430" w:type="dxa"/>
          </w:tcPr>
          <w:p w:rsidR="003F4A7A" w:rsidRPr="005114BF" w:rsidRDefault="003F4A7A" w:rsidP="00F51197">
            <w:pPr>
              <w:spacing w:line="480" w:lineRule="auto"/>
              <w:jc w:val="center"/>
              <w:rPr>
                <w:rFonts w:ascii="Bookman Old Style" w:hAnsi="Bookman Old Style"/>
              </w:rPr>
            </w:pPr>
            <w:r>
              <w:rPr>
                <w:rFonts w:ascii="Bookman Old Style" w:hAnsi="Bookman Old Style"/>
              </w:rPr>
              <w:t>1,25</w:t>
            </w:r>
          </w:p>
        </w:tc>
      </w:tr>
      <w:tr w:rsidR="003F4A7A" w:rsidRPr="005114BF" w:rsidTr="00196209">
        <w:tc>
          <w:tcPr>
            <w:tcW w:w="4081" w:type="dxa"/>
          </w:tcPr>
          <w:p w:rsidR="003F4A7A" w:rsidRDefault="003F4A7A" w:rsidP="00F51197">
            <w:pPr>
              <w:spacing w:line="480" w:lineRule="auto"/>
              <w:rPr>
                <w:rFonts w:ascii="Bookman Old Style" w:hAnsi="Bookman Old Style"/>
              </w:rPr>
            </w:pPr>
            <w:r>
              <w:rPr>
                <w:rFonts w:ascii="Bookman Old Style" w:hAnsi="Bookman Old Style"/>
              </w:rPr>
              <w:t>Total</w:t>
            </w:r>
          </w:p>
        </w:tc>
        <w:tc>
          <w:tcPr>
            <w:tcW w:w="3240" w:type="dxa"/>
          </w:tcPr>
          <w:p w:rsidR="003F4A7A" w:rsidRDefault="003F4A7A" w:rsidP="00F51197">
            <w:pPr>
              <w:spacing w:line="480" w:lineRule="auto"/>
              <w:jc w:val="center"/>
              <w:rPr>
                <w:rFonts w:ascii="Bookman Old Style" w:hAnsi="Bookman Old Style"/>
              </w:rPr>
            </w:pPr>
            <w:r>
              <w:rPr>
                <w:rFonts w:ascii="Bookman Old Style" w:hAnsi="Bookman Old Style"/>
              </w:rPr>
              <w:t>481,50</w:t>
            </w:r>
          </w:p>
          <w:p w:rsidR="003F4A7A" w:rsidRPr="005114BF" w:rsidRDefault="003F4A7A" w:rsidP="00F51197">
            <w:pPr>
              <w:spacing w:line="480" w:lineRule="auto"/>
              <w:jc w:val="center"/>
              <w:rPr>
                <w:rFonts w:ascii="Bookman Old Style" w:hAnsi="Bookman Old Style"/>
              </w:rPr>
            </w:pPr>
          </w:p>
        </w:tc>
        <w:tc>
          <w:tcPr>
            <w:tcW w:w="2430" w:type="dxa"/>
          </w:tcPr>
          <w:p w:rsidR="003F4A7A" w:rsidRPr="005114BF" w:rsidRDefault="003F4A7A" w:rsidP="00F51197">
            <w:pPr>
              <w:spacing w:line="480" w:lineRule="auto"/>
              <w:jc w:val="center"/>
              <w:rPr>
                <w:rFonts w:ascii="Bookman Old Style" w:hAnsi="Bookman Old Style"/>
              </w:rPr>
            </w:pPr>
            <w:r>
              <w:rPr>
                <w:rFonts w:ascii="Bookman Old Style" w:hAnsi="Bookman Old Style"/>
              </w:rPr>
              <w:t>100</w:t>
            </w:r>
          </w:p>
        </w:tc>
      </w:tr>
    </w:tbl>
    <w:p w:rsidR="003F4A7A" w:rsidRPr="00B021AB" w:rsidRDefault="003D76E4" w:rsidP="00F51197">
      <w:pPr>
        <w:spacing w:line="480" w:lineRule="auto"/>
        <w:jc w:val="both"/>
        <w:rPr>
          <w:rFonts w:ascii="Bookman Old Style" w:hAnsi="Bookman Old Style"/>
          <w:sz w:val="22"/>
          <w:szCs w:val="22"/>
        </w:rPr>
      </w:pPr>
      <w:r>
        <w:rPr>
          <w:rFonts w:ascii="Bookman Old Style" w:hAnsi="Bookman Old Style"/>
          <w:sz w:val="22"/>
          <w:szCs w:val="22"/>
        </w:rPr>
        <w:t>Gombor.A</w:t>
      </w:r>
    </w:p>
    <w:p w:rsidR="003F4A7A" w:rsidRDefault="003F4A7A" w:rsidP="00F51197">
      <w:pPr>
        <w:spacing w:line="480" w:lineRule="auto"/>
        <w:ind w:firstLine="706"/>
        <w:jc w:val="both"/>
        <w:rPr>
          <w:rFonts w:ascii="Bookman Old Style" w:hAnsi="Bookman Old Style"/>
        </w:rPr>
      </w:pPr>
    </w:p>
    <w:p w:rsidR="003F4A7A" w:rsidRPr="00CA761D" w:rsidRDefault="003F4A7A" w:rsidP="00F51197">
      <w:pPr>
        <w:spacing w:line="480" w:lineRule="auto"/>
        <w:ind w:firstLine="706"/>
        <w:jc w:val="both"/>
        <w:rPr>
          <w:rFonts w:ascii="Bookman Old Style" w:hAnsi="Bookman Old Style"/>
          <w:szCs w:val="28"/>
        </w:rPr>
      </w:pPr>
      <w:r>
        <w:rPr>
          <w:rFonts w:ascii="Bookman Old Style" w:hAnsi="Bookman Old Style"/>
        </w:rPr>
        <w:t xml:space="preserve">L’interventionnisme de l’Etat a été notamment justifié par un déficit d’initiative privée. </w:t>
      </w:r>
      <w:r>
        <w:rPr>
          <w:rFonts w:ascii="Bookman Old Style" w:hAnsi="Bookman Old Style"/>
          <w:szCs w:val="28"/>
        </w:rPr>
        <w:t xml:space="preserve">Cette situation était </w:t>
      </w:r>
      <w:r w:rsidRPr="005114BF">
        <w:rPr>
          <w:rFonts w:ascii="Bookman Old Style" w:hAnsi="Bookman Old Style"/>
          <w:szCs w:val="28"/>
        </w:rPr>
        <w:t>à l’origine d’une augmentation substantielle de l’emploi public</w:t>
      </w:r>
      <w:r>
        <w:rPr>
          <w:rFonts w:ascii="Bookman Old Style" w:hAnsi="Bookman Old Style"/>
          <w:szCs w:val="28"/>
        </w:rPr>
        <w:t xml:space="preserve"> avec des salaires et rémunérations absorbant </w:t>
      </w:r>
      <w:r>
        <w:rPr>
          <w:rFonts w:ascii="Bookman Old Style" w:hAnsi="Bookman Old Style"/>
          <w:szCs w:val="28"/>
        </w:rPr>
        <w:lastRenderedPageBreak/>
        <w:t>jusqu’à 68 % des dépenses courantes (Banque, mondiale, 2001)</w:t>
      </w:r>
      <w:r w:rsidRPr="005114BF">
        <w:rPr>
          <w:rFonts w:ascii="Bookman Old Style" w:hAnsi="Bookman Old Style"/>
          <w:szCs w:val="28"/>
        </w:rPr>
        <w:t>. L’Etat est aussi devenu le premi</w:t>
      </w:r>
      <w:r>
        <w:rPr>
          <w:rFonts w:ascii="Bookman Old Style" w:hAnsi="Bookman Old Style"/>
          <w:szCs w:val="28"/>
        </w:rPr>
        <w:t xml:space="preserve">er créateur d’entreprises </w:t>
      </w:r>
      <w:r w:rsidRPr="005114BF">
        <w:rPr>
          <w:rFonts w:ascii="Bookman Old Style" w:hAnsi="Bookman Old Style"/>
          <w:szCs w:val="28"/>
        </w:rPr>
        <w:t xml:space="preserve">en détenant la quasi-totalité des entreprises produisant des biens et services pour pallier l’insuffisance du secteur </w:t>
      </w:r>
      <w:r>
        <w:rPr>
          <w:rFonts w:ascii="Bookman Old Style" w:hAnsi="Bookman Old Style"/>
          <w:szCs w:val="28"/>
        </w:rPr>
        <w:t>privé</w:t>
      </w:r>
      <w:r w:rsidRPr="005114BF">
        <w:rPr>
          <w:rFonts w:ascii="Bookman Old Style" w:hAnsi="Bookman Old Style"/>
          <w:szCs w:val="28"/>
        </w:rPr>
        <w:t>.</w:t>
      </w:r>
      <w:r>
        <w:rPr>
          <w:rFonts w:ascii="Bookman Old Style" w:hAnsi="Bookman Old Style"/>
          <w:szCs w:val="28"/>
        </w:rPr>
        <w:t xml:space="preserve"> </w:t>
      </w:r>
      <w:r w:rsidRPr="005114BF">
        <w:rPr>
          <w:rFonts w:ascii="Bookman Old Style" w:hAnsi="Bookman Old Style"/>
          <w:szCs w:val="28"/>
        </w:rPr>
        <w:t>Les investissements publics ont stimulé la croissance qui s’</w:t>
      </w:r>
      <w:r>
        <w:rPr>
          <w:rFonts w:ascii="Bookman Old Style" w:hAnsi="Bookman Old Style"/>
          <w:szCs w:val="28"/>
        </w:rPr>
        <w:t xml:space="preserve">est située autour de 4 % dans les années 1980. </w:t>
      </w:r>
      <w:r>
        <w:rPr>
          <w:rFonts w:ascii="Bookman Old Style" w:hAnsi="Bookman Old Style"/>
        </w:rPr>
        <w:t>De plus l’investissement public accorde une attention particulière à l’attractivité du territoire et à la consolidation de la position stratégique du pays en renforçant le système de transport et de télécommunications : plus  de 35 % des investissements publics sont consacrés aux secteurs de transport et des télécommunications. Ce qui a permis notamment :</w:t>
      </w:r>
    </w:p>
    <w:p w:rsidR="003F4A7A" w:rsidRDefault="003F4A7A" w:rsidP="00F51197">
      <w:pPr>
        <w:pStyle w:val="Paragraphedeliste"/>
        <w:spacing w:line="480" w:lineRule="auto"/>
        <w:jc w:val="both"/>
        <w:rPr>
          <w:rFonts w:ascii="Bookman Old Style" w:hAnsi="Bookman Old Style"/>
        </w:rPr>
      </w:pPr>
      <w:r>
        <w:rPr>
          <w:rFonts w:ascii="Bookman Old Style" w:hAnsi="Bookman Old Style"/>
        </w:rPr>
        <w:t xml:space="preserve">-  une modernisation </w:t>
      </w:r>
      <w:r w:rsidRPr="005948DD">
        <w:rPr>
          <w:rFonts w:ascii="Bookman Old Style" w:hAnsi="Bookman Old Style"/>
        </w:rPr>
        <w:t>des équipements portuaires avec la construction d’un terminal à conteneur en 1984 pour attirer le trafic de transbordement et pallier la baisse des activités de transit éthiopien</w:t>
      </w:r>
      <w:r>
        <w:rPr>
          <w:rFonts w:ascii="Bookman Old Style" w:hAnsi="Bookman Old Style"/>
        </w:rPr>
        <w:t>,</w:t>
      </w:r>
    </w:p>
    <w:p w:rsidR="003F4A7A" w:rsidRDefault="003F4A7A" w:rsidP="00F51197">
      <w:pPr>
        <w:pStyle w:val="Paragraphedeliste"/>
        <w:spacing w:line="480" w:lineRule="auto"/>
        <w:ind w:left="720"/>
        <w:jc w:val="both"/>
        <w:rPr>
          <w:rFonts w:ascii="Bookman Old Style" w:hAnsi="Bookman Old Style"/>
        </w:rPr>
      </w:pPr>
      <w:r>
        <w:rPr>
          <w:rFonts w:ascii="Bookman Old Style" w:hAnsi="Bookman Old Style"/>
        </w:rPr>
        <w:t>- une extension des infrastructures routières pour désenclaver le Nord du pays avec la construction de la route reliant Djibouti, la capitale et le district de Tadjourah,</w:t>
      </w:r>
    </w:p>
    <w:p w:rsidR="003F4A7A" w:rsidRDefault="003F4A7A" w:rsidP="00F51197">
      <w:pPr>
        <w:pStyle w:val="Paragraphedeliste"/>
        <w:spacing w:line="480" w:lineRule="auto"/>
        <w:ind w:left="720"/>
        <w:jc w:val="both"/>
        <w:rPr>
          <w:rFonts w:ascii="Bookman Old Style" w:hAnsi="Bookman Old Style"/>
        </w:rPr>
      </w:pPr>
      <w:r>
        <w:rPr>
          <w:rFonts w:ascii="Bookman Old Style" w:hAnsi="Bookman Old Style"/>
        </w:rPr>
        <w:t>- l’élargissement de la capacité d’accueil de l’Aéroport international de Djibouti.</w:t>
      </w:r>
    </w:p>
    <w:p w:rsidR="003F4A7A" w:rsidRDefault="003F4A7A" w:rsidP="00F51197">
      <w:pPr>
        <w:spacing w:line="480" w:lineRule="auto"/>
        <w:ind w:firstLine="706"/>
        <w:jc w:val="both"/>
        <w:rPr>
          <w:rFonts w:ascii="Bookman Old Style" w:hAnsi="Bookman Old Style"/>
        </w:rPr>
      </w:pPr>
      <w:r>
        <w:rPr>
          <w:rFonts w:ascii="Bookman Old Style" w:hAnsi="Bookman Old Style"/>
        </w:rPr>
        <w:t xml:space="preserve">La stratégie de développement de l’Etat visait aussi à amorcer une diversification de l’économie nationale en cherchant à accroitre les contributions des secteurs industriel et agricole (Gombor, 2011, p. 213). Plusieurs unités de production industrielle comme l’embouteillage de l’eau de Tadjourah, la laiterie d’Ambouli ont été réalisées pour remplacer progressivement les importations par des productions nationales. Dans le </w:t>
      </w:r>
      <w:r>
        <w:rPr>
          <w:rFonts w:ascii="Bookman Old Style" w:hAnsi="Bookman Old Style"/>
        </w:rPr>
        <w:lastRenderedPageBreak/>
        <w:t>secteur agricole, l’Etat a créé un grand projet d’exploitation à 20 km de la capitale pour produire du blé.</w:t>
      </w:r>
    </w:p>
    <w:p w:rsidR="003F4A7A" w:rsidRDefault="003F4A7A" w:rsidP="00F51197">
      <w:pPr>
        <w:spacing w:line="480" w:lineRule="auto"/>
        <w:ind w:firstLine="706"/>
        <w:jc w:val="both"/>
        <w:rPr>
          <w:rFonts w:ascii="Bookman Old Style" w:hAnsi="Bookman Old Style"/>
        </w:rPr>
      </w:pPr>
      <w:r>
        <w:rPr>
          <w:rFonts w:ascii="Bookman Old Style" w:hAnsi="Bookman Old Style"/>
        </w:rPr>
        <w:t xml:space="preserve"> Après l’indépendance, L’Etat s’était engagé également dans un vaste programme social (soin gratuit, subvention tout azimut de différentes professions, logements gratuits pour les fonctionnaires, etc.). </w:t>
      </w:r>
    </w:p>
    <w:p w:rsidR="003F4A7A" w:rsidRDefault="003F4A7A" w:rsidP="00F51197">
      <w:pPr>
        <w:spacing w:line="480" w:lineRule="auto"/>
        <w:jc w:val="both"/>
        <w:rPr>
          <w:rFonts w:ascii="Bookman Old Style" w:hAnsi="Bookman Old Style"/>
        </w:rPr>
      </w:pPr>
    </w:p>
    <w:p w:rsidR="00126BBD" w:rsidRDefault="003F4A7A" w:rsidP="00F51197">
      <w:pPr>
        <w:spacing w:line="480" w:lineRule="auto"/>
        <w:ind w:firstLine="706"/>
        <w:jc w:val="both"/>
        <w:rPr>
          <w:rFonts w:ascii="Bookman Old Style" w:hAnsi="Bookman Old Style"/>
          <w:lang w:val="fr-BE"/>
        </w:rPr>
      </w:pPr>
      <w:r w:rsidRPr="00C03CC1">
        <w:rPr>
          <w:rFonts w:ascii="Bookman Old Style" w:hAnsi="Bookman Old Style"/>
        </w:rPr>
        <w:t xml:space="preserve">Mais ce scénario n’était </w:t>
      </w:r>
      <w:r w:rsidRPr="00F93450">
        <w:rPr>
          <w:rFonts w:ascii="Bookman Old Style" w:hAnsi="Bookman Old Style"/>
        </w:rPr>
        <w:t>pas viable à long terme</w:t>
      </w:r>
      <w:r>
        <w:rPr>
          <w:rFonts w:ascii="Bookman Old Style" w:hAnsi="Bookman Old Style"/>
        </w:rPr>
        <w:t xml:space="preserve">. A </w:t>
      </w:r>
      <w:r w:rsidRPr="00F93450">
        <w:rPr>
          <w:rFonts w:ascii="Bookman Old Style" w:hAnsi="Bookman Old Style"/>
        </w:rPr>
        <w:t>partir de 1</w:t>
      </w:r>
      <w:r>
        <w:rPr>
          <w:rFonts w:ascii="Bookman Old Style" w:hAnsi="Bookman Old Style"/>
        </w:rPr>
        <w:t>991, l</w:t>
      </w:r>
      <w:r w:rsidRPr="00F93450">
        <w:rPr>
          <w:rFonts w:ascii="Bookman Old Style" w:hAnsi="Bookman Old Style"/>
        </w:rPr>
        <w:t>’économie</w:t>
      </w:r>
      <w:r>
        <w:rPr>
          <w:rFonts w:ascii="Bookman Old Style" w:hAnsi="Bookman Old Style"/>
        </w:rPr>
        <w:t xml:space="preserve"> a connu</w:t>
      </w:r>
      <w:r w:rsidRPr="00F93450">
        <w:rPr>
          <w:rFonts w:ascii="Bookman Old Style" w:hAnsi="Bookman Old Style"/>
        </w:rPr>
        <w:t xml:space="preserve"> une longue récession avec un taux de croissance négative</w:t>
      </w:r>
      <w:r>
        <w:rPr>
          <w:rFonts w:ascii="Bookman Old Style" w:hAnsi="Bookman Old Style"/>
        </w:rPr>
        <w:t>.</w:t>
      </w:r>
      <w:r w:rsidRPr="004F22C4">
        <w:rPr>
          <w:rFonts w:ascii="Bookman Old Style" w:hAnsi="Bookman Old Style"/>
        </w:rPr>
        <w:t xml:space="preserve"> </w:t>
      </w:r>
      <w:r>
        <w:rPr>
          <w:rFonts w:ascii="Bookman Old Style" w:hAnsi="Bookman Old Style"/>
          <w:lang w:val="fr-BE" w:eastAsia="ja-JP"/>
        </w:rPr>
        <w:t>Le</w:t>
      </w:r>
      <w:r w:rsidRPr="00D6136C">
        <w:rPr>
          <w:rFonts w:ascii="Bookman Old Style" w:hAnsi="Bookman Old Style"/>
          <w:lang w:val="fr-BE" w:eastAsia="ja-JP"/>
        </w:rPr>
        <w:t xml:space="preserve"> secteur public a connu d’importantes ré</w:t>
      </w:r>
      <w:r>
        <w:rPr>
          <w:rFonts w:ascii="Bookman Old Style" w:hAnsi="Bookman Old Style"/>
          <w:lang w:val="fr-BE" w:eastAsia="ja-JP"/>
        </w:rPr>
        <w:t xml:space="preserve">organisations, les politiques du nouveau management public résultent </w:t>
      </w:r>
      <w:r w:rsidRPr="00F93450">
        <w:rPr>
          <w:rFonts w:ascii="Bookman Old Style" w:hAnsi="Bookman Old Style"/>
          <w:bCs/>
          <w:szCs w:val="28"/>
        </w:rPr>
        <w:t xml:space="preserve">principalement </w:t>
      </w:r>
      <w:r>
        <w:rPr>
          <w:rFonts w:ascii="Bookman Old Style" w:hAnsi="Bookman Old Style"/>
          <w:bCs/>
          <w:szCs w:val="28"/>
        </w:rPr>
        <w:t>de deux contraintes</w:t>
      </w:r>
      <w:r w:rsidRPr="00F93450">
        <w:rPr>
          <w:rFonts w:ascii="Bookman Old Style" w:hAnsi="Bookman Old Style"/>
          <w:bCs/>
          <w:szCs w:val="28"/>
        </w:rPr>
        <w:t xml:space="preserve"> dont les effets </w:t>
      </w:r>
      <w:r>
        <w:rPr>
          <w:rFonts w:ascii="Bookman Old Style" w:hAnsi="Bookman Old Style"/>
          <w:bCs/>
          <w:szCs w:val="28"/>
        </w:rPr>
        <w:t xml:space="preserve">se cumulent. </w:t>
      </w:r>
      <w:r w:rsidRPr="00F93450">
        <w:rPr>
          <w:rFonts w:ascii="Bookman Old Style" w:hAnsi="Bookman Old Style"/>
          <w:bCs/>
          <w:szCs w:val="28"/>
        </w:rPr>
        <w:t xml:space="preserve">On assiste d’abord à une forte </w:t>
      </w:r>
      <w:r w:rsidRPr="00F93450">
        <w:rPr>
          <w:rFonts w:ascii="Bookman Old Style" w:hAnsi="Bookman Old Style"/>
          <w:lang w:val="fr-BE"/>
        </w:rPr>
        <w:t>pr</w:t>
      </w:r>
      <w:r>
        <w:rPr>
          <w:rFonts w:ascii="Bookman Old Style" w:hAnsi="Bookman Old Style"/>
          <w:lang w:val="fr-BE"/>
        </w:rPr>
        <w:t xml:space="preserve">ession budgétaire due </w:t>
      </w:r>
      <w:r w:rsidRPr="00F93450">
        <w:rPr>
          <w:rFonts w:ascii="Bookman Old Style" w:hAnsi="Bookman Old Style"/>
          <w:lang w:val="fr-BE"/>
        </w:rPr>
        <w:t xml:space="preserve">notamment </w:t>
      </w:r>
      <w:r>
        <w:rPr>
          <w:rFonts w:ascii="Bookman Old Style" w:hAnsi="Bookman Old Style"/>
          <w:lang w:val="fr-BE"/>
        </w:rPr>
        <w:t xml:space="preserve">à une crise économique et </w:t>
      </w:r>
      <w:r w:rsidRPr="00F93450">
        <w:rPr>
          <w:rFonts w:ascii="Bookman Old Style" w:hAnsi="Bookman Old Style"/>
          <w:lang w:val="fr-BE"/>
        </w:rPr>
        <w:t>au ralentissement des aides de bailleurs de fonds</w:t>
      </w:r>
      <w:r>
        <w:rPr>
          <w:rFonts w:ascii="Bookman Old Style" w:hAnsi="Bookman Old Style"/>
          <w:lang w:val="fr-BE"/>
        </w:rPr>
        <w:t xml:space="preserve"> obligeant le G</w:t>
      </w:r>
      <w:r w:rsidRPr="00F93450">
        <w:rPr>
          <w:rFonts w:ascii="Bookman Old Style" w:hAnsi="Bookman Old Style"/>
          <w:lang w:val="fr-BE"/>
        </w:rPr>
        <w:t>ouvernement à adopter des nouvelles pratiques visant à améliorer le rapport coût/bénéfice de l’argent investi dans le se</w:t>
      </w:r>
      <w:r>
        <w:rPr>
          <w:rFonts w:ascii="Bookman Old Style" w:hAnsi="Bookman Old Style"/>
          <w:lang w:val="fr-BE"/>
        </w:rPr>
        <w:t>cteur public. Le nouveau management résulte aussi d’une contrainte externe. C</w:t>
      </w:r>
      <w:r w:rsidRPr="00F93450">
        <w:rPr>
          <w:rFonts w:ascii="Bookman Old Style" w:hAnsi="Bookman Old Style"/>
          <w:lang w:val="fr-BE"/>
        </w:rPr>
        <w:t>omme beaucoup de pays en développement</w:t>
      </w:r>
      <w:r>
        <w:rPr>
          <w:rFonts w:ascii="Bookman Old Style" w:hAnsi="Bookman Old Style"/>
          <w:lang w:val="fr-BE"/>
        </w:rPr>
        <w:t xml:space="preserve"> souffrant des difficultés économiques, la stratégie de développement privilégiée par les institutions internationales est essentiellement axée sur le désengagement de l’Etat. </w:t>
      </w:r>
      <w:r w:rsidR="00126BBD">
        <w:rPr>
          <w:rFonts w:ascii="Bookman Old Style" w:hAnsi="Bookman Old Style"/>
          <w:lang w:val="fr-BE"/>
        </w:rPr>
        <w:t>La politique du nouveau management public visait</w:t>
      </w:r>
      <w:r w:rsidR="00126BBD" w:rsidRPr="00F93450">
        <w:rPr>
          <w:rFonts w:ascii="Bookman Old Style" w:hAnsi="Bookman Old Style"/>
          <w:lang w:val="fr-BE"/>
        </w:rPr>
        <w:t xml:space="preserve"> aussi à créer à  un cadre attractif pour le développement du secteur privé considéré comme le moteur d</w:t>
      </w:r>
      <w:r w:rsidR="00126BBD">
        <w:rPr>
          <w:rFonts w:ascii="Bookman Old Style" w:hAnsi="Bookman Old Style"/>
          <w:lang w:val="fr-BE"/>
        </w:rPr>
        <w:t>u développement économique mais très atone à Djibouti.</w:t>
      </w:r>
      <w:r w:rsidR="00126BBD" w:rsidRPr="00D34E27">
        <w:rPr>
          <w:rFonts w:ascii="Bookman Old Style" w:hAnsi="Bookman Old Style"/>
          <w:lang w:val="fr-BE"/>
        </w:rPr>
        <w:t xml:space="preserve"> </w:t>
      </w:r>
      <w:r w:rsidR="00126BBD">
        <w:rPr>
          <w:rFonts w:ascii="Bookman Old Style" w:hAnsi="Bookman Old Style"/>
          <w:lang w:val="fr-BE"/>
        </w:rPr>
        <w:t>Pour les bailleurs de fonds ce secteur ne pouvait se développer dans un contexte où l’Etat est omnipotent</w:t>
      </w:r>
      <w:r w:rsidR="00126BBD" w:rsidRPr="00FB0C1A">
        <w:rPr>
          <w:rFonts w:ascii="Bookman Old Style" w:hAnsi="Bookman Old Style"/>
          <w:lang w:val="fr-BE"/>
        </w:rPr>
        <w:t xml:space="preserve"> </w:t>
      </w:r>
      <w:r w:rsidR="00126BBD">
        <w:rPr>
          <w:rFonts w:ascii="Bookman Old Style" w:hAnsi="Bookman Old Style"/>
          <w:lang w:val="fr-BE"/>
        </w:rPr>
        <w:t>et omniprésent.</w:t>
      </w:r>
    </w:p>
    <w:p w:rsidR="00126BBD" w:rsidRPr="00493982" w:rsidRDefault="00126BBD" w:rsidP="00F51197">
      <w:pPr>
        <w:spacing w:line="480" w:lineRule="auto"/>
        <w:jc w:val="both"/>
      </w:pPr>
    </w:p>
    <w:p w:rsidR="009B0AFA" w:rsidRPr="003E60F7" w:rsidRDefault="009B0AFA" w:rsidP="00F51197">
      <w:pPr>
        <w:spacing w:line="480" w:lineRule="auto"/>
      </w:pPr>
    </w:p>
    <w:p w:rsidR="009B0AFA" w:rsidRDefault="009B0AFA" w:rsidP="00F51197">
      <w:pPr>
        <w:spacing w:line="480" w:lineRule="auto"/>
        <w:rPr>
          <w:lang w:val="fr-BE"/>
        </w:rPr>
      </w:pPr>
    </w:p>
    <w:p w:rsidR="009B0AFA" w:rsidRDefault="009B0AFA" w:rsidP="00F51197">
      <w:pPr>
        <w:spacing w:line="480" w:lineRule="auto"/>
        <w:rPr>
          <w:lang w:val="fr-BE"/>
        </w:rPr>
      </w:pPr>
    </w:p>
    <w:p w:rsidR="009B0AFA" w:rsidRPr="00DB6FBB" w:rsidRDefault="009B0AFA" w:rsidP="00F51197">
      <w:pPr>
        <w:pStyle w:val="Titre3"/>
        <w:spacing w:line="480" w:lineRule="auto"/>
        <w:jc w:val="center"/>
      </w:pPr>
      <w:r>
        <w:rPr>
          <w:lang w:val="fr-BE"/>
        </w:rPr>
        <w:tab/>
      </w:r>
      <w:bookmarkStart w:id="1" w:name="_Toc332800163"/>
      <w:bookmarkStart w:id="2" w:name="_Toc332800500"/>
      <w:bookmarkStart w:id="3" w:name="_Toc332807882"/>
      <w:bookmarkStart w:id="4" w:name="_Toc332809276"/>
      <w:bookmarkStart w:id="5" w:name="_Toc332809709"/>
      <w:bookmarkStart w:id="6" w:name="_Toc332810957"/>
      <w:bookmarkStart w:id="7" w:name="_Toc332811490"/>
      <w:bookmarkStart w:id="8" w:name="_Toc332865834"/>
      <w:bookmarkStart w:id="9" w:name="_Toc332866210"/>
      <w:bookmarkStart w:id="10" w:name="_Toc332867323"/>
      <w:bookmarkStart w:id="11" w:name="_Toc332875069"/>
      <w:bookmarkStart w:id="12" w:name="_Toc332875417"/>
      <w:bookmarkStart w:id="13" w:name="_Toc332886805"/>
      <w:bookmarkStart w:id="14" w:name="_Toc332887088"/>
      <w:bookmarkStart w:id="15" w:name="_Toc332887349"/>
      <w:bookmarkStart w:id="16" w:name="_Toc332889265"/>
      <w:bookmarkStart w:id="17" w:name="_Toc332890733"/>
      <w:bookmarkStart w:id="18" w:name="_Toc333318901"/>
      <w:bookmarkStart w:id="19" w:name="_Toc337249772"/>
      <w:r>
        <w:t>1.1</w:t>
      </w:r>
      <w:r w:rsidRPr="00DB6FBB">
        <w:t xml:space="preserve"> Une contrainte budgétaire due à une crise économique aiguë et à </w:t>
      </w:r>
      <w:r>
        <w:t xml:space="preserve">une assistance extérieure en </w:t>
      </w:r>
      <w:r w:rsidRPr="00DB6FBB">
        <w:t>baisse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B0AFA" w:rsidRPr="005114BF" w:rsidRDefault="009B0AFA" w:rsidP="00F51197">
      <w:pPr>
        <w:spacing w:line="480" w:lineRule="auto"/>
        <w:jc w:val="center"/>
        <w:rPr>
          <w:rFonts w:ascii="Bookman Old Style" w:hAnsi="Bookman Old Style"/>
        </w:rPr>
      </w:pPr>
    </w:p>
    <w:p w:rsidR="009B0AFA" w:rsidRDefault="009B0AFA" w:rsidP="00F51197">
      <w:pPr>
        <w:spacing w:line="480" w:lineRule="auto"/>
        <w:ind w:firstLine="706"/>
        <w:jc w:val="both"/>
        <w:rPr>
          <w:rFonts w:ascii="Bookman Old Style" w:hAnsi="Bookman Old Style"/>
        </w:rPr>
      </w:pPr>
      <w:r w:rsidRPr="00BD55E8">
        <w:rPr>
          <w:rFonts w:ascii="Bookman Old Style" w:hAnsi="Bookman Old Style"/>
        </w:rPr>
        <w:t>Au début des années 1990, Djibouti a con</w:t>
      </w:r>
      <w:r>
        <w:rPr>
          <w:rFonts w:ascii="Bookman Old Style" w:hAnsi="Bookman Old Style"/>
        </w:rPr>
        <w:t xml:space="preserve">nu une crise économique aiguë qui se </w:t>
      </w:r>
      <w:r w:rsidRPr="00BD55E8">
        <w:rPr>
          <w:rFonts w:ascii="Bookman Old Style" w:hAnsi="Bookman Old Style"/>
        </w:rPr>
        <w:t xml:space="preserve">caractérise </w:t>
      </w:r>
      <w:r>
        <w:rPr>
          <w:rFonts w:ascii="Bookman Old Style" w:hAnsi="Bookman Old Style"/>
        </w:rPr>
        <w:t xml:space="preserve">notamment </w:t>
      </w:r>
      <w:r w:rsidRPr="00BD55E8">
        <w:rPr>
          <w:rFonts w:ascii="Bookman Old Style" w:hAnsi="Bookman Old Style"/>
        </w:rPr>
        <w:t>par des déséquilibres macroéconomiques importants : déficit de la balance des paiements, déficit budgétaire</w:t>
      </w:r>
      <w:r>
        <w:rPr>
          <w:rFonts w:ascii="Bookman Old Style" w:hAnsi="Bookman Old Style"/>
        </w:rPr>
        <w:t>,</w:t>
      </w:r>
      <w:r w:rsidRPr="00BD55E8">
        <w:rPr>
          <w:rFonts w:ascii="Bookman Old Style" w:hAnsi="Bookman Old Style"/>
        </w:rPr>
        <w:t xml:space="preserve"> accumulation d</w:t>
      </w:r>
      <w:r>
        <w:rPr>
          <w:rFonts w:ascii="Bookman Old Style" w:hAnsi="Bookman Old Style"/>
        </w:rPr>
        <w:t xml:space="preserve">’arriérés internes et externes, </w:t>
      </w:r>
      <w:r w:rsidRPr="00BD55E8">
        <w:rPr>
          <w:rFonts w:ascii="Bookman Old Style" w:hAnsi="Bookman Old Style"/>
        </w:rPr>
        <w:t>taux de croissance négatif</w:t>
      </w:r>
      <w:r>
        <w:rPr>
          <w:rFonts w:ascii="Bookman Old Style" w:hAnsi="Bookman Old Style"/>
        </w:rPr>
        <w:t xml:space="preserve">, etc. </w:t>
      </w:r>
      <w:r w:rsidRPr="00BD55E8">
        <w:rPr>
          <w:rFonts w:ascii="Bookman Old Style" w:hAnsi="Bookman Old Style"/>
        </w:rPr>
        <w:t>De 1992 à 1996, la  croissance es</w:t>
      </w:r>
      <w:r>
        <w:rPr>
          <w:rFonts w:ascii="Bookman Old Style" w:hAnsi="Bookman Old Style"/>
        </w:rPr>
        <w:t xml:space="preserve">t ainsi devenue négative  (- 3,6 </w:t>
      </w:r>
      <w:r w:rsidRPr="00BD55E8">
        <w:rPr>
          <w:rFonts w:ascii="Bookman Old Style" w:hAnsi="Bookman Old Style"/>
        </w:rPr>
        <w:t xml:space="preserve"> % e</w:t>
      </w:r>
      <w:r>
        <w:rPr>
          <w:rFonts w:ascii="Bookman Old Style" w:hAnsi="Bookman Old Style"/>
        </w:rPr>
        <w:t xml:space="preserve">n 1995), </w:t>
      </w:r>
      <w:r w:rsidRPr="00BD55E8">
        <w:rPr>
          <w:rFonts w:ascii="Bookman Old Style" w:hAnsi="Bookman Old Style"/>
        </w:rPr>
        <w:t>le déficit budgétaire a atteint en 1994 un niveau record d’environ 7 milliard</w:t>
      </w:r>
      <w:r>
        <w:rPr>
          <w:rFonts w:ascii="Bookman Old Style" w:hAnsi="Bookman Old Style"/>
        </w:rPr>
        <w:t>s</w:t>
      </w:r>
      <w:r w:rsidRPr="00BD55E8">
        <w:rPr>
          <w:rFonts w:ascii="Bookman Old Style" w:hAnsi="Bookman Old Style"/>
        </w:rPr>
        <w:t xml:space="preserve"> de francs Djibouti, soit 9 % du PIB. Par ailleurs, les factures impayées de l’Etat aux établissements publics (eau, électricité, téléphone….) s’accumulent et le déficit de la balance courante rep</w:t>
      </w:r>
      <w:r>
        <w:rPr>
          <w:rFonts w:ascii="Bookman Old Style" w:hAnsi="Bookman Old Style"/>
        </w:rPr>
        <w:t>résentait</w:t>
      </w:r>
      <w:r w:rsidRPr="00BD55E8">
        <w:rPr>
          <w:rFonts w:ascii="Bookman Old Style" w:hAnsi="Bookman Old Style"/>
        </w:rPr>
        <w:t xml:space="preserve">  27 %  du PIB</w:t>
      </w:r>
      <w:r>
        <w:rPr>
          <w:rFonts w:ascii="Bookman Old Style" w:hAnsi="Bookman Old Style"/>
        </w:rPr>
        <w:t xml:space="preserve"> en 1994</w:t>
      </w:r>
      <w:r w:rsidRPr="00BD55E8">
        <w:rPr>
          <w:rFonts w:ascii="Bookman Old Style" w:hAnsi="Bookman Old Style"/>
        </w:rPr>
        <w:t>. Les quelques indicateurs prése</w:t>
      </w:r>
      <w:r>
        <w:rPr>
          <w:rFonts w:ascii="Bookman Old Style" w:hAnsi="Bookman Old Style"/>
        </w:rPr>
        <w:t>ntés dans c</w:t>
      </w:r>
      <w:r w:rsidRPr="00BD55E8">
        <w:rPr>
          <w:rFonts w:ascii="Bookman Old Style" w:hAnsi="Bookman Old Style"/>
        </w:rPr>
        <w:t>e tableau rendent compte la</w:t>
      </w:r>
      <w:r>
        <w:rPr>
          <w:rFonts w:ascii="Bookman Old Style" w:hAnsi="Bookman Old Style"/>
        </w:rPr>
        <w:t xml:space="preserve"> situation économique difficile</w:t>
      </w:r>
      <w:r w:rsidRPr="00BD55E8">
        <w:rPr>
          <w:rFonts w:ascii="Bookman Old Style" w:hAnsi="Bookman Old Style"/>
        </w:rPr>
        <w:t xml:space="preserve"> de Djibouti durant </w:t>
      </w:r>
      <w:r>
        <w:rPr>
          <w:rFonts w:ascii="Bookman Old Style" w:hAnsi="Bookman Old Style"/>
        </w:rPr>
        <w:t>les années 1990</w:t>
      </w:r>
      <w:r w:rsidRPr="00BD55E8">
        <w:rPr>
          <w:rFonts w:ascii="Bookman Old Style" w:hAnsi="Bookman Old Style"/>
        </w:rPr>
        <w:t>.</w:t>
      </w:r>
      <w:r w:rsidRPr="00F94BF5">
        <w:rPr>
          <w:rFonts w:ascii="Bookman Old Style" w:hAnsi="Bookman Old Style"/>
        </w:rPr>
        <w:t xml:space="preserve"> </w:t>
      </w:r>
    </w:p>
    <w:p w:rsidR="009B0AFA" w:rsidRPr="004C13C4" w:rsidRDefault="009B0AFA" w:rsidP="00F51197">
      <w:pPr>
        <w:spacing w:line="480" w:lineRule="auto"/>
        <w:jc w:val="both"/>
        <w:rPr>
          <w:rFonts w:ascii="Bookman Old Style" w:hAnsi="Bookman Old Style"/>
        </w:rPr>
      </w:pPr>
    </w:p>
    <w:p w:rsidR="009B0AFA" w:rsidRPr="006C3DA8" w:rsidRDefault="009B0AFA" w:rsidP="00F51197">
      <w:pPr>
        <w:pStyle w:val="Lgende"/>
        <w:keepNext/>
        <w:spacing w:line="480" w:lineRule="auto"/>
        <w:jc w:val="center"/>
        <w:rPr>
          <w:rFonts w:ascii="Bookman Old Style" w:hAnsi="Bookman Old Style"/>
        </w:rPr>
      </w:pPr>
      <w:bookmarkStart w:id="20" w:name="_Toc337258659"/>
      <w:r w:rsidRPr="006C3DA8">
        <w:rPr>
          <w:rFonts w:ascii="Bookman Old Style" w:hAnsi="Bookman Old Style"/>
        </w:rPr>
        <w:t xml:space="preserve">Tableau </w:t>
      </w:r>
      <w:r>
        <w:rPr>
          <w:rFonts w:ascii="Bookman Old Style" w:hAnsi="Bookman Old Style"/>
        </w:rPr>
        <w:t>2</w:t>
      </w:r>
      <w:r w:rsidRPr="006C3DA8">
        <w:rPr>
          <w:rFonts w:ascii="Bookman Old Style" w:hAnsi="Bookman Old Style"/>
        </w:rPr>
        <w:t> : Quelques  indicateurs économiques  du pays de 1994 -1999</w:t>
      </w:r>
      <w:bookmarkEnd w:id="20"/>
    </w:p>
    <w:tbl>
      <w:tblPr>
        <w:tblpPr w:leftFromText="141" w:rightFromText="141" w:vertAnchor="text" w:horzAnchor="margin" w:tblpXSpec="center" w:tblpY="14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2"/>
        <w:gridCol w:w="900"/>
        <w:gridCol w:w="990"/>
        <w:gridCol w:w="1170"/>
        <w:gridCol w:w="990"/>
        <w:gridCol w:w="1170"/>
        <w:gridCol w:w="2016"/>
      </w:tblGrid>
      <w:tr w:rsidR="009B0AFA" w:rsidRPr="004C13C4" w:rsidTr="00196209">
        <w:tc>
          <w:tcPr>
            <w:tcW w:w="2682" w:type="dxa"/>
            <w:shd w:val="pct12" w:color="auto" w:fill="DAEEF3"/>
          </w:tcPr>
          <w:p w:rsidR="009B0AFA" w:rsidRPr="004C13C4" w:rsidRDefault="009B0AFA" w:rsidP="00F51197">
            <w:pPr>
              <w:spacing w:line="480" w:lineRule="auto"/>
              <w:jc w:val="center"/>
              <w:rPr>
                <w:rFonts w:ascii="Bookman Old Style" w:hAnsi="Bookman Old Style"/>
              </w:rPr>
            </w:pPr>
          </w:p>
          <w:p w:rsidR="009B0AFA" w:rsidRPr="004C13C4" w:rsidRDefault="009B0AFA" w:rsidP="00F51197">
            <w:pPr>
              <w:spacing w:line="480" w:lineRule="auto"/>
              <w:jc w:val="center"/>
              <w:rPr>
                <w:rFonts w:ascii="Bookman Old Style" w:hAnsi="Bookman Old Style"/>
              </w:rPr>
            </w:pPr>
          </w:p>
        </w:tc>
        <w:tc>
          <w:tcPr>
            <w:tcW w:w="900" w:type="dxa"/>
            <w:shd w:val="pct12" w:color="auto" w:fill="DAEEF3"/>
          </w:tcPr>
          <w:p w:rsidR="009B0AFA" w:rsidRPr="004C13C4" w:rsidRDefault="009B0AFA" w:rsidP="00F51197">
            <w:pPr>
              <w:spacing w:line="480" w:lineRule="auto"/>
              <w:jc w:val="center"/>
              <w:rPr>
                <w:rFonts w:ascii="Bookman Old Style" w:hAnsi="Bookman Old Style"/>
              </w:rPr>
            </w:pPr>
            <w:r w:rsidRPr="004C13C4">
              <w:rPr>
                <w:rFonts w:ascii="Bookman Old Style" w:hAnsi="Bookman Old Style"/>
                <w:sz w:val="22"/>
                <w:szCs w:val="22"/>
              </w:rPr>
              <w:t>1994</w:t>
            </w:r>
          </w:p>
        </w:tc>
        <w:tc>
          <w:tcPr>
            <w:tcW w:w="990" w:type="dxa"/>
            <w:shd w:val="pct12" w:color="auto" w:fill="DAEEF3"/>
          </w:tcPr>
          <w:p w:rsidR="009B0AFA" w:rsidRPr="004C13C4" w:rsidRDefault="009B0AFA" w:rsidP="00F51197">
            <w:pPr>
              <w:spacing w:line="480" w:lineRule="auto"/>
              <w:jc w:val="center"/>
              <w:rPr>
                <w:rFonts w:ascii="Bookman Old Style" w:hAnsi="Bookman Old Style"/>
              </w:rPr>
            </w:pPr>
            <w:r w:rsidRPr="004C13C4">
              <w:rPr>
                <w:rFonts w:ascii="Bookman Old Style" w:hAnsi="Bookman Old Style"/>
                <w:sz w:val="22"/>
                <w:szCs w:val="22"/>
              </w:rPr>
              <w:t>1995</w:t>
            </w:r>
          </w:p>
        </w:tc>
        <w:tc>
          <w:tcPr>
            <w:tcW w:w="1170" w:type="dxa"/>
            <w:shd w:val="pct12" w:color="auto" w:fill="DAEEF3"/>
          </w:tcPr>
          <w:p w:rsidR="009B0AFA" w:rsidRPr="004C13C4" w:rsidRDefault="009B0AFA" w:rsidP="00F51197">
            <w:pPr>
              <w:spacing w:line="480" w:lineRule="auto"/>
              <w:jc w:val="center"/>
              <w:rPr>
                <w:rFonts w:ascii="Bookman Old Style" w:hAnsi="Bookman Old Style"/>
              </w:rPr>
            </w:pPr>
            <w:r w:rsidRPr="004C13C4">
              <w:rPr>
                <w:rFonts w:ascii="Bookman Old Style" w:hAnsi="Bookman Old Style"/>
                <w:sz w:val="22"/>
                <w:szCs w:val="22"/>
              </w:rPr>
              <w:t>1996</w:t>
            </w:r>
          </w:p>
        </w:tc>
        <w:tc>
          <w:tcPr>
            <w:tcW w:w="990" w:type="dxa"/>
            <w:shd w:val="pct12" w:color="auto" w:fill="DAEEF3"/>
          </w:tcPr>
          <w:p w:rsidR="009B0AFA" w:rsidRPr="004C13C4" w:rsidRDefault="009B0AFA" w:rsidP="00F51197">
            <w:pPr>
              <w:spacing w:line="480" w:lineRule="auto"/>
              <w:jc w:val="center"/>
              <w:rPr>
                <w:rFonts w:ascii="Bookman Old Style" w:hAnsi="Bookman Old Style"/>
              </w:rPr>
            </w:pPr>
            <w:r w:rsidRPr="004C13C4">
              <w:rPr>
                <w:rFonts w:ascii="Bookman Old Style" w:hAnsi="Bookman Old Style"/>
                <w:sz w:val="22"/>
                <w:szCs w:val="22"/>
              </w:rPr>
              <w:t>1997</w:t>
            </w:r>
          </w:p>
        </w:tc>
        <w:tc>
          <w:tcPr>
            <w:tcW w:w="1170" w:type="dxa"/>
            <w:shd w:val="pct12" w:color="auto" w:fill="DAEEF3"/>
          </w:tcPr>
          <w:p w:rsidR="009B0AFA" w:rsidRPr="004C13C4" w:rsidRDefault="009B0AFA" w:rsidP="00F51197">
            <w:pPr>
              <w:spacing w:line="480" w:lineRule="auto"/>
              <w:jc w:val="center"/>
              <w:rPr>
                <w:rFonts w:ascii="Bookman Old Style" w:hAnsi="Bookman Old Style"/>
              </w:rPr>
            </w:pPr>
            <w:r w:rsidRPr="004C13C4">
              <w:rPr>
                <w:rFonts w:ascii="Bookman Old Style" w:hAnsi="Bookman Old Style"/>
                <w:sz w:val="22"/>
                <w:szCs w:val="22"/>
              </w:rPr>
              <w:t>1998</w:t>
            </w:r>
          </w:p>
        </w:tc>
        <w:tc>
          <w:tcPr>
            <w:tcW w:w="2016" w:type="dxa"/>
            <w:shd w:val="pct12" w:color="auto" w:fill="DAEEF3"/>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1999</w:t>
            </w:r>
          </w:p>
        </w:tc>
      </w:tr>
      <w:tr w:rsidR="009B0AFA" w:rsidRPr="004C13C4" w:rsidTr="00196209">
        <w:tc>
          <w:tcPr>
            <w:tcW w:w="2682" w:type="dxa"/>
          </w:tcPr>
          <w:p w:rsidR="009B0AFA" w:rsidRPr="004C13C4" w:rsidRDefault="009B0AFA" w:rsidP="00F51197">
            <w:pPr>
              <w:spacing w:line="480" w:lineRule="auto"/>
              <w:jc w:val="both"/>
              <w:rPr>
                <w:rFonts w:ascii="Bookman Old Style" w:hAnsi="Bookman Old Style"/>
              </w:rPr>
            </w:pPr>
            <w:r w:rsidRPr="004C13C4">
              <w:rPr>
                <w:rFonts w:ascii="Bookman Old Style" w:hAnsi="Bookman Old Style"/>
                <w:sz w:val="22"/>
                <w:szCs w:val="22"/>
              </w:rPr>
              <w:t>Taux de croissance du PIB (%)</w:t>
            </w:r>
          </w:p>
        </w:tc>
        <w:tc>
          <w:tcPr>
            <w:tcW w:w="900" w:type="dxa"/>
          </w:tcPr>
          <w:p w:rsidR="009B0AFA" w:rsidRPr="004C13C4" w:rsidRDefault="009B0AFA" w:rsidP="00F51197">
            <w:pPr>
              <w:spacing w:line="480" w:lineRule="auto"/>
              <w:jc w:val="both"/>
              <w:rPr>
                <w:rFonts w:ascii="Bookman Old Style" w:hAnsi="Bookman Old Style"/>
              </w:rPr>
            </w:pPr>
            <w:r w:rsidRPr="004C13C4">
              <w:rPr>
                <w:rFonts w:ascii="Bookman Old Style" w:hAnsi="Bookman Old Style"/>
                <w:sz w:val="22"/>
                <w:szCs w:val="22"/>
              </w:rPr>
              <w:t>- 4,5</w:t>
            </w:r>
          </w:p>
        </w:tc>
        <w:tc>
          <w:tcPr>
            <w:tcW w:w="990" w:type="dxa"/>
          </w:tcPr>
          <w:p w:rsidR="009B0AFA" w:rsidRPr="004C13C4" w:rsidRDefault="009B0AFA" w:rsidP="00F51197">
            <w:pPr>
              <w:spacing w:line="480" w:lineRule="auto"/>
              <w:jc w:val="both"/>
              <w:rPr>
                <w:rFonts w:ascii="Bookman Old Style" w:hAnsi="Bookman Old Style"/>
              </w:rPr>
            </w:pPr>
            <w:r w:rsidRPr="004C13C4">
              <w:rPr>
                <w:rFonts w:ascii="Bookman Old Style" w:hAnsi="Bookman Old Style"/>
                <w:sz w:val="22"/>
                <w:szCs w:val="22"/>
              </w:rPr>
              <w:t>-3,6</w:t>
            </w:r>
          </w:p>
          <w:p w:rsidR="009B0AFA" w:rsidRPr="004C13C4" w:rsidRDefault="009B0AFA" w:rsidP="00F51197">
            <w:pPr>
              <w:spacing w:line="480" w:lineRule="auto"/>
              <w:jc w:val="both"/>
              <w:rPr>
                <w:rFonts w:ascii="Bookman Old Style" w:hAnsi="Bookman Old Style"/>
              </w:rPr>
            </w:pPr>
          </w:p>
        </w:tc>
        <w:tc>
          <w:tcPr>
            <w:tcW w:w="1170" w:type="dxa"/>
          </w:tcPr>
          <w:p w:rsidR="009B0AFA" w:rsidRPr="004C13C4" w:rsidRDefault="009B0AFA" w:rsidP="00F51197">
            <w:pPr>
              <w:spacing w:line="480" w:lineRule="auto"/>
              <w:jc w:val="both"/>
              <w:rPr>
                <w:rFonts w:ascii="Bookman Old Style" w:hAnsi="Bookman Old Style"/>
              </w:rPr>
            </w:pPr>
            <w:r w:rsidRPr="004C13C4">
              <w:rPr>
                <w:rFonts w:ascii="Bookman Old Style" w:hAnsi="Bookman Old Style"/>
                <w:sz w:val="22"/>
                <w:szCs w:val="22"/>
              </w:rPr>
              <w:t>-1,5</w:t>
            </w:r>
          </w:p>
        </w:tc>
        <w:tc>
          <w:tcPr>
            <w:tcW w:w="990" w:type="dxa"/>
          </w:tcPr>
          <w:p w:rsidR="009B0AFA" w:rsidRPr="004C13C4" w:rsidRDefault="009B0AFA" w:rsidP="00F51197">
            <w:pPr>
              <w:spacing w:line="480" w:lineRule="auto"/>
              <w:jc w:val="both"/>
              <w:rPr>
                <w:rFonts w:ascii="Bookman Old Style" w:hAnsi="Bookman Old Style"/>
              </w:rPr>
            </w:pPr>
            <w:r w:rsidRPr="004C13C4">
              <w:rPr>
                <w:rFonts w:ascii="Bookman Old Style" w:hAnsi="Bookman Old Style"/>
                <w:sz w:val="22"/>
                <w:szCs w:val="22"/>
              </w:rPr>
              <w:t>0,0</w:t>
            </w:r>
          </w:p>
        </w:tc>
        <w:tc>
          <w:tcPr>
            <w:tcW w:w="1170" w:type="dxa"/>
          </w:tcPr>
          <w:p w:rsidR="009B0AFA" w:rsidRPr="004C13C4" w:rsidRDefault="009B0AFA" w:rsidP="00F51197">
            <w:pPr>
              <w:spacing w:line="480" w:lineRule="auto"/>
              <w:jc w:val="both"/>
              <w:rPr>
                <w:rFonts w:ascii="Bookman Old Style" w:hAnsi="Bookman Old Style"/>
              </w:rPr>
            </w:pPr>
            <w:r w:rsidRPr="004C13C4">
              <w:rPr>
                <w:rFonts w:ascii="Bookman Old Style" w:hAnsi="Bookman Old Style"/>
                <w:sz w:val="22"/>
                <w:szCs w:val="22"/>
              </w:rPr>
              <w:t>1,7</w:t>
            </w:r>
          </w:p>
        </w:tc>
        <w:tc>
          <w:tcPr>
            <w:tcW w:w="2016" w:type="dxa"/>
          </w:tcPr>
          <w:p w:rsidR="009B0AFA" w:rsidRPr="004C13C4" w:rsidRDefault="009B0AFA" w:rsidP="00F51197">
            <w:pPr>
              <w:spacing w:line="480" w:lineRule="auto"/>
              <w:jc w:val="both"/>
              <w:rPr>
                <w:rFonts w:ascii="Bookman Old Style" w:hAnsi="Bookman Old Style"/>
              </w:rPr>
            </w:pPr>
            <w:r w:rsidRPr="004C13C4">
              <w:rPr>
                <w:rFonts w:ascii="Bookman Old Style" w:hAnsi="Bookman Old Style"/>
                <w:sz w:val="22"/>
                <w:szCs w:val="22"/>
              </w:rPr>
              <w:t>1,4</w:t>
            </w:r>
          </w:p>
          <w:p w:rsidR="009B0AFA" w:rsidRPr="004C13C4" w:rsidRDefault="009B0AFA" w:rsidP="00F51197">
            <w:pPr>
              <w:spacing w:line="480" w:lineRule="auto"/>
              <w:jc w:val="both"/>
              <w:rPr>
                <w:rFonts w:ascii="Bookman Old Style" w:hAnsi="Bookman Old Style"/>
              </w:rPr>
            </w:pPr>
          </w:p>
          <w:p w:rsidR="009B0AFA" w:rsidRPr="004C13C4" w:rsidRDefault="009B0AFA" w:rsidP="00F51197">
            <w:pPr>
              <w:spacing w:line="480" w:lineRule="auto"/>
              <w:jc w:val="both"/>
              <w:rPr>
                <w:rFonts w:ascii="Bookman Old Style" w:hAnsi="Bookman Old Style"/>
              </w:rPr>
            </w:pPr>
          </w:p>
        </w:tc>
      </w:tr>
      <w:tr w:rsidR="009B0AFA" w:rsidRPr="004C13C4" w:rsidTr="00196209">
        <w:tc>
          <w:tcPr>
            <w:tcW w:w="2682"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lastRenderedPageBreak/>
              <w:t>Inflation en % du PIB</w:t>
            </w:r>
          </w:p>
        </w:tc>
        <w:tc>
          <w:tcPr>
            <w:tcW w:w="90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2,5</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2,2</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2</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2,4</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1,8</w:t>
            </w:r>
          </w:p>
        </w:tc>
        <w:tc>
          <w:tcPr>
            <w:tcW w:w="2016"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3,2</w:t>
            </w:r>
          </w:p>
          <w:p w:rsidR="009B0AFA" w:rsidRPr="004C13C4" w:rsidRDefault="009B0AFA" w:rsidP="00F51197">
            <w:pPr>
              <w:spacing w:line="480" w:lineRule="auto"/>
              <w:rPr>
                <w:rFonts w:ascii="Bookman Old Style" w:hAnsi="Bookman Old Style"/>
              </w:rPr>
            </w:pPr>
          </w:p>
        </w:tc>
      </w:tr>
      <w:tr w:rsidR="009B0AFA" w:rsidRPr="004C13C4" w:rsidTr="00196209">
        <w:tc>
          <w:tcPr>
            <w:tcW w:w="2682"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Solde budgétaire global en % du PIB</w:t>
            </w:r>
          </w:p>
          <w:p w:rsidR="009B0AFA" w:rsidRPr="004C13C4" w:rsidRDefault="009B0AFA" w:rsidP="00F51197">
            <w:pPr>
              <w:spacing w:line="480" w:lineRule="auto"/>
              <w:rPr>
                <w:rFonts w:ascii="Bookman Old Style" w:hAnsi="Bookman Old Style"/>
              </w:rPr>
            </w:pPr>
          </w:p>
        </w:tc>
        <w:tc>
          <w:tcPr>
            <w:tcW w:w="90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- 9</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- 8,10</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- 3,90</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- 4,30</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0,90</w:t>
            </w:r>
          </w:p>
        </w:tc>
        <w:tc>
          <w:tcPr>
            <w:tcW w:w="2016"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- 2,10</w:t>
            </w:r>
          </w:p>
        </w:tc>
      </w:tr>
      <w:tr w:rsidR="009B0AFA" w:rsidRPr="004C13C4" w:rsidTr="00196209">
        <w:tc>
          <w:tcPr>
            <w:tcW w:w="2682"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Dépenses d’investissement en % du PIB</w:t>
            </w:r>
          </w:p>
          <w:p w:rsidR="009B0AFA" w:rsidRPr="004C13C4" w:rsidRDefault="009B0AFA" w:rsidP="00F51197">
            <w:pPr>
              <w:spacing w:line="480" w:lineRule="auto"/>
              <w:rPr>
                <w:rFonts w:ascii="Bookman Old Style" w:hAnsi="Bookman Old Style"/>
              </w:rPr>
            </w:pPr>
          </w:p>
        </w:tc>
        <w:tc>
          <w:tcPr>
            <w:tcW w:w="90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3,2</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3,7</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3,9</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4,3</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6,7</w:t>
            </w:r>
          </w:p>
        </w:tc>
        <w:tc>
          <w:tcPr>
            <w:tcW w:w="2016"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3,1</w:t>
            </w:r>
          </w:p>
        </w:tc>
      </w:tr>
      <w:tr w:rsidR="009B0AFA" w:rsidRPr="004C13C4" w:rsidTr="00196209">
        <w:tc>
          <w:tcPr>
            <w:tcW w:w="2682"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xml:space="preserve"> Solde compte courant en millions de dollars EU</w:t>
            </w:r>
          </w:p>
          <w:p w:rsidR="009B0AFA" w:rsidRPr="004C13C4" w:rsidRDefault="009B0AFA" w:rsidP="00F51197">
            <w:pPr>
              <w:spacing w:line="480" w:lineRule="auto"/>
              <w:rPr>
                <w:rFonts w:ascii="Bookman Old Style" w:hAnsi="Bookman Old Style"/>
              </w:rPr>
            </w:pPr>
          </w:p>
        </w:tc>
        <w:tc>
          <w:tcPr>
            <w:tcW w:w="90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- 27</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-17,00</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- 16,20</w:t>
            </w:r>
          </w:p>
        </w:tc>
        <w:tc>
          <w:tcPr>
            <w:tcW w:w="990" w:type="dxa"/>
          </w:tcPr>
          <w:p w:rsidR="009B0AFA" w:rsidRPr="004C13C4" w:rsidRDefault="009B0AFA" w:rsidP="00F51197">
            <w:pPr>
              <w:spacing w:line="480" w:lineRule="auto"/>
              <w:rPr>
                <w:rFonts w:ascii="Bookman Old Style" w:hAnsi="Bookman Old Style"/>
              </w:rPr>
            </w:pPr>
            <w:r>
              <w:rPr>
                <w:rFonts w:ascii="Bookman Old Style" w:hAnsi="Bookman Old Style"/>
                <w:sz w:val="22"/>
                <w:szCs w:val="22"/>
              </w:rPr>
              <w:t>-</w:t>
            </w:r>
            <w:r w:rsidRPr="004C13C4">
              <w:rPr>
                <w:rFonts w:ascii="Bookman Old Style" w:hAnsi="Bookman Old Style"/>
                <w:sz w:val="22"/>
                <w:szCs w:val="22"/>
              </w:rPr>
              <w:t>11,50</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- 3,20</w:t>
            </w:r>
          </w:p>
        </w:tc>
        <w:tc>
          <w:tcPr>
            <w:tcW w:w="2016"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- 18,50</w:t>
            </w:r>
          </w:p>
        </w:tc>
      </w:tr>
      <w:tr w:rsidR="009B0AFA" w:rsidRPr="004C13C4" w:rsidTr="00196209">
        <w:tc>
          <w:tcPr>
            <w:tcW w:w="2682"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Dette extérieure officielle en % du PIB</w:t>
            </w:r>
          </w:p>
          <w:p w:rsidR="009B0AFA" w:rsidRPr="004C13C4" w:rsidRDefault="009B0AFA" w:rsidP="00F51197">
            <w:pPr>
              <w:spacing w:line="480" w:lineRule="auto"/>
              <w:rPr>
                <w:rFonts w:ascii="Bookman Old Style" w:hAnsi="Bookman Old Style"/>
              </w:rPr>
            </w:pPr>
          </w:p>
        </w:tc>
        <w:tc>
          <w:tcPr>
            <w:tcW w:w="90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56</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57,4</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59,5</w:t>
            </w:r>
          </w:p>
        </w:tc>
        <w:tc>
          <w:tcPr>
            <w:tcW w:w="99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54,2</w:t>
            </w:r>
          </w:p>
        </w:tc>
        <w:tc>
          <w:tcPr>
            <w:tcW w:w="1170"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56,1</w:t>
            </w:r>
          </w:p>
        </w:tc>
        <w:tc>
          <w:tcPr>
            <w:tcW w:w="2016" w:type="dxa"/>
          </w:tcPr>
          <w:p w:rsidR="009B0AFA" w:rsidRPr="004C13C4" w:rsidRDefault="009B0AFA" w:rsidP="00F51197">
            <w:pPr>
              <w:spacing w:line="480" w:lineRule="auto"/>
              <w:rPr>
                <w:rFonts w:ascii="Bookman Old Style" w:hAnsi="Bookman Old Style"/>
              </w:rPr>
            </w:pPr>
            <w:r w:rsidRPr="004C13C4">
              <w:rPr>
                <w:rFonts w:ascii="Bookman Old Style" w:hAnsi="Bookman Old Style"/>
                <w:sz w:val="22"/>
                <w:szCs w:val="22"/>
              </w:rPr>
              <w:t>54,1</w:t>
            </w:r>
          </w:p>
        </w:tc>
      </w:tr>
      <w:tr w:rsidR="009B0AFA" w:rsidRPr="004E6F33" w:rsidTr="00196209">
        <w:tc>
          <w:tcPr>
            <w:tcW w:w="2682" w:type="dxa"/>
          </w:tcPr>
          <w:p w:rsidR="009B0AFA" w:rsidRDefault="009B0AFA" w:rsidP="00F51197">
            <w:pPr>
              <w:spacing w:line="480" w:lineRule="auto"/>
              <w:rPr>
                <w:rFonts w:ascii="Bookman Old Style" w:hAnsi="Bookman Old Style"/>
              </w:rPr>
            </w:pPr>
            <w:r w:rsidRPr="00A45BD0">
              <w:rPr>
                <w:rFonts w:ascii="Bookman Old Style" w:hAnsi="Bookman Old Style"/>
              </w:rPr>
              <w:t>Stock de la dette intérieure</w:t>
            </w:r>
            <w:r>
              <w:rPr>
                <w:rFonts w:ascii="Bookman Old Style" w:hAnsi="Bookman Old Style"/>
              </w:rPr>
              <w:t xml:space="preserve">  en % du PIB</w:t>
            </w:r>
          </w:p>
          <w:p w:rsidR="009B0AFA" w:rsidRPr="00A45BD0" w:rsidRDefault="009B0AFA" w:rsidP="00F51197">
            <w:pPr>
              <w:spacing w:line="480" w:lineRule="auto"/>
              <w:rPr>
                <w:rFonts w:ascii="Bookman Old Style" w:hAnsi="Bookman Old Style"/>
              </w:rPr>
            </w:pPr>
          </w:p>
        </w:tc>
        <w:tc>
          <w:tcPr>
            <w:tcW w:w="90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19,6</w:t>
            </w:r>
          </w:p>
          <w:p w:rsidR="009B0AFA" w:rsidRPr="00D61273" w:rsidRDefault="009B0AFA" w:rsidP="00F51197">
            <w:pPr>
              <w:spacing w:line="480" w:lineRule="auto"/>
              <w:jc w:val="right"/>
              <w:rPr>
                <w:rFonts w:ascii="Bookman Old Style" w:hAnsi="Bookman Old Style"/>
              </w:rPr>
            </w:pPr>
          </w:p>
        </w:tc>
        <w:tc>
          <w:tcPr>
            <w:tcW w:w="99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18,7</w:t>
            </w:r>
          </w:p>
        </w:tc>
        <w:tc>
          <w:tcPr>
            <w:tcW w:w="117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19,0</w:t>
            </w:r>
          </w:p>
        </w:tc>
        <w:tc>
          <w:tcPr>
            <w:tcW w:w="99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18,8</w:t>
            </w:r>
          </w:p>
        </w:tc>
        <w:tc>
          <w:tcPr>
            <w:tcW w:w="117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17,6</w:t>
            </w:r>
          </w:p>
        </w:tc>
        <w:tc>
          <w:tcPr>
            <w:tcW w:w="2016"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17,9</w:t>
            </w:r>
          </w:p>
        </w:tc>
      </w:tr>
      <w:tr w:rsidR="009B0AFA" w:rsidRPr="004E6F33" w:rsidTr="00196209">
        <w:tc>
          <w:tcPr>
            <w:tcW w:w="2682" w:type="dxa"/>
          </w:tcPr>
          <w:p w:rsidR="009B0AFA" w:rsidRDefault="009B0AFA" w:rsidP="00F51197">
            <w:pPr>
              <w:spacing w:line="480" w:lineRule="auto"/>
              <w:rPr>
                <w:rFonts w:ascii="Bookman Old Style" w:hAnsi="Bookman Old Style"/>
              </w:rPr>
            </w:pPr>
            <w:r w:rsidRPr="00A45BD0">
              <w:rPr>
                <w:rFonts w:ascii="Bookman Old Style" w:hAnsi="Bookman Old Style"/>
              </w:rPr>
              <w:t xml:space="preserve">Stock des arriérés  </w:t>
            </w:r>
            <w:r>
              <w:rPr>
                <w:rFonts w:ascii="Bookman Old Style" w:hAnsi="Bookman Old Style"/>
              </w:rPr>
              <w:t>i</w:t>
            </w:r>
            <w:r w:rsidRPr="00A45BD0">
              <w:rPr>
                <w:rFonts w:ascii="Bookman Old Style" w:hAnsi="Bookman Old Style"/>
              </w:rPr>
              <w:t>ntérieurs</w:t>
            </w:r>
            <w:r>
              <w:rPr>
                <w:rFonts w:ascii="Bookman Old Style" w:hAnsi="Bookman Old Style"/>
              </w:rPr>
              <w:t xml:space="preserve"> en % du PIB</w:t>
            </w:r>
          </w:p>
          <w:p w:rsidR="009B0AFA" w:rsidRPr="00A45BD0" w:rsidRDefault="009B0AFA" w:rsidP="00F51197">
            <w:pPr>
              <w:spacing w:line="480" w:lineRule="auto"/>
              <w:rPr>
                <w:rFonts w:ascii="Bookman Old Style" w:hAnsi="Bookman Old Style"/>
              </w:rPr>
            </w:pPr>
          </w:p>
        </w:tc>
        <w:tc>
          <w:tcPr>
            <w:tcW w:w="90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25,40</w:t>
            </w:r>
          </w:p>
          <w:p w:rsidR="009B0AFA" w:rsidRPr="00D61273" w:rsidRDefault="009B0AFA" w:rsidP="00F51197">
            <w:pPr>
              <w:spacing w:line="480" w:lineRule="auto"/>
              <w:jc w:val="right"/>
              <w:rPr>
                <w:rFonts w:ascii="Bookman Old Style" w:hAnsi="Bookman Old Style"/>
              </w:rPr>
            </w:pPr>
          </w:p>
        </w:tc>
        <w:tc>
          <w:tcPr>
            <w:tcW w:w="99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23,1</w:t>
            </w:r>
          </w:p>
        </w:tc>
        <w:tc>
          <w:tcPr>
            <w:tcW w:w="117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22</w:t>
            </w:r>
          </w:p>
        </w:tc>
        <w:tc>
          <w:tcPr>
            <w:tcW w:w="99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23,9</w:t>
            </w:r>
          </w:p>
        </w:tc>
        <w:tc>
          <w:tcPr>
            <w:tcW w:w="1170"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22,4</w:t>
            </w:r>
          </w:p>
        </w:tc>
        <w:tc>
          <w:tcPr>
            <w:tcW w:w="2016" w:type="dxa"/>
          </w:tcPr>
          <w:p w:rsidR="009B0AFA" w:rsidRPr="00D61273" w:rsidRDefault="009B0AFA" w:rsidP="00F51197">
            <w:pPr>
              <w:spacing w:line="480" w:lineRule="auto"/>
              <w:rPr>
                <w:rFonts w:ascii="Bookman Old Style" w:hAnsi="Bookman Old Style"/>
              </w:rPr>
            </w:pPr>
            <w:r w:rsidRPr="00D61273">
              <w:rPr>
                <w:rFonts w:ascii="Bookman Old Style" w:hAnsi="Bookman Old Style"/>
              </w:rPr>
              <w:t>23,4</w:t>
            </w:r>
          </w:p>
        </w:tc>
      </w:tr>
    </w:tbl>
    <w:p w:rsidR="009B0AFA" w:rsidRPr="00882487" w:rsidRDefault="009B0AFA" w:rsidP="00F51197">
      <w:pPr>
        <w:spacing w:line="480" w:lineRule="auto"/>
        <w:jc w:val="both"/>
        <w:rPr>
          <w:rFonts w:ascii="Bookman Old Style" w:hAnsi="Bookman Old Style"/>
          <w:b/>
          <w:sz w:val="22"/>
          <w:szCs w:val="22"/>
        </w:rPr>
      </w:pPr>
    </w:p>
    <w:p w:rsidR="009B0AFA" w:rsidRPr="006C3DA8" w:rsidRDefault="009B0AFA" w:rsidP="00F51197">
      <w:pPr>
        <w:spacing w:line="480" w:lineRule="auto"/>
        <w:jc w:val="both"/>
        <w:rPr>
          <w:rFonts w:ascii="Bookman Old Style" w:hAnsi="Bookman Old Style"/>
          <w:sz w:val="22"/>
          <w:szCs w:val="22"/>
        </w:rPr>
      </w:pPr>
      <w:r>
        <w:rPr>
          <w:rFonts w:ascii="Bookman Old Style" w:hAnsi="Bookman Old Style"/>
          <w:sz w:val="22"/>
          <w:szCs w:val="22"/>
        </w:rPr>
        <w:t>Source : Banque mondiale 2000, R</w:t>
      </w:r>
      <w:r w:rsidRPr="006C3DA8">
        <w:rPr>
          <w:rFonts w:ascii="Bookman Old Style" w:hAnsi="Bookman Old Style"/>
          <w:sz w:val="22"/>
          <w:szCs w:val="22"/>
        </w:rPr>
        <w:t>apport n° 21414 DJI</w:t>
      </w:r>
    </w:p>
    <w:p w:rsidR="009B0AFA" w:rsidRDefault="009B0AFA" w:rsidP="00F51197">
      <w:pPr>
        <w:spacing w:line="480" w:lineRule="auto"/>
        <w:ind w:firstLine="706"/>
        <w:jc w:val="both"/>
        <w:rPr>
          <w:rFonts w:ascii="Bookman Old Style" w:hAnsi="Bookman Old Style"/>
        </w:rPr>
      </w:pPr>
    </w:p>
    <w:p w:rsidR="009B0AFA" w:rsidRDefault="009B0AFA" w:rsidP="00F51197">
      <w:pPr>
        <w:spacing w:line="480" w:lineRule="auto"/>
        <w:ind w:firstLine="706"/>
        <w:jc w:val="both"/>
        <w:rPr>
          <w:rFonts w:ascii="Bookman Old Style" w:hAnsi="Bookman Old Style"/>
        </w:rPr>
      </w:pPr>
    </w:p>
    <w:p w:rsidR="009B0AFA" w:rsidRPr="003D7E77" w:rsidRDefault="009B0AFA" w:rsidP="00F51197">
      <w:pPr>
        <w:spacing w:line="480" w:lineRule="auto"/>
        <w:ind w:firstLine="706"/>
        <w:jc w:val="both"/>
        <w:rPr>
          <w:rFonts w:ascii="Bookman Old Style" w:hAnsi="Bookman Old Style"/>
        </w:rPr>
      </w:pPr>
      <w:r w:rsidRPr="00BD55E8">
        <w:rPr>
          <w:rFonts w:ascii="Bookman Old Style" w:hAnsi="Bookman Old Style"/>
        </w:rPr>
        <w:t>Cette détérioration de la situation économique et financière</w:t>
      </w:r>
      <w:r>
        <w:rPr>
          <w:rFonts w:ascii="Bookman Old Style" w:hAnsi="Bookman Old Style"/>
        </w:rPr>
        <w:t xml:space="preserve"> du pays</w:t>
      </w:r>
      <w:r w:rsidRPr="00BD55E8">
        <w:rPr>
          <w:rFonts w:ascii="Bookman Old Style" w:hAnsi="Bookman Old Style"/>
        </w:rPr>
        <w:t xml:space="preserve"> entraîne un cercle vicieux où une accumulation continue des arriérés de l’Etat envers les entreprises publiques et privées a affaibli leur situation financière et leur capacité à payer des impôts, à rembourser leurs prê</w:t>
      </w:r>
      <w:r>
        <w:rPr>
          <w:rFonts w:ascii="Bookman Old Style" w:hAnsi="Bookman Old Style"/>
        </w:rPr>
        <w:t>ts bancaires et à investir. Cette crise économique</w:t>
      </w:r>
      <w:r w:rsidRPr="00BD55E8">
        <w:rPr>
          <w:rFonts w:ascii="Bookman Old Style" w:hAnsi="Bookman Old Style"/>
        </w:rPr>
        <w:t xml:space="preserve"> engendre également une augmentation de chômage, une aggravation de la pauv</w:t>
      </w:r>
      <w:r>
        <w:rPr>
          <w:rFonts w:ascii="Bookman Old Style" w:hAnsi="Bookman Old Style"/>
        </w:rPr>
        <w:t xml:space="preserve">reté ainsi qu’une déliquescence </w:t>
      </w:r>
      <w:r w:rsidRPr="00BD55E8">
        <w:rPr>
          <w:rFonts w:ascii="Bookman Old Style" w:hAnsi="Bookman Old Style"/>
        </w:rPr>
        <w:t>de l’appareil administratif et de la crédibilité de l’Etat</w:t>
      </w:r>
      <w:r>
        <w:rPr>
          <w:rFonts w:ascii="Bookman Old Style" w:hAnsi="Bookman Old Style"/>
        </w:rPr>
        <w:t>.</w:t>
      </w:r>
      <w:r w:rsidRPr="00BD55E8">
        <w:rPr>
          <w:rFonts w:ascii="Bookman Old Style" w:hAnsi="Bookman Old Style"/>
        </w:rPr>
        <w:t xml:space="preserve"> </w:t>
      </w:r>
      <w:r>
        <w:rPr>
          <w:rFonts w:ascii="Bookman Old Style" w:hAnsi="Bookman Old Style"/>
        </w:rPr>
        <w:t>Les commandes de l’Etat n’étaient</w:t>
      </w:r>
      <w:r w:rsidRPr="00BD55E8">
        <w:rPr>
          <w:rFonts w:ascii="Bookman Old Style" w:hAnsi="Bookman Old Style"/>
        </w:rPr>
        <w:t xml:space="preserve"> plus acceptées par les fournisseurs locaux et étrangers. C’était le cas notamment pour l’achat des médicaments. L’Etat n’était plus égalemen</w:t>
      </w:r>
      <w:r>
        <w:rPr>
          <w:rFonts w:ascii="Bookman Old Style" w:hAnsi="Bookman Old Style"/>
        </w:rPr>
        <w:t xml:space="preserve">t </w:t>
      </w:r>
      <w:r w:rsidRPr="00BD55E8">
        <w:rPr>
          <w:rFonts w:ascii="Bookman Old Style" w:hAnsi="Bookman Old Style"/>
        </w:rPr>
        <w:t>en mesure de verser les salaires des fonctionnaires. L’accumulation des arriérés internes notamment les salaires et pensions impay</w:t>
      </w:r>
      <w:r>
        <w:rPr>
          <w:rFonts w:ascii="Bookman Old Style" w:hAnsi="Bookman Old Style"/>
        </w:rPr>
        <w:t xml:space="preserve">ées se poursuit jusqu’en 1999. </w:t>
      </w:r>
      <w:r w:rsidRPr="00BD55E8">
        <w:rPr>
          <w:rFonts w:ascii="Bookman Old Style" w:hAnsi="Bookman Old Style"/>
        </w:rPr>
        <w:t>A la fin de l’année 1999, ces arriérés représentaient 20,8 milliards de Francs Djibouti (117 millions de $,) soit plus de 23 % du PIB, dont 6,8 milliards de FD (38 millions de $ d’arriérés en salaires et rémunérations, 3,6 milliards de FD (20 millions  de $) aux fournisseurs locaux privés, 2,9 milliards de FD (16 millions de $ aux entreprises publiques, et 7,3 milliards de FD (41 millions de $ aux caisses de retraites</w:t>
      </w:r>
      <w:r>
        <w:rPr>
          <w:rFonts w:ascii="Bookman Old Style" w:hAnsi="Bookman Old Style"/>
        </w:rPr>
        <w:t xml:space="preserve"> (Banque mondiale, 2006)</w:t>
      </w:r>
      <w:r w:rsidRPr="00BD55E8">
        <w:rPr>
          <w:rFonts w:ascii="Bookman Old Style" w:hAnsi="Bookman Old Style"/>
        </w:rPr>
        <w:t xml:space="preserve">. </w:t>
      </w:r>
    </w:p>
    <w:p w:rsidR="009B0AFA" w:rsidRPr="00CF52F7" w:rsidRDefault="009B0AFA" w:rsidP="00F51197">
      <w:pPr>
        <w:spacing w:line="480" w:lineRule="auto"/>
        <w:jc w:val="both"/>
        <w:rPr>
          <w:rFonts w:ascii="Bookman Old Style" w:hAnsi="Bookman Old Style"/>
        </w:rPr>
      </w:pPr>
    </w:p>
    <w:p w:rsidR="009B0AFA" w:rsidRPr="00CF52F7" w:rsidRDefault="009B0AFA" w:rsidP="00F51197">
      <w:pPr>
        <w:spacing w:line="480" w:lineRule="auto"/>
        <w:ind w:firstLine="706"/>
        <w:jc w:val="both"/>
        <w:rPr>
          <w:rFonts w:ascii="Bookman Old Style" w:hAnsi="Bookman Old Style"/>
        </w:rPr>
      </w:pPr>
      <w:r w:rsidRPr="00CF52F7">
        <w:rPr>
          <w:rFonts w:ascii="Bookman Old Style" w:hAnsi="Bookman Old Style"/>
        </w:rPr>
        <w:t xml:space="preserve">Cette crise économique </w:t>
      </w:r>
      <w:r>
        <w:rPr>
          <w:rFonts w:ascii="Bookman Old Style" w:hAnsi="Bookman Old Style"/>
        </w:rPr>
        <w:t>trouve son origine</w:t>
      </w:r>
      <w:r w:rsidRPr="00CF52F7">
        <w:rPr>
          <w:rFonts w:ascii="Bookman Old Style" w:hAnsi="Bookman Old Style"/>
        </w:rPr>
        <w:t xml:space="preserve"> </w:t>
      </w:r>
      <w:r>
        <w:rPr>
          <w:rFonts w:ascii="Bookman Old Style" w:hAnsi="Bookman Old Style"/>
        </w:rPr>
        <w:t xml:space="preserve">dans </w:t>
      </w:r>
      <w:r w:rsidRPr="00CF52F7">
        <w:rPr>
          <w:rFonts w:ascii="Bookman Old Style" w:hAnsi="Bookman Old Style"/>
        </w:rPr>
        <w:t>l’environnement extérieur.</w:t>
      </w:r>
      <w:r>
        <w:rPr>
          <w:rFonts w:ascii="Bookman Old Style" w:hAnsi="Bookman Old Style"/>
        </w:rPr>
        <w:t xml:space="preserve"> </w:t>
      </w:r>
      <w:r w:rsidRPr="00CF52F7">
        <w:rPr>
          <w:rFonts w:ascii="Bookman Old Style" w:hAnsi="Bookman Old Style"/>
        </w:rPr>
        <w:t>La croissance de Djibouti dépend des facteurs externes, notamment de la demande régionale des services.</w:t>
      </w:r>
      <w:r>
        <w:rPr>
          <w:rFonts w:ascii="Bookman Old Style" w:hAnsi="Bookman Old Style"/>
        </w:rPr>
        <w:t xml:space="preserve"> Les activités de transport, et plus précisément celles du port qui constituent les principales sources de </w:t>
      </w:r>
      <w:r>
        <w:rPr>
          <w:rFonts w:ascii="Bookman Old Style" w:hAnsi="Bookman Old Style"/>
        </w:rPr>
        <w:lastRenderedPageBreak/>
        <w:t>devises et de croissance du pays sont complètement dépendantes de la conjoncture politique et socio-économique de pays limitrophes.</w:t>
      </w:r>
      <w:r w:rsidRPr="00CF52F7">
        <w:rPr>
          <w:rFonts w:ascii="Bookman Old Style" w:hAnsi="Bookman Old Style"/>
        </w:rPr>
        <w:t xml:space="preserve"> </w:t>
      </w:r>
      <w:r>
        <w:rPr>
          <w:rFonts w:ascii="Bookman Old Style" w:hAnsi="Bookman Old Style"/>
        </w:rPr>
        <w:t>L’Ethiopie,</w:t>
      </w:r>
      <w:r w:rsidRPr="00291B58">
        <w:rPr>
          <w:rFonts w:ascii="Bookman Old Style" w:hAnsi="Bookman Old Style"/>
        </w:rPr>
        <w:t xml:space="preserve"> pays enclavé de plus 80</w:t>
      </w:r>
      <w:r>
        <w:rPr>
          <w:rFonts w:ascii="Bookman Old Style" w:hAnsi="Bookman Old Style"/>
        </w:rPr>
        <w:t xml:space="preserve"> millions d’habitants et </w:t>
      </w:r>
      <w:r w:rsidRPr="00CF52F7">
        <w:rPr>
          <w:rFonts w:ascii="Bookman Old Style" w:hAnsi="Bookman Old Style"/>
        </w:rPr>
        <w:t xml:space="preserve">la Somalie constituent l’arrière pays naturel </w:t>
      </w:r>
      <w:r>
        <w:rPr>
          <w:rFonts w:ascii="Bookman Old Style" w:hAnsi="Bookman Old Style"/>
        </w:rPr>
        <w:t>de l’économie d</w:t>
      </w:r>
      <w:r w:rsidRPr="00CF52F7">
        <w:rPr>
          <w:rFonts w:ascii="Bookman Old Style" w:hAnsi="Bookman Old Style"/>
        </w:rPr>
        <w:t xml:space="preserve">jiboutienne. </w:t>
      </w:r>
      <w:r>
        <w:rPr>
          <w:rFonts w:ascii="Bookman Old Style" w:hAnsi="Bookman Old Style"/>
        </w:rPr>
        <w:t xml:space="preserve">Le trafic éthiopien représente plus de 85 % des activités du Port de Djibouti (Banque centrale de Djibouti, 2006, p. 22). </w:t>
      </w:r>
      <w:r w:rsidRPr="00CF52F7">
        <w:rPr>
          <w:rFonts w:ascii="Bookman Old Style" w:hAnsi="Bookman Old Style"/>
        </w:rPr>
        <w:t>Les conflits régionaux qui ont secoué la région au cours des  années 1990 ont eu des i</w:t>
      </w:r>
      <w:r>
        <w:rPr>
          <w:rFonts w:ascii="Bookman Old Style" w:hAnsi="Bookman Old Style"/>
        </w:rPr>
        <w:t>mpacts négatifs sur l’économie d</w:t>
      </w:r>
      <w:r w:rsidRPr="00CF52F7">
        <w:rPr>
          <w:rFonts w:ascii="Bookman Old Style" w:hAnsi="Bookman Old Style"/>
        </w:rPr>
        <w:t xml:space="preserve">jiboutienne, extravertie et vulnérable aux fluctuations économiques régionales. Ces conflits régionaux ont aussi </w:t>
      </w:r>
      <w:r>
        <w:rPr>
          <w:rFonts w:ascii="Bookman Old Style" w:hAnsi="Bookman Old Style"/>
        </w:rPr>
        <w:t>drainé vers Djibouti</w:t>
      </w:r>
      <w:r w:rsidRPr="00CF52F7">
        <w:rPr>
          <w:rFonts w:ascii="Bookman Old Style" w:hAnsi="Bookman Old Style"/>
        </w:rPr>
        <w:t xml:space="preserve"> des mouvements importants de populations. </w:t>
      </w:r>
      <w:r>
        <w:rPr>
          <w:rFonts w:ascii="Bookman Old Style" w:hAnsi="Bookman Old Style"/>
        </w:rPr>
        <w:t>V</w:t>
      </w:r>
      <w:r w:rsidRPr="00CF52F7">
        <w:rPr>
          <w:rFonts w:ascii="Bookman Old Style" w:hAnsi="Bookman Old Style"/>
        </w:rPr>
        <w:t>is-à-vis de sa région</w:t>
      </w:r>
      <w:r>
        <w:rPr>
          <w:rFonts w:ascii="Bookman Old Style" w:hAnsi="Bookman Old Style"/>
        </w:rPr>
        <w:t>,</w:t>
      </w:r>
      <w:r w:rsidRPr="00BA47FB">
        <w:rPr>
          <w:rFonts w:ascii="Bookman Old Style" w:hAnsi="Bookman Old Style"/>
        </w:rPr>
        <w:t xml:space="preserve"> </w:t>
      </w:r>
      <w:r w:rsidRPr="00CF52F7">
        <w:rPr>
          <w:rFonts w:ascii="Bookman Old Style" w:hAnsi="Bookman Old Style"/>
        </w:rPr>
        <w:t>Djibouti vit dans une situation paradoxale. L’instabilité chronique de ses voisins lui bénéficie directement. Les transactions financières et le trafic de marchandises qui empruntent ses infrastructures, lui offrent un volume d’affaires inespéré pour un si petit pays. Mais en même</w:t>
      </w:r>
      <w:r>
        <w:rPr>
          <w:rFonts w:ascii="Bookman Old Style" w:hAnsi="Bookman Old Style"/>
        </w:rPr>
        <w:t xml:space="preserve"> temps, cette instabilité de la région prive Djibouti d’</w:t>
      </w:r>
      <w:r w:rsidRPr="00CF52F7">
        <w:rPr>
          <w:rFonts w:ascii="Bookman Old Style" w:hAnsi="Bookman Old Style"/>
        </w:rPr>
        <w:t>un potentiel réel</w:t>
      </w:r>
      <w:r w:rsidRPr="00FE1810">
        <w:rPr>
          <w:rFonts w:ascii="Bookman Old Style" w:hAnsi="Bookman Old Style"/>
        </w:rPr>
        <w:t xml:space="preserve"> </w:t>
      </w:r>
      <w:r>
        <w:rPr>
          <w:rFonts w:ascii="Bookman Old Style" w:hAnsi="Bookman Old Style"/>
        </w:rPr>
        <w:t xml:space="preserve">de </w:t>
      </w:r>
      <w:r w:rsidRPr="00CF52F7">
        <w:rPr>
          <w:rFonts w:ascii="Bookman Old Style" w:hAnsi="Bookman Old Style"/>
        </w:rPr>
        <w:t>développement. Djibouti bénéfice d’une position géographique enviable qui la met au carrefour du trafic commercial et maritime international</w:t>
      </w:r>
      <w:r>
        <w:rPr>
          <w:rFonts w:ascii="Bookman Old Style" w:hAnsi="Bookman Old Style"/>
        </w:rPr>
        <w:t>. M</w:t>
      </w:r>
      <w:r w:rsidRPr="00CF52F7">
        <w:rPr>
          <w:rFonts w:ascii="Bookman Old Style" w:hAnsi="Bookman Old Style"/>
        </w:rPr>
        <w:t>ais elle est en même temps victime de sa localisation dans la Corne de l’Afrique régulièremen</w:t>
      </w:r>
      <w:r>
        <w:rPr>
          <w:rFonts w:ascii="Bookman Old Style" w:hAnsi="Bookman Old Style"/>
        </w:rPr>
        <w:t xml:space="preserve">t secouée par des conflits armés, </w:t>
      </w:r>
      <w:r w:rsidRPr="00CF52F7">
        <w:rPr>
          <w:rFonts w:ascii="Bookman Old Style" w:hAnsi="Bookman Old Style"/>
        </w:rPr>
        <w:t>civil</w:t>
      </w:r>
      <w:r>
        <w:rPr>
          <w:rFonts w:ascii="Bookman Old Style" w:hAnsi="Bookman Old Style"/>
        </w:rPr>
        <w:t>s</w:t>
      </w:r>
      <w:r w:rsidRPr="00CF52F7">
        <w:rPr>
          <w:rFonts w:ascii="Bookman Old Style" w:hAnsi="Bookman Old Style"/>
        </w:rPr>
        <w:t xml:space="preserve"> et frontaliers. </w:t>
      </w:r>
      <w:r>
        <w:rPr>
          <w:rFonts w:ascii="Bookman Old Style" w:hAnsi="Bookman Old Style"/>
        </w:rPr>
        <w:t xml:space="preserve"> La proximité des pays ayant traversé à diverses reprises des catastrophes naturelles et des conflits politiques au cours des dernières décennies a un impact négatif sur Djibouti.</w:t>
      </w:r>
      <w:r w:rsidRPr="00CF52F7">
        <w:rPr>
          <w:rFonts w:ascii="Bookman Old Style" w:hAnsi="Bookman Old Style"/>
        </w:rPr>
        <w:t xml:space="preserve"> </w:t>
      </w:r>
      <w:r>
        <w:rPr>
          <w:rFonts w:ascii="Bookman Old Style" w:hAnsi="Bookman Old Style"/>
        </w:rPr>
        <w:t xml:space="preserve">Ces pays ont en outre un revenu par habitant et des barèmes salariaux nettement inferieurs que Djibouti. Ils sont aussi plus grands que Djibouti en termes de population et des superficies, ce qui a tendance à accroitre la vulnérabilité de Djibouti face aux événements qui s’y </w:t>
      </w:r>
      <w:r>
        <w:rPr>
          <w:rFonts w:ascii="Bookman Old Style" w:hAnsi="Bookman Old Style"/>
        </w:rPr>
        <w:lastRenderedPageBreak/>
        <w:t xml:space="preserve">déroulent. </w:t>
      </w:r>
      <w:r w:rsidRPr="00CF52F7">
        <w:rPr>
          <w:rFonts w:ascii="Bookman Old Style" w:hAnsi="Bookman Old Style"/>
        </w:rPr>
        <w:t xml:space="preserve">Depuis son indépendance </w:t>
      </w:r>
      <w:r>
        <w:rPr>
          <w:rFonts w:ascii="Bookman Old Style" w:hAnsi="Bookman Old Style"/>
        </w:rPr>
        <w:t xml:space="preserve">en juin 1977, Djibouti </w:t>
      </w:r>
      <w:r w:rsidRPr="00CF52F7">
        <w:rPr>
          <w:rFonts w:ascii="Bookman Old Style" w:hAnsi="Bookman Old Style"/>
        </w:rPr>
        <w:t xml:space="preserve">a vécu au rythme des conflits de la sous-région, </w:t>
      </w:r>
      <w:r>
        <w:rPr>
          <w:rFonts w:ascii="Bookman Old Style" w:hAnsi="Bookman Old Style"/>
        </w:rPr>
        <w:t xml:space="preserve">et de </w:t>
      </w:r>
      <w:r w:rsidRPr="00CF52F7">
        <w:rPr>
          <w:rFonts w:ascii="Bookman Old Style" w:hAnsi="Bookman Old Style"/>
        </w:rPr>
        <w:t xml:space="preserve">l’afflux de réfugiés et </w:t>
      </w:r>
      <w:r>
        <w:rPr>
          <w:rFonts w:ascii="Bookman Old Style" w:hAnsi="Bookman Old Style"/>
        </w:rPr>
        <w:t xml:space="preserve">du </w:t>
      </w:r>
      <w:r w:rsidRPr="00CF52F7">
        <w:rPr>
          <w:rFonts w:ascii="Bookman Old Style" w:hAnsi="Bookman Old Style"/>
        </w:rPr>
        <w:t>déplacement massif des populations sinistré</w:t>
      </w:r>
      <w:r>
        <w:rPr>
          <w:rFonts w:ascii="Bookman Old Style" w:hAnsi="Bookman Old Style"/>
        </w:rPr>
        <w:t>e</w:t>
      </w:r>
      <w:r w:rsidRPr="00CF52F7">
        <w:rPr>
          <w:rFonts w:ascii="Bookman Old Style" w:hAnsi="Bookman Old Style"/>
        </w:rPr>
        <w:t xml:space="preserve">s vers le territoire national. En </w:t>
      </w:r>
      <w:r>
        <w:rPr>
          <w:rFonts w:ascii="Bookman Old Style" w:hAnsi="Bookman Old Style"/>
        </w:rPr>
        <w:t>2007</w:t>
      </w:r>
      <w:r w:rsidRPr="00CF52F7">
        <w:rPr>
          <w:rFonts w:ascii="Bookman Old Style" w:hAnsi="Bookman Old Style"/>
        </w:rPr>
        <w:t>, D</w:t>
      </w:r>
      <w:r>
        <w:rPr>
          <w:rFonts w:ascii="Bookman Old Style" w:hAnsi="Bookman Old Style"/>
        </w:rPr>
        <w:t>jibouti est d’ailleurs classé 4è</w:t>
      </w:r>
      <w:r w:rsidRPr="00CF52F7">
        <w:rPr>
          <w:rFonts w:ascii="Bookman Old Style" w:hAnsi="Bookman Old Style"/>
        </w:rPr>
        <w:t xml:space="preserve">me pays migratoire au monde, avec 26 réfugiés pour 1000 habitants par </w:t>
      </w:r>
      <w:r>
        <w:rPr>
          <w:rFonts w:ascii="Bookman Old Style" w:hAnsi="Bookman Old Style"/>
        </w:rPr>
        <w:t>la Communauté européenne (Document de stratégie pays et programme indicateur national pour la période 2008-2013)</w:t>
      </w:r>
      <w:r w:rsidRPr="00CF52F7">
        <w:rPr>
          <w:rFonts w:ascii="Bookman Old Style" w:hAnsi="Bookman Old Style"/>
        </w:rPr>
        <w:t xml:space="preserve">. </w:t>
      </w:r>
      <w:r>
        <w:rPr>
          <w:rFonts w:ascii="Bookman Old Style" w:hAnsi="Bookman Old Style"/>
        </w:rPr>
        <w:t xml:space="preserve">En </w:t>
      </w:r>
      <w:r w:rsidRPr="00CF52F7">
        <w:rPr>
          <w:rFonts w:ascii="Bookman Old Style" w:hAnsi="Bookman Old Style"/>
        </w:rPr>
        <w:t>2006</w:t>
      </w:r>
      <w:r>
        <w:rPr>
          <w:rFonts w:ascii="Bookman Old Style" w:hAnsi="Bookman Old Style"/>
        </w:rPr>
        <w:t>, la Banque mondiale a estimé aussi</w:t>
      </w:r>
      <w:r w:rsidRPr="00CF52F7">
        <w:rPr>
          <w:rFonts w:ascii="Bookman Old Style" w:hAnsi="Bookman Old Style"/>
        </w:rPr>
        <w:t xml:space="preserve"> que plus de 60 % des personnes hospitalisées pour une tuberculose à Djibouti viennent des pays limitrophes. Le poids de cette charge se ressent au niveau de l’état des infrastructures sanitaires. </w:t>
      </w:r>
    </w:p>
    <w:p w:rsidR="009B0AFA" w:rsidRPr="005114BF" w:rsidRDefault="009B0AFA" w:rsidP="00F51197">
      <w:pPr>
        <w:spacing w:line="480" w:lineRule="auto"/>
        <w:jc w:val="both"/>
        <w:rPr>
          <w:rFonts w:ascii="Bookman Old Style" w:hAnsi="Bookman Old Style"/>
        </w:rPr>
      </w:pPr>
    </w:p>
    <w:p w:rsidR="009B0AFA" w:rsidRPr="005114BF" w:rsidRDefault="009B0AFA" w:rsidP="00F51197">
      <w:pPr>
        <w:spacing w:line="480" w:lineRule="auto"/>
        <w:ind w:firstLine="706"/>
        <w:jc w:val="both"/>
        <w:rPr>
          <w:rFonts w:ascii="Bookman Old Style" w:hAnsi="Bookman Old Style"/>
        </w:rPr>
      </w:pPr>
      <w:r>
        <w:rPr>
          <w:rFonts w:ascii="Bookman Old Style" w:hAnsi="Bookman Old Style"/>
        </w:rPr>
        <w:t xml:space="preserve">La dépendance </w:t>
      </w:r>
      <w:r w:rsidRPr="005114BF">
        <w:rPr>
          <w:rFonts w:ascii="Bookman Old Style" w:hAnsi="Bookman Old Style"/>
        </w:rPr>
        <w:t xml:space="preserve">de l’assistance de bailleurs de fonds demeure </w:t>
      </w:r>
      <w:r>
        <w:rPr>
          <w:rFonts w:ascii="Bookman Old Style" w:hAnsi="Bookman Old Style"/>
        </w:rPr>
        <w:t xml:space="preserve">aussi une autre </w:t>
      </w:r>
      <w:r w:rsidRPr="005114BF">
        <w:rPr>
          <w:rFonts w:ascii="Bookman Old Style" w:hAnsi="Bookman Old Style"/>
        </w:rPr>
        <w:t xml:space="preserve">source de vulnérabilité pour la situation budgétaire et commerciale de Djibouti. </w:t>
      </w:r>
      <w:r>
        <w:rPr>
          <w:rFonts w:ascii="Bookman Old Style" w:hAnsi="Bookman Old Style"/>
        </w:rPr>
        <w:t xml:space="preserve">Au </w:t>
      </w:r>
      <w:r w:rsidRPr="005114BF">
        <w:rPr>
          <w:rFonts w:ascii="Bookman Old Style" w:hAnsi="Bookman Old Style"/>
        </w:rPr>
        <w:t>début des années 1990, dans un contexte de crise économique, les contributions extérieures, constituées pou</w:t>
      </w:r>
      <w:r>
        <w:rPr>
          <w:rFonts w:ascii="Bookman Old Style" w:hAnsi="Bookman Old Style"/>
        </w:rPr>
        <w:t>r l’essentiel des dons et d</w:t>
      </w:r>
      <w:r w:rsidRPr="005114BF">
        <w:rPr>
          <w:rFonts w:ascii="Bookman Old Style" w:hAnsi="Bookman Old Style"/>
        </w:rPr>
        <w:t>es financements sur projets se sont nettement ralenties en passant de 15,6 milliards de FD (88 millions de $) en 1993 à 6,5 milliard de FD (37 millions de $) en 1999, soit une di</w:t>
      </w:r>
      <w:r>
        <w:rPr>
          <w:rFonts w:ascii="Bookman Old Style" w:hAnsi="Bookman Old Style"/>
        </w:rPr>
        <w:t>minution de 62 % (voir tableau 7</w:t>
      </w:r>
      <w:r w:rsidRPr="005114BF">
        <w:rPr>
          <w:rFonts w:ascii="Bookman Old Style" w:hAnsi="Bookman Old Style"/>
        </w:rPr>
        <w:t xml:space="preserve">). </w:t>
      </w:r>
      <w:r>
        <w:rPr>
          <w:rFonts w:ascii="Bookman Old Style" w:hAnsi="Bookman Old Style"/>
        </w:rPr>
        <w:t>Djibouti</w:t>
      </w:r>
      <w:r w:rsidRPr="005114BF">
        <w:rPr>
          <w:rFonts w:ascii="Bookman Old Style" w:hAnsi="Bookman Old Style"/>
        </w:rPr>
        <w:t xml:space="preserve"> est tributaire de l’aide extérieure pour financer ses programmes de développement mais aussi pour équilibrer son budget. Le budget djiboutien est structurellement déficitaire et le déficit est généralement comblé par des apports étrangers, essentiellement des dons et des crédits concessionnels. Le taux de prélèvement public, ratio de l’ensemble des ressources publiques rapportées au PIB, ne permet pas d’assurer un équilibre budgétaire satisfaisant. La pression fiscale est pourtant assez forte à Djibouti. Le ratio </w:t>
      </w:r>
      <w:r w:rsidRPr="005114BF">
        <w:rPr>
          <w:rFonts w:ascii="Bookman Old Style" w:hAnsi="Bookman Old Style"/>
        </w:rPr>
        <w:lastRenderedPageBreak/>
        <w:t>des recettes fiscales rapportées au PIB de Djibouti, de l’ordre de 30 % est l</w:t>
      </w:r>
      <w:r>
        <w:rPr>
          <w:rFonts w:ascii="Bookman Old Style" w:hAnsi="Bookman Old Style"/>
        </w:rPr>
        <w:t>’un des plus élevé de l’Afrique</w:t>
      </w:r>
      <w:r w:rsidRPr="005114BF">
        <w:rPr>
          <w:rFonts w:ascii="Bookman Old Style" w:hAnsi="Bookman Old Style"/>
        </w:rPr>
        <w:t xml:space="preserve"> subsaharienne. Les bailleurs de fonds traditionnels de Djibouti ont revu à la baisse leur aide budgétaire directe en raison de la conjoncture internationale difficile mais aussi en raison des troubles internes dans le nord du pays. </w:t>
      </w:r>
    </w:p>
    <w:p w:rsidR="009B0AFA" w:rsidRDefault="009B0AFA" w:rsidP="00F51197">
      <w:pPr>
        <w:spacing w:line="480" w:lineRule="auto"/>
        <w:ind w:firstLine="706"/>
        <w:jc w:val="both"/>
        <w:rPr>
          <w:rFonts w:ascii="Bookman Old Style" w:hAnsi="Bookman Old Style"/>
        </w:rPr>
      </w:pPr>
    </w:p>
    <w:p w:rsidR="009B0AFA" w:rsidRPr="005114BF" w:rsidRDefault="009B0AFA" w:rsidP="00F51197">
      <w:pPr>
        <w:spacing w:line="480" w:lineRule="auto"/>
        <w:jc w:val="both"/>
        <w:rPr>
          <w:rFonts w:ascii="Bookman Old Style" w:hAnsi="Bookman Old Style"/>
        </w:rPr>
      </w:pPr>
    </w:p>
    <w:p w:rsidR="009B0AFA" w:rsidRPr="004731D0" w:rsidRDefault="009B0AFA" w:rsidP="00F51197">
      <w:pPr>
        <w:pStyle w:val="Lgende"/>
        <w:keepNext/>
        <w:spacing w:line="480" w:lineRule="auto"/>
        <w:jc w:val="center"/>
        <w:rPr>
          <w:rFonts w:ascii="Bookman Old Style" w:hAnsi="Bookman Old Style"/>
        </w:rPr>
      </w:pPr>
      <w:bookmarkStart w:id="21" w:name="_Toc337258660"/>
      <w:r w:rsidRPr="004731D0">
        <w:rPr>
          <w:rFonts w:ascii="Bookman Old Style" w:hAnsi="Bookman Old Style"/>
        </w:rPr>
        <w:t xml:space="preserve">Tableau </w:t>
      </w:r>
      <w:r>
        <w:rPr>
          <w:rFonts w:ascii="Bookman Old Style" w:hAnsi="Bookman Old Style"/>
        </w:rPr>
        <w:t>3</w:t>
      </w:r>
      <w:r w:rsidRPr="004731D0">
        <w:rPr>
          <w:rFonts w:ascii="Bookman Old Style" w:hAnsi="Bookman Old Style"/>
        </w:rPr>
        <w:t> : Assistance extérieure par bailleur de fonds (décaissements annuels, en millions de francs Djiboutiens).</w:t>
      </w:r>
      <w:bookmarkEnd w:id="21"/>
    </w:p>
    <w:p w:rsidR="009B0AFA" w:rsidRPr="005114BF" w:rsidRDefault="009B0AFA" w:rsidP="00F51197">
      <w:pPr>
        <w:spacing w:line="48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766"/>
        <w:gridCol w:w="864"/>
        <w:gridCol w:w="766"/>
        <w:gridCol w:w="766"/>
        <w:gridCol w:w="788"/>
        <w:gridCol w:w="816"/>
        <w:gridCol w:w="816"/>
      </w:tblGrid>
      <w:tr w:rsidR="009B0AFA" w:rsidRPr="004A51CA" w:rsidTr="00196209">
        <w:tc>
          <w:tcPr>
            <w:tcW w:w="3348" w:type="dxa"/>
            <w:shd w:val="pct12" w:color="auto" w:fill="DAEEF3"/>
          </w:tcPr>
          <w:p w:rsidR="009B0AFA" w:rsidRPr="004A51CA" w:rsidRDefault="009B0AFA" w:rsidP="00F51197">
            <w:pPr>
              <w:spacing w:line="480" w:lineRule="auto"/>
              <w:jc w:val="both"/>
              <w:rPr>
                <w:rFonts w:ascii="Bookman Old Style" w:hAnsi="Bookman Old Style"/>
              </w:rPr>
            </w:pPr>
          </w:p>
        </w:tc>
        <w:tc>
          <w:tcPr>
            <w:tcW w:w="756" w:type="dxa"/>
            <w:shd w:val="pct12" w:color="auto" w:fill="DAEEF3"/>
          </w:tcPr>
          <w:p w:rsidR="009B0AFA" w:rsidRPr="004A51CA" w:rsidRDefault="009B0AFA" w:rsidP="00F51197">
            <w:pPr>
              <w:spacing w:line="480" w:lineRule="auto"/>
              <w:jc w:val="center"/>
              <w:rPr>
                <w:rFonts w:ascii="Bookman Old Style" w:hAnsi="Bookman Old Style"/>
              </w:rPr>
            </w:pPr>
            <w:r w:rsidRPr="004A51CA">
              <w:rPr>
                <w:rFonts w:ascii="Bookman Old Style" w:hAnsi="Bookman Old Style"/>
                <w:sz w:val="22"/>
                <w:szCs w:val="22"/>
              </w:rPr>
              <w:t>1993</w:t>
            </w:r>
          </w:p>
        </w:tc>
        <w:tc>
          <w:tcPr>
            <w:tcW w:w="864" w:type="dxa"/>
            <w:shd w:val="pct12" w:color="auto" w:fill="DAEEF3"/>
          </w:tcPr>
          <w:p w:rsidR="009B0AFA" w:rsidRPr="004A51CA" w:rsidRDefault="009B0AFA" w:rsidP="00F51197">
            <w:pPr>
              <w:spacing w:line="480" w:lineRule="auto"/>
              <w:jc w:val="both"/>
              <w:rPr>
                <w:rFonts w:ascii="Bookman Old Style" w:hAnsi="Bookman Old Style"/>
              </w:rPr>
            </w:pPr>
            <w:r w:rsidRPr="004A51CA">
              <w:rPr>
                <w:rFonts w:ascii="Bookman Old Style" w:hAnsi="Bookman Old Style"/>
                <w:sz w:val="22"/>
                <w:szCs w:val="22"/>
              </w:rPr>
              <w:t>1994</w:t>
            </w:r>
          </w:p>
        </w:tc>
        <w:tc>
          <w:tcPr>
            <w:tcW w:w="720" w:type="dxa"/>
            <w:shd w:val="pct12" w:color="auto" w:fill="DAEEF3"/>
          </w:tcPr>
          <w:p w:rsidR="009B0AFA" w:rsidRPr="004A51CA" w:rsidRDefault="009B0AFA" w:rsidP="00F51197">
            <w:pPr>
              <w:spacing w:line="480" w:lineRule="auto"/>
              <w:jc w:val="both"/>
              <w:rPr>
                <w:rFonts w:ascii="Bookman Old Style" w:hAnsi="Bookman Old Style"/>
              </w:rPr>
            </w:pPr>
            <w:r w:rsidRPr="004A51CA">
              <w:rPr>
                <w:rFonts w:ascii="Bookman Old Style" w:hAnsi="Bookman Old Style"/>
                <w:sz w:val="22"/>
                <w:szCs w:val="22"/>
              </w:rPr>
              <w:t>1995</w:t>
            </w:r>
          </w:p>
        </w:tc>
        <w:tc>
          <w:tcPr>
            <w:tcW w:w="720" w:type="dxa"/>
            <w:shd w:val="pct12" w:color="auto" w:fill="DAEEF3"/>
          </w:tcPr>
          <w:p w:rsidR="009B0AFA" w:rsidRPr="004A51CA" w:rsidRDefault="009B0AFA" w:rsidP="00F51197">
            <w:pPr>
              <w:spacing w:line="480" w:lineRule="auto"/>
              <w:jc w:val="both"/>
              <w:rPr>
                <w:rFonts w:ascii="Bookman Old Style" w:hAnsi="Bookman Old Style"/>
              </w:rPr>
            </w:pPr>
            <w:r w:rsidRPr="004A51CA">
              <w:rPr>
                <w:rFonts w:ascii="Bookman Old Style" w:hAnsi="Bookman Old Style"/>
                <w:sz w:val="22"/>
                <w:szCs w:val="22"/>
              </w:rPr>
              <w:t>1996</w:t>
            </w:r>
          </w:p>
        </w:tc>
        <w:tc>
          <w:tcPr>
            <w:tcW w:w="788" w:type="dxa"/>
            <w:shd w:val="pct12" w:color="auto" w:fill="DAEEF3"/>
          </w:tcPr>
          <w:p w:rsidR="009B0AFA" w:rsidRPr="004A51CA" w:rsidRDefault="009B0AFA" w:rsidP="00F51197">
            <w:pPr>
              <w:spacing w:line="480" w:lineRule="auto"/>
              <w:jc w:val="both"/>
              <w:rPr>
                <w:rFonts w:ascii="Bookman Old Style" w:hAnsi="Bookman Old Style"/>
              </w:rPr>
            </w:pPr>
            <w:r w:rsidRPr="004A51CA">
              <w:rPr>
                <w:rFonts w:ascii="Bookman Old Style" w:hAnsi="Bookman Old Style"/>
                <w:sz w:val="22"/>
                <w:szCs w:val="22"/>
              </w:rPr>
              <w:t>1997</w:t>
            </w:r>
          </w:p>
        </w:tc>
        <w:tc>
          <w:tcPr>
            <w:tcW w:w="816" w:type="dxa"/>
            <w:shd w:val="pct12" w:color="auto" w:fill="DAEEF3"/>
          </w:tcPr>
          <w:p w:rsidR="009B0AFA" w:rsidRPr="004A51CA" w:rsidRDefault="009B0AFA" w:rsidP="00F51197">
            <w:pPr>
              <w:spacing w:line="480" w:lineRule="auto"/>
              <w:jc w:val="both"/>
              <w:rPr>
                <w:rFonts w:ascii="Bookman Old Style" w:hAnsi="Bookman Old Style"/>
              </w:rPr>
            </w:pPr>
            <w:r w:rsidRPr="004A51CA">
              <w:rPr>
                <w:rFonts w:ascii="Bookman Old Style" w:hAnsi="Bookman Old Style"/>
                <w:sz w:val="22"/>
                <w:szCs w:val="22"/>
              </w:rPr>
              <w:t>1998</w:t>
            </w:r>
          </w:p>
        </w:tc>
        <w:tc>
          <w:tcPr>
            <w:tcW w:w="816" w:type="dxa"/>
            <w:shd w:val="pct12" w:color="auto" w:fill="DAEEF3"/>
          </w:tcPr>
          <w:p w:rsidR="009B0AFA" w:rsidRPr="004A51CA" w:rsidRDefault="009B0AFA" w:rsidP="00F51197">
            <w:pPr>
              <w:spacing w:line="480" w:lineRule="auto"/>
              <w:jc w:val="both"/>
              <w:rPr>
                <w:rFonts w:ascii="Bookman Old Style" w:hAnsi="Bookman Old Style"/>
              </w:rPr>
            </w:pPr>
            <w:r w:rsidRPr="004A51CA">
              <w:rPr>
                <w:rFonts w:ascii="Bookman Old Style" w:hAnsi="Bookman Old Style"/>
                <w:sz w:val="22"/>
                <w:szCs w:val="22"/>
              </w:rPr>
              <w:t>1999</w:t>
            </w:r>
          </w:p>
        </w:tc>
      </w:tr>
      <w:tr w:rsidR="009B0AFA" w:rsidRPr="00032CD0" w:rsidTr="00196209">
        <w:tc>
          <w:tcPr>
            <w:tcW w:w="3348" w:type="dxa"/>
          </w:tcPr>
          <w:p w:rsidR="009B0AFA" w:rsidRPr="00032CD0" w:rsidRDefault="009B0AFA" w:rsidP="00F51197">
            <w:pPr>
              <w:spacing w:line="480" w:lineRule="auto"/>
              <w:rPr>
                <w:sz w:val="20"/>
                <w:szCs w:val="20"/>
              </w:rPr>
            </w:pPr>
            <w:r w:rsidRPr="00032CD0">
              <w:rPr>
                <w:sz w:val="20"/>
                <w:szCs w:val="20"/>
              </w:rPr>
              <w:t>IDA</w:t>
            </w:r>
          </w:p>
          <w:p w:rsidR="009B0AFA" w:rsidRPr="00032CD0" w:rsidRDefault="009B0AFA" w:rsidP="00F51197">
            <w:pPr>
              <w:spacing w:line="480" w:lineRule="auto"/>
              <w:rPr>
                <w:sz w:val="20"/>
                <w:szCs w:val="20"/>
              </w:rPr>
            </w:pPr>
            <w:r w:rsidRPr="00032CD0">
              <w:rPr>
                <w:sz w:val="20"/>
                <w:szCs w:val="20"/>
              </w:rPr>
              <w:t>Japon</w:t>
            </w:r>
          </w:p>
          <w:p w:rsidR="009B0AFA" w:rsidRPr="00032CD0" w:rsidRDefault="009B0AFA" w:rsidP="00F51197">
            <w:pPr>
              <w:spacing w:line="480" w:lineRule="auto"/>
              <w:rPr>
                <w:sz w:val="20"/>
                <w:szCs w:val="20"/>
              </w:rPr>
            </w:pPr>
            <w:r w:rsidRPr="00032CD0">
              <w:rPr>
                <w:sz w:val="20"/>
                <w:szCs w:val="20"/>
              </w:rPr>
              <w:t>Italie</w:t>
            </w:r>
          </w:p>
          <w:p w:rsidR="009B0AFA" w:rsidRPr="00032CD0" w:rsidRDefault="009B0AFA" w:rsidP="00F51197">
            <w:pPr>
              <w:spacing w:line="480" w:lineRule="auto"/>
              <w:rPr>
                <w:sz w:val="20"/>
                <w:szCs w:val="20"/>
              </w:rPr>
            </w:pPr>
            <w:r w:rsidRPr="00032CD0">
              <w:rPr>
                <w:sz w:val="20"/>
                <w:szCs w:val="20"/>
              </w:rPr>
              <w:t>Chine</w:t>
            </w:r>
          </w:p>
          <w:p w:rsidR="009B0AFA" w:rsidRPr="00032CD0" w:rsidRDefault="009B0AFA" w:rsidP="00F51197">
            <w:pPr>
              <w:spacing w:line="480" w:lineRule="auto"/>
              <w:rPr>
                <w:sz w:val="20"/>
                <w:szCs w:val="20"/>
              </w:rPr>
            </w:pPr>
            <w:r w:rsidRPr="00032CD0">
              <w:rPr>
                <w:sz w:val="20"/>
                <w:szCs w:val="20"/>
              </w:rPr>
              <w:t>Banque africaine de développement</w:t>
            </w:r>
          </w:p>
          <w:p w:rsidR="009B0AFA" w:rsidRPr="00032CD0" w:rsidRDefault="009B0AFA" w:rsidP="00F51197">
            <w:pPr>
              <w:spacing w:line="480" w:lineRule="auto"/>
              <w:rPr>
                <w:sz w:val="20"/>
                <w:szCs w:val="20"/>
              </w:rPr>
            </w:pPr>
            <w:r w:rsidRPr="00032CD0">
              <w:rPr>
                <w:sz w:val="20"/>
                <w:szCs w:val="20"/>
              </w:rPr>
              <w:t>Banque islamique de développement</w:t>
            </w:r>
          </w:p>
          <w:p w:rsidR="009B0AFA" w:rsidRPr="00032CD0" w:rsidRDefault="009B0AFA" w:rsidP="00F51197">
            <w:pPr>
              <w:spacing w:line="480" w:lineRule="auto"/>
              <w:rPr>
                <w:sz w:val="20"/>
                <w:szCs w:val="20"/>
              </w:rPr>
            </w:pPr>
            <w:r w:rsidRPr="00032CD0">
              <w:rPr>
                <w:sz w:val="20"/>
                <w:szCs w:val="20"/>
              </w:rPr>
              <w:t>Banque européenne de développement</w:t>
            </w:r>
          </w:p>
          <w:p w:rsidR="009B0AFA" w:rsidRPr="00032CD0" w:rsidRDefault="009B0AFA" w:rsidP="00F51197">
            <w:pPr>
              <w:spacing w:line="480" w:lineRule="auto"/>
              <w:rPr>
                <w:sz w:val="20"/>
                <w:szCs w:val="20"/>
              </w:rPr>
            </w:pPr>
            <w:r w:rsidRPr="00032CD0">
              <w:rPr>
                <w:sz w:val="20"/>
                <w:szCs w:val="20"/>
              </w:rPr>
              <w:t>France</w:t>
            </w:r>
          </w:p>
          <w:p w:rsidR="009B0AFA" w:rsidRPr="00032CD0" w:rsidRDefault="009B0AFA" w:rsidP="00F51197">
            <w:pPr>
              <w:spacing w:line="480" w:lineRule="auto"/>
              <w:rPr>
                <w:sz w:val="20"/>
                <w:szCs w:val="20"/>
              </w:rPr>
            </w:pPr>
            <w:r w:rsidRPr="00032CD0">
              <w:rPr>
                <w:sz w:val="20"/>
                <w:szCs w:val="20"/>
              </w:rPr>
              <w:t>Fonds arabes pour le développement économique et social</w:t>
            </w:r>
          </w:p>
          <w:p w:rsidR="009B0AFA" w:rsidRPr="00032CD0" w:rsidRDefault="009B0AFA" w:rsidP="00F51197">
            <w:pPr>
              <w:spacing w:line="480" w:lineRule="auto"/>
              <w:rPr>
                <w:sz w:val="20"/>
                <w:szCs w:val="20"/>
              </w:rPr>
            </w:pPr>
            <w:r w:rsidRPr="00032CD0">
              <w:rPr>
                <w:sz w:val="20"/>
                <w:szCs w:val="20"/>
              </w:rPr>
              <w:t>Fonds koweitien pour le développement</w:t>
            </w:r>
          </w:p>
          <w:p w:rsidR="009B0AFA" w:rsidRPr="00032CD0" w:rsidRDefault="009B0AFA" w:rsidP="00F51197">
            <w:pPr>
              <w:spacing w:line="480" w:lineRule="auto"/>
              <w:rPr>
                <w:sz w:val="20"/>
                <w:szCs w:val="20"/>
              </w:rPr>
            </w:pPr>
            <w:r w:rsidRPr="00032CD0">
              <w:rPr>
                <w:sz w:val="20"/>
                <w:szCs w:val="20"/>
              </w:rPr>
              <w:t>Fonds saoudien pour le développement</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p>
        </w:tc>
        <w:tc>
          <w:tcPr>
            <w:tcW w:w="756" w:type="dxa"/>
          </w:tcPr>
          <w:p w:rsidR="009B0AFA" w:rsidRPr="00032CD0" w:rsidRDefault="009B0AFA" w:rsidP="00F51197">
            <w:pPr>
              <w:spacing w:line="480" w:lineRule="auto"/>
              <w:rPr>
                <w:sz w:val="20"/>
                <w:szCs w:val="20"/>
              </w:rPr>
            </w:pPr>
            <w:r w:rsidRPr="00032CD0">
              <w:rPr>
                <w:sz w:val="20"/>
                <w:szCs w:val="20"/>
              </w:rPr>
              <w:t xml:space="preserve"> 713</w:t>
            </w:r>
          </w:p>
          <w:p w:rsidR="009B0AFA" w:rsidRPr="00032CD0" w:rsidRDefault="009B0AFA" w:rsidP="00F51197">
            <w:pPr>
              <w:spacing w:line="480" w:lineRule="auto"/>
              <w:rPr>
                <w:sz w:val="20"/>
                <w:szCs w:val="20"/>
              </w:rPr>
            </w:pPr>
            <w:r w:rsidRPr="00032CD0">
              <w:rPr>
                <w:sz w:val="20"/>
                <w:szCs w:val="20"/>
              </w:rPr>
              <w:t>1728</w:t>
            </w:r>
          </w:p>
          <w:p w:rsidR="009B0AFA" w:rsidRPr="00032CD0" w:rsidRDefault="009B0AFA" w:rsidP="00F51197">
            <w:pPr>
              <w:spacing w:line="480" w:lineRule="auto"/>
              <w:rPr>
                <w:sz w:val="20"/>
                <w:szCs w:val="20"/>
              </w:rPr>
            </w:pPr>
            <w:r w:rsidRPr="00032CD0">
              <w:rPr>
                <w:sz w:val="20"/>
                <w:szCs w:val="20"/>
              </w:rPr>
              <w:t>3602</w:t>
            </w:r>
          </w:p>
          <w:p w:rsidR="009B0AFA" w:rsidRPr="00032CD0" w:rsidRDefault="009B0AFA" w:rsidP="00F51197">
            <w:pPr>
              <w:spacing w:line="480" w:lineRule="auto"/>
              <w:rPr>
                <w:sz w:val="20"/>
                <w:szCs w:val="20"/>
              </w:rPr>
            </w:pPr>
            <w:r w:rsidRPr="00032CD0">
              <w:rPr>
                <w:sz w:val="20"/>
                <w:szCs w:val="20"/>
              </w:rPr>
              <w:t xml:space="preserve"> 802</w:t>
            </w:r>
          </w:p>
          <w:p w:rsidR="009B0AFA" w:rsidRPr="00032CD0" w:rsidRDefault="009B0AFA" w:rsidP="00F51197">
            <w:pPr>
              <w:spacing w:line="480" w:lineRule="auto"/>
              <w:rPr>
                <w:sz w:val="20"/>
                <w:szCs w:val="20"/>
              </w:rPr>
            </w:pPr>
            <w:r w:rsidRPr="00032CD0">
              <w:rPr>
                <w:sz w:val="20"/>
                <w:szCs w:val="20"/>
              </w:rPr>
              <w:t>1685</w:t>
            </w:r>
          </w:p>
          <w:p w:rsidR="009B0AFA" w:rsidRPr="00032CD0" w:rsidRDefault="009B0AFA" w:rsidP="00F51197">
            <w:pPr>
              <w:spacing w:line="480" w:lineRule="auto"/>
              <w:rPr>
                <w:sz w:val="20"/>
                <w:szCs w:val="20"/>
              </w:rPr>
            </w:pPr>
            <w:r w:rsidRPr="00032CD0">
              <w:rPr>
                <w:sz w:val="20"/>
                <w:szCs w:val="20"/>
              </w:rPr>
              <w:t xml:space="preserve">   13</w:t>
            </w:r>
          </w:p>
          <w:p w:rsidR="009B0AFA" w:rsidRPr="00032CD0" w:rsidRDefault="009B0AFA" w:rsidP="00F51197">
            <w:pPr>
              <w:spacing w:line="480" w:lineRule="auto"/>
              <w:rPr>
                <w:sz w:val="20"/>
                <w:szCs w:val="20"/>
              </w:rPr>
            </w:pPr>
            <w:r w:rsidRPr="00032CD0">
              <w:rPr>
                <w:sz w:val="20"/>
                <w:szCs w:val="20"/>
              </w:rPr>
              <w:t>608</w:t>
            </w:r>
          </w:p>
          <w:p w:rsidR="009B0AFA" w:rsidRPr="00032CD0" w:rsidRDefault="009B0AFA" w:rsidP="00F51197">
            <w:pPr>
              <w:spacing w:line="480" w:lineRule="auto"/>
              <w:rPr>
                <w:sz w:val="20"/>
                <w:szCs w:val="20"/>
              </w:rPr>
            </w:pPr>
            <w:r w:rsidRPr="00032CD0">
              <w:rPr>
                <w:sz w:val="20"/>
                <w:szCs w:val="20"/>
              </w:rPr>
              <w:t>4142</w:t>
            </w:r>
          </w:p>
          <w:p w:rsidR="009B0AFA" w:rsidRPr="00032CD0" w:rsidRDefault="009B0AFA" w:rsidP="00F51197">
            <w:pPr>
              <w:spacing w:line="480" w:lineRule="auto"/>
              <w:rPr>
                <w:sz w:val="20"/>
                <w:szCs w:val="20"/>
              </w:rPr>
            </w:pPr>
            <w:r w:rsidRPr="00032CD0">
              <w:rPr>
                <w:sz w:val="20"/>
                <w:szCs w:val="20"/>
              </w:rPr>
              <w:t>618</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853</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879</w:t>
            </w:r>
          </w:p>
        </w:tc>
        <w:tc>
          <w:tcPr>
            <w:tcW w:w="864" w:type="dxa"/>
          </w:tcPr>
          <w:p w:rsidR="009B0AFA" w:rsidRPr="00032CD0" w:rsidRDefault="009B0AFA" w:rsidP="00F51197">
            <w:pPr>
              <w:spacing w:line="480" w:lineRule="auto"/>
              <w:rPr>
                <w:sz w:val="20"/>
                <w:szCs w:val="20"/>
              </w:rPr>
            </w:pPr>
            <w:r w:rsidRPr="00032CD0">
              <w:rPr>
                <w:sz w:val="20"/>
                <w:szCs w:val="20"/>
              </w:rPr>
              <w:t xml:space="preserve"> 158</w:t>
            </w:r>
          </w:p>
          <w:p w:rsidR="009B0AFA" w:rsidRPr="00032CD0" w:rsidRDefault="009B0AFA" w:rsidP="00F51197">
            <w:pPr>
              <w:spacing w:line="480" w:lineRule="auto"/>
              <w:rPr>
                <w:sz w:val="20"/>
                <w:szCs w:val="20"/>
              </w:rPr>
            </w:pPr>
            <w:r w:rsidRPr="00032CD0">
              <w:rPr>
                <w:sz w:val="20"/>
                <w:szCs w:val="20"/>
              </w:rPr>
              <w:t>2307</w:t>
            </w:r>
          </w:p>
          <w:p w:rsidR="009B0AFA" w:rsidRPr="00032CD0" w:rsidRDefault="009B0AFA" w:rsidP="00F51197">
            <w:pPr>
              <w:spacing w:line="480" w:lineRule="auto"/>
              <w:rPr>
                <w:sz w:val="20"/>
                <w:szCs w:val="20"/>
              </w:rPr>
            </w:pPr>
            <w:r w:rsidRPr="00032CD0">
              <w:rPr>
                <w:sz w:val="20"/>
                <w:szCs w:val="20"/>
              </w:rPr>
              <w:t>3254</w:t>
            </w:r>
          </w:p>
          <w:p w:rsidR="009B0AFA" w:rsidRPr="00032CD0" w:rsidRDefault="009B0AFA" w:rsidP="00F51197">
            <w:pPr>
              <w:spacing w:line="480" w:lineRule="auto"/>
              <w:rPr>
                <w:sz w:val="20"/>
                <w:szCs w:val="20"/>
              </w:rPr>
            </w:pPr>
            <w:r w:rsidRPr="00032CD0">
              <w:rPr>
                <w:sz w:val="20"/>
                <w:szCs w:val="20"/>
              </w:rPr>
              <w:t xml:space="preserve">  135</w:t>
            </w:r>
          </w:p>
          <w:p w:rsidR="009B0AFA" w:rsidRPr="00032CD0" w:rsidRDefault="009B0AFA" w:rsidP="00F51197">
            <w:pPr>
              <w:spacing w:line="480" w:lineRule="auto"/>
              <w:rPr>
                <w:sz w:val="20"/>
                <w:szCs w:val="20"/>
              </w:rPr>
            </w:pPr>
            <w:r w:rsidRPr="00032CD0">
              <w:rPr>
                <w:sz w:val="20"/>
                <w:szCs w:val="20"/>
              </w:rPr>
              <w:t>1485</w:t>
            </w:r>
          </w:p>
          <w:p w:rsidR="009B0AFA" w:rsidRPr="00032CD0" w:rsidRDefault="009B0AFA" w:rsidP="00F51197">
            <w:pPr>
              <w:spacing w:line="480" w:lineRule="auto"/>
              <w:rPr>
                <w:sz w:val="20"/>
                <w:szCs w:val="20"/>
              </w:rPr>
            </w:pPr>
            <w:r w:rsidRPr="00032CD0">
              <w:rPr>
                <w:sz w:val="20"/>
                <w:szCs w:val="20"/>
              </w:rPr>
              <w:t xml:space="preserve">     4</w:t>
            </w:r>
          </w:p>
          <w:p w:rsidR="009B0AFA" w:rsidRPr="00032CD0" w:rsidRDefault="009B0AFA" w:rsidP="00F51197">
            <w:pPr>
              <w:spacing w:line="480" w:lineRule="auto"/>
              <w:rPr>
                <w:sz w:val="20"/>
                <w:szCs w:val="20"/>
              </w:rPr>
            </w:pPr>
            <w:r w:rsidRPr="00032CD0">
              <w:rPr>
                <w:sz w:val="20"/>
                <w:szCs w:val="20"/>
              </w:rPr>
              <w:t>55</w:t>
            </w:r>
          </w:p>
          <w:p w:rsidR="009B0AFA" w:rsidRPr="00032CD0" w:rsidRDefault="009B0AFA" w:rsidP="00F51197">
            <w:pPr>
              <w:spacing w:line="480" w:lineRule="auto"/>
              <w:rPr>
                <w:sz w:val="20"/>
                <w:szCs w:val="20"/>
              </w:rPr>
            </w:pPr>
            <w:r w:rsidRPr="00032CD0">
              <w:rPr>
                <w:sz w:val="20"/>
                <w:szCs w:val="20"/>
              </w:rPr>
              <w:t>4223</w:t>
            </w:r>
          </w:p>
          <w:p w:rsidR="009B0AFA" w:rsidRPr="00032CD0" w:rsidRDefault="009B0AFA" w:rsidP="00F51197">
            <w:pPr>
              <w:spacing w:line="480" w:lineRule="auto"/>
              <w:rPr>
                <w:sz w:val="20"/>
                <w:szCs w:val="20"/>
              </w:rPr>
            </w:pPr>
            <w:r w:rsidRPr="00032CD0">
              <w:rPr>
                <w:sz w:val="20"/>
                <w:szCs w:val="20"/>
              </w:rPr>
              <w:t>447</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684</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784</w:t>
            </w:r>
          </w:p>
        </w:tc>
        <w:tc>
          <w:tcPr>
            <w:tcW w:w="720" w:type="dxa"/>
          </w:tcPr>
          <w:p w:rsidR="009B0AFA" w:rsidRPr="00032CD0" w:rsidRDefault="009B0AFA" w:rsidP="00F51197">
            <w:pPr>
              <w:spacing w:line="480" w:lineRule="auto"/>
              <w:rPr>
                <w:sz w:val="20"/>
                <w:szCs w:val="20"/>
              </w:rPr>
            </w:pPr>
            <w:r w:rsidRPr="00032CD0">
              <w:rPr>
                <w:sz w:val="20"/>
                <w:szCs w:val="20"/>
              </w:rPr>
              <w:t>466</w:t>
            </w:r>
          </w:p>
          <w:p w:rsidR="009B0AFA" w:rsidRPr="00032CD0" w:rsidRDefault="009B0AFA" w:rsidP="00F51197">
            <w:pPr>
              <w:spacing w:line="480" w:lineRule="auto"/>
              <w:rPr>
                <w:sz w:val="20"/>
                <w:szCs w:val="20"/>
              </w:rPr>
            </w:pPr>
            <w:r w:rsidRPr="00032CD0">
              <w:rPr>
                <w:sz w:val="20"/>
                <w:szCs w:val="20"/>
              </w:rPr>
              <w:t>2919</w:t>
            </w:r>
          </w:p>
          <w:p w:rsidR="009B0AFA" w:rsidRPr="00032CD0" w:rsidRDefault="009B0AFA" w:rsidP="00F51197">
            <w:pPr>
              <w:spacing w:line="480" w:lineRule="auto"/>
              <w:rPr>
                <w:sz w:val="20"/>
                <w:szCs w:val="20"/>
              </w:rPr>
            </w:pPr>
            <w:r w:rsidRPr="00032CD0">
              <w:rPr>
                <w:sz w:val="20"/>
                <w:szCs w:val="20"/>
              </w:rPr>
              <w:t>885</w:t>
            </w:r>
          </w:p>
          <w:p w:rsidR="009B0AFA" w:rsidRPr="00032CD0" w:rsidRDefault="009B0AFA" w:rsidP="00F51197">
            <w:pPr>
              <w:spacing w:line="480" w:lineRule="auto"/>
              <w:rPr>
                <w:sz w:val="20"/>
                <w:szCs w:val="20"/>
              </w:rPr>
            </w:pPr>
            <w:r w:rsidRPr="00032CD0">
              <w:rPr>
                <w:sz w:val="20"/>
                <w:szCs w:val="20"/>
              </w:rPr>
              <w:t>153</w:t>
            </w:r>
          </w:p>
          <w:p w:rsidR="009B0AFA" w:rsidRPr="00032CD0" w:rsidRDefault="009B0AFA" w:rsidP="00F51197">
            <w:pPr>
              <w:spacing w:line="480" w:lineRule="auto"/>
              <w:rPr>
                <w:sz w:val="20"/>
                <w:szCs w:val="20"/>
              </w:rPr>
            </w:pPr>
            <w:r w:rsidRPr="00032CD0">
              <w:rPr>
                <w:sz w:val="20"/>
                <w:szCs w:val="20"/>
              </w:rPr>
              <w:t>1635</w:t>
            </w:r>
          </w:p>
          <w:p w:rsidR="009B0AFA" w:rsidRPr="00032CD0" w:rsidRDefault="009B0AFA" w:rsidP="00F51197">
            <w:pPr>
              <w:spacing w:line="480" w:lineRule="auto"/>
              <w:rPr>
                <w:sz w:val="20"/>
                <w:szCs w:val="20"/>
              </w:rPr>
            </w:pPr>
            <w:r w:rsidRPr="00032CD0">
              <w:rPr>
                <w:sz w:val="20"/>
                <w:szCs w:val="20"/>
              </w:rPr>
              <w:t xml:space="preserve">   13</w:t>
            </w:r>
          </w:p>
          <w:p w:rsidR="009B0AFA" w:rsidRPr="00032CD0" w:rsidRDefault="009B0AFA" w:rsidP="00F51197">
            <w:pPr>
              <w:spacing w:line="480" w:lineRule="auto"/>
              <w:rPr>
                <w:sz w:val="20"/>
                <w:szCs w:val="20"/>
              </w:rPr>
            </w:pPr>
            <w:r w:rsidRPr="00032CD0">
              <w:rPr>
                <w:sz w:val="20"/>
                <w:szCs w:val="20"/>
              </w:rPr>
              <w:t>408</w:t>
            </w:r>
          </w:p>
          <w:p w:rsidR="009B0AFA" w:rsidRPr="00032CD0" w:rsidRDefault="009B0AFA" w:rsidP="00F51197">
            <w:pPr>
              <w:spacing w:line="480" w:lineRule="auto"/>
              <w:rPr>
                <w:sz w:val="20"/>
                <w:szCs w:val="20"/>
              </w:rPr>
            </w:pPr>
            <w:r w:rsidRPr="00032CD0">
              <w:rPr>
                <w:sz w:val="20"/>
                <w:szCs w:val="20"/>
              </w:rPr>
              <w:t>3852</w:t>
            </w:r>
          </w:p>
          <w:p w:rsidR="009B0AFA" w:rsidRPr="00032CD0" w:rsidRDefault="009B0AFA" w:rsidP="00F51197">
            <w:pPr>
              <w:spacing w:line="480" w:lineRule="auto"/>
              <w:rPr>
                <w:sz w:val="20"/>
                <w:szCs w:val="20"/>
              </w:rPr>
            </w:pPr>
            <w:r w:rsidRPr="00032CD0">
              <w:rPr>
                <w:sz w:val="20"/>
                <w:szCs w:val="20"/>
              </w:rPr>
              <w:t>0</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587</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883</w:t>
            </w:r>
          </w:p>
        </w:tc>
        <w:tc>
          <w:tcPr>
            <w:tcW w:w="720" w:type="dxa"/>
          </w:tcPr>
          <w:p w:rsidR="009B0AFA" w:rsidRPr="00032CD0" w:rsidRDefault="009B0AFA" w:rsidP="00F51197">
            <w:pPr>
              <w:spacing w:line="480" w:lineRule="auto"/>
              <w:rPr>
                <w:sz w:val="20"/>
                <w:szCs w:val="20"/>
              </w:rPr>
            </w:pPr>
            <w:r w:rsidRPr="00032CD0">
              <w:rPr>
                <w:sz w:val="20"/>
                <w:szCs w:val="20"/>
              </w:rPr>
              <w:t xml:space="preserve"> 470</w:t>
            </w:r>
          </w:p>
          <w:p w:rsidR="009B0AFA" w:rsidRPr="00032CD0" w:rsidRDefault="009B0AFA" w:rsidP="00F51197">
            <w:pPr>
              <w:spacing w:line="480" w:lineRule="auto"/>
              <w:rPr>
                <w:sz w:val="20"/>
                <w:szCs w:val="20"/>
              </w:rPr>
            </w:pPr>
            <w:r w:rsidRPr="00032CD0">
              <w:rPr>
                <w:sz w:val="20"/>
                <w:szCs w:val="20"/>
              </w:rPr>
              <w:t>2562</w:t>
            </w:r>
          </w:p>
          <w:p w:rsidR="009B0AFA" w:rsidRPr="00032CD0" w:rsidRDefault="009B0AFA" w:rsidP="00F51197">
            <w:pPr>
              <w:spacing w:line="480" w:lineRule="auto"/>
              <w:rPr>
                <w:sz w:val="20"/>
                <w:szCs w:val="20"/>
              </w:rPr>
            </w:pPr>
            <w:r w:rsidRPr="00032CD0">
              <w:rPr>
                <w:sz w:val="20"/>
                <w:szCs w:val="20"/>
              </w:rPr>
              <w:t xml:space="preserve">    71</w:t>
            </w:r>
          </w:p>
          <w:p w:rsidR="009B0AFA" w:rsidRPr="00032CD0" w:rsidRDefault="009B0AFA" w:rsidP="00F51197">
            <w:pPr>
              <w:spacing w:line="480" w:lineRule="auto"/>
              <w:rPr>
                <w:sz w:val="20"/>
                <w:szCs w:val="20"/>
              </w:rPr>
            </w:pPr>
            <w:r w:rsidRPr="00032CD0">
              <w:rPr>
                <w:sz w:val="20"/>
                <w:szCs w:val="20"/>
              </w:rPr>
              <w:t xml:space="preserve">  350</w:t>
            </w:r>
          </w:p>
          <w:p w:rsidR="009B0AFA" w:rsidRPr="00032CD0" w:rsidRDefault="009B0AFA" w:rsidP="00F51197">
            <w:pPr>
              <w:spacing w:line="480" w:lineRule="auto"/>
              <w:rPr>
                <w:sz w:val="20"/>
                <w:szCs w:val="20"/>
              </w:rPr>
            </w:pPr>
            <w:r w:rsidRPr="00032CD0">
              <w:rPr>
                <w:sz w:val="20"/>
                <w:szCs w:val="20"/>
              </w:rPr>
              <w:t>1577</w:t>
            </w:r>
          </w:p>
          <w:p w:rsidR="009B0AFA" w:rsidRPr="00032CD0" w:rsidRDefault="009B0AFA" w:rsidP="00F51197">
            <w:pPr>
              <w:spacing w:line="480" w:lineRule="auto"/>
              <w:rPr>
                <w:sz w:val="20"/>
                <w:szCs w:val="20"/>
              </w:rPr>
            </w:pPr>
            <w:r w:rsidRPr="00032CD0">
              <w:rPr>
                <w:sz w:val="20"/>
                <w:szCs w:val="20"/>
              </w:rPr>
              <w:t xml:space="preserve">  106</w:t>
            </w:r>
          </w:p>
          <w:p w:rsidR="009B0AFA" w:rsidRPr="00032CD0" w:rsidRDefault="009B0AFA" w:rsidP="00F51197">
            <w:pPr>
              <w:spacing w:line="480" w:lineRule="auto"/>
              <w:rPr>
                <w:sz w:val="20"/>
                <w:szCs w:val="20"/>
              </w:rPr>
            </w:pPr>
            <w:r w:rsidRPr="00032CD0">
              <w:rPr>
                <w:sz w:val="20"/>
                <w:szCs w:val="20"/>
              </w:rPr>
              <w:t>133</w:t>
            </w:r>
          </w:p>
          <w:p w:rsidR="009B0AFA" w:rsidRPr="00032CD0" w:rsidRDefault="009B0AFA" w:rsidP="00F51197">
            <w:pPr>
              <w:spacing w:line="480" w:lineRule="auto"/>
              <w:rPr>
                <w:sz w:val="20"/>
                <w:szCs w:val="20"/>
              </w:rPr>
            </w:pPr>
            <w:r w:rsidRPr="00032CD0">
              <w:rPr>
                <w:sz w:val="20"/>
                <w:szCs w:val="20"/>
              </w:rPr>
              <w:t>3802</w:t>
            </w:r>
          </w:p>
          <w:p w:rsidR="009B0AFA" w:rsidRPr="00032CD0" w:rsidRDefault="009B0AFA" w:rsidP="00F51197">
            <w:pPr>
              <w:spacing w:line="480" w:lineRule="auto"/>
              <w:rPr>
                <w:sz w:val="20"/>
                <w:szCs w:val="20"/>
              </w:rPr>
            </w:pPr>
            <w:r w:rsidRPr="00032CD0">
              <w:rPr>
                <w:sz w:val="20"/>
                <w:szCs w:val="20"/>
              </w:rPr>
              <w:t>0</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1170</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798</w:t>
            </w:r>
          </w:p>
        </w:tc>
        <w:tc>
          <w:tcPr>
            <w:tcW w:w="788" w:type="dxa"/>
          </w:tcPr>
          <w:p w:rsidR="009B0AFA" w:rsidRPr="00032CD0" w:rsidRDefault="009B0AFA" w:rsidP="00F51197">
            <w:pPr>
              <w:spacing w:line="480" w:lineRule="auto"/>
              <w:rPr>
                <w:sz w:val="20"/>
                <w:szCs w:val="20"/>
              </w:rPr>
            </w:pPr>
            <w:r w:rsidRPr="00032CD0">
              <w:rPr>
                <w:sz w:val="20"/>
                <w:szCs w:val="20"/>
              </w:rPr>
              <w:t>424</w:t>
            </w:r>
          </w:p>
          <w:p w:rsidR="009B0AFA" w:rsidRPr="00032CD0" w:rsidRDefault="009B0AFA" w:rsidP="00F51197">
            <w:pPr>
              <w:spacing w:line="480" w:lineRule="auto"/>
              <w:rPr>
                <w:sz w:val="20"/>
                <w:szCs w:val="20"/>
              </w:rPr>
            </w:pPr>
            <w:r w:rsidRPr="00032CD0">
              <w:rPr>
                <w:sz w:val="20"/>
                <w:szCs w:val="20"/>
              </w:rPr>
              <w:t>766</w:t>
            </w:r>
          </w:p>
          <w:p w:rsidR="009B0AFA" w:rsidRPr="00032CD0" w:rsidRDefault="009B0AFA" w:rsidP="00F51197">
            <w:pPr>
              <w:spacing w:line="480" w:lineRule="auto"/>
              <w:rPr>
                <w:sz w:val="20"/>
                <w:szCs w:val="20"/>
              </w:rPr>
            </w:pPr>
            <w:r w:rsidRPr="00032CD0">
              <w:rPr>
                <w:sz w:val="20"/>
                <w:szCs w:val="20"/>
              </w:rPr>
              <w:t>71</w:t>
            </w:r>
          </w:p>
          <w:p w:rsidR="009B0AFA" w:rsidRPr="00032CD0" w:rsidRDefault="009B0AFA" w:rsidP="00F51197">
            <w:pPr>
              <w:spacing w:line="480" w:lineRule="auto"/>
              <w:rPr>
                <w:sz w:val="20"/>
                <w:szCs w:val="20"/>
              </w:rPr>
            </w:pPr>
            <w:r w:rsidRPr="00032CD0">
              <w:rPr>
                <w:sz w:val="20"/>
                <w:szCs w:val="20"/>
              </w:rPr>
              <w:t>523</w:t>
            </w:r>
          </w:p>
          <w:p w:rsidR="009B0AFA" w:rsidRPr="00032CD0" w:rsidRDefault="009B0AFA" w:rsidP="00F51197">
            <w:pPr>
              <w:spacing w:line="480" w:lineRule="auto"/>
              <w:rPr>
                <w:sz w:val="20"/>
                <w:szCs w:val="20"/>
              </w:rPr>
            </w:pPr>
            <w:r w:rsidRPr="00032CD0">
              <w:rPr>
                <w:sz w:val="20"/>
                <w:szCs w:val="20"/>
              </w:rPr>
              <w:t>807</w:t>
            </w:r>
          </w:p>
          <w:p w:rsidR="009B0AFA" w:rsidRPr="00032CD0" w:rsidRDefault="009B0AFA" w:rsidP="00F51197">
            <w:pPr>
              <w:spacing w:line="480" w:lineRule="auto"/>
              <w:rPr>
                <w:sz w:val="20"/>
                <w:szCs w:val="20"/>
              </w:rPr>
            </w:pPr>
            <w:r w:rsidRPr="00032CD0">
              <w:rPr>
                <w:sz w:val="20"/>
                <w:szCs w:val="20"/>
              </w:rPr>
              <w:t>1129</w:t>
            </w:r>
          </w:p>
          <w:p w:rsidR="009B0AFA" w:rsidRPr="00032CD0" w:rsidRDefault="009B0AFA" w:rsidP="00F51197">
            <w:pPr>
              <w:spacing w:line="480" w:lineRule="auto"/>
              <w:rPr>
                <w:sz w:val="20"/>
                <w:szCs w:val="20"/>
              </w:rPr>
            </w:pPr>
            <w:r w:rsidRPr="00032CD0">
              <w:rPr>
                <w:sz w:val="20"/>
                <w:szCs w:val="20"/>
              </w:rPr>
              <w:t>548</w:t>
            </w:r>
          </w:p>
          <w:p w:rsidR="009B0AFA" w:rsidRPr="00032CD0" w:rsidRDefault="009B0AFA" w:rsidP="00F51197">
            <w:pPr>
              <w:spacing w:line="480" w:lineRule="auto"/>
              <w:rPr>
                <w:sz w:val="20"/>
                <w:szCs w:val="20"/>
              </w:rPr>
            </w:pPr>
            <w:r w:rsidRPr="00032CD0">
              <w:rPr>
                <w:sz w:val="20"/>
                <w:szCs w:val="20"/>
              </w:rPr>
              <w:t>5162</w:t>
            </w:r>
          </w:p>
          <w:p w:rsidR="009B0AFA" w:rsidRPr="00032CD0" w:rsidRDefault="009B0AFA" w:rsidP="00F51197">
            <w:pPr>
              <w:spacing w:line="480" w:lineRule="auto"/>
              <w:rPr>
                <w:sz w:val="20"/>
                <w:szCs w:val="20"/>
              </w:rPr>
            </w:pPr>
            <w:r w:rsidRPr="00032CD0">
              <w:rPr>
                <w:sz w:val="20"/>
                <w:szCs w:val="20"/>
              </w:rPr>
              <w:t>0</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296</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622</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p>
        </w:tc>
        <w:tc>
          <w:tcPr>
            <w:tcW w:w="816" w:type="dxa"/>
          </w:tcPr>
          <w:p w:rsidR="009B0AFA" w:rsidRPr="00032CD0" w:rsidRDefault="009B0AFA" w:rsidP="00F51197">
            <w:pPr>
              <w:spacing w:line="480" w:lineRule="auto"/>
              <w:rPr>
                <w:sz w:val="20"/>
                <w:szCs w:val="20"/>
              </w:rPr>
            </w:pPr>
            <w:r w:rsidRPr="00032CD0">
              <w:rPr>
                <w:sz w:val="20"/>
                <w:szCs w:val="20"/>
              </w:rPr>
              <w:t>507</w:t>
            </w:r>
          </w:p>
          <w:p w:rsidR="009B0AFA" w:rsidRPr="00032CD0" w:rsidRDefault="009B0AFA" w:rsidP="00F51197">
            <w:pPr>
              <w:spacing w:line="480" w:lineRule="auto"/>
              <w:rPr>
                <w:sz w:val="20"/>
                <w:szCs w:val="20"/>
              </w:rPr>
            </w:pPr>
            <w:r w:rsidRPr="00032CD0">
              <w:rPr>
                <w:sz w:val="20"/>
                <w:szCs w:val="20"/>
              </w:rPr>
              <w:t>2930</w:t>
            </w:r>
          </w:p>
          <w:p w:rsidR="009B0AFA" w:rsidRPr="00032CD0" w:rsidRDefault="009B0AFA" w:rsidP="00F51197">
            <w:pPr>
              <w:spacing w:line="480" w:lineRule="auto"/>
              <w:rPr>
                <w:sz w:val="20"/>
                <w:szCs w:val="20"/>
              </w:rPr>
            </w:pPr>
            <w:r w:rsidRPr="00032CD0">
              <w:rPr>
                <w:sz w:val="20"/>
                <w:szCs w:val="20"/>
              </w:rPr>
              <w:t>71</w:t>
            </w:r>
          </w:p>
          <w:p w:rsidR="009B0AFA" w:rsidRPr="00032CD0" w:rsidRDefault="009B0AFA" w:rsidP="00F51197">
            <w:pPr>
              <w:spacing w:line="480" w:lineRule="auto"/>
              <w:rPr>
                <w:sz w:val="20"/>
                <w:szCs w:val="20"/>
              </w:rPr>
            </w:pPr>
            <w:r w:rsidRPr="00032CD0">
              <w:rPr>
                <w:sz w:val="20"/>
                <w:szCs w:val="20"/>
              </w:rPr>
              <w:t>367</w:t>
            </w:r>
          </w:p>
          <w:p w:rsidR="009B0AFA" w:rsidRPr="00032CD0" w:rsidRDefault="009B0AFA" w:rsidP="00F51197">
            <w:pPr>
              <w:spacing w:line="480" w:lineRule="auto"/>
              <w:rPr>
                <w:sz w:val="20"/>
                <w:szCs w:val="20"/>
              </w:rPr>
            </w:pPr>
            <w:r w:rsidRPr="00032CD0">
              <w:rPr>
                <w:sz w:val="20"/>
                <w:szCs w:val="20"/>
              </w:rPr>
              <w:t>803</w:t>
            </w:r>
          </w:p>
          <w:p w:rsidR="009B0AFA" w:rsidRPr="00032CD0" w:rsidRDefault="009B0AFA" w:rsidP="00F51197">
            <w:pPr>
              <w:spacing w:line="480" w:lineRule="auto"/>
              <w:rPr>
                <w:sz w:val="20"/>
                <w:szCs w:val="20"/>
              </w:rPr>
            </w:pPr>
            <w:r w:rsidRPr="00032CD0">
              <w:rPr>
                <w:sz w:val="20"/>
                <w:szCs w:val="20"/>
              </w:rPr>
              <w:t>810</w:t>
            </w:r>
          </w:p>
          <w:p w:rsidR="009B0AFA" w:rsidRPr="00032CD0" w:rsidRDefault="009B0AFA" w:rsidP="00F51197">
            <w:pPr>
              <w:spacing w:line="480" w:lineRule="auto"/>
              <w:rPr>
                <w:sz w:val="20"/>
                <w:szCs w:val="20"/>
              </w:rPr>
            </w:pPr>
            <w:r w:rsidRPr="00032CD0">
              <w:rPr>
                <w:sz w:val="20"/>
                <w:szCs w:val="20"/>
              </w:rPr>
              <w:t>810</w:t>
            </w:r>
          </w:p>
          <w:p w:rsidR="009B0AFA" w:rsidRPr="00032CD0" w:rsidRDefault="009B0AFA" w:rsidP="00F51197">
            <w:pPr>
              <w:spacing w:line="480" w:lineRule="auto"/>
              <w:rPr>
                <w:sz w:val="20"/>
                <w:szCs w:val="20"/>
              </w:rPr>
            </w:pPr>
            <w:r w:rsidRPr="00032CD0">
              <w:rPr>
                <w:sz w:val="20"/>
                <w:szCs w:val="20"/>
              </w:rPr>
              <w:t>4831</w:t>
            </w:r>
          </w:p>
          <w:p w:rsidR="009B0AFA" w:rsidRPr="00032CD0" w:rsidRDefault="009B0AFA" w:rsidP="00F51197">
            <w:pPr>
              <w:spacing w:line="480" w:lineRule="auto"/>
              <w:rPr>
                <w:sz w:val="20"/>
                <w:szCs w:val="20"/>
              </w:rPr>
            </w:pPr>
            <w:r w:rsidRPr="00032CD0">
              <w:rPr>
                <w:sz w:val="20"/>
                <w:szCs w:val="20"/>
              </w:rPr>
              <w:t>300</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0</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638</w:t>
            </w:r>
          </w:p>
        </w:tc>
        <w:tc>
          <w:tcPr>
            <w:tcW w:w="816" w:type="dxa"/>
          </w:tcPr>
          <w:p w:rsidR="009B0AFA" w:rsidRPr="00032CD0" w:rsidRDefault="009B0AFA" w:rsidP="00F51197">
            <w:pPr>
              <w:spacing w:line="480" w:lineRule="auto"/>
              <w:rPr>
                <w:sz w:val="20"/>
                <w:szCs w:val="20"/>
              </w:rPr>
            </w:pPr>
            <w:r w:rsidRPr="00032CD0">
              <w:rPr>
                <w:sz w:val="20"/>
                <w:szCs w:val="20"/>
              </w:rPr>
              <w:t>267</w:t>
            </w:r>
          </w:p>
          <w:p w:rsidR="009B0AFA" w:rsidRPr="00032CD0" w:rsidRDefault="009B0AFA" w:rsidP="00F51197">
            <w:pPr>
              <w:spacing w:line="480" w:lineRule="auto"/>
              <w:rPr>
                <w:sz w:val="20"/>
                <w:szCs w:val="20"/>
              </w:rPr>
            </w:pPr>
            <w:r w:rsidRPr="00032CD0">
              <w:rPr>
                <w:sz w:val="20"/>
                <w:szCs w:val="20"/>
              </w:rPr>
              <w:t>267</w:t>
            </w:r>
          </w:p>
          <w:p w:rsidR="009B0AFA" w:rsidRPr="00032CD0" w:rsidRDefault="009B0AFA" w:rsidP="00F51197">
            <w:pPr>
              <w:spacing w:line="480" w:lineRule="auto"/>
              <w:rPr>
                <w:sz w:val="20"/>
                <w:szCs w:val="20"/>
              </w:rPr>
            </w:pPr>
            <w:r w:rsidRPr="00032CD0">
              <w:rPr>
                <w:sz w:val="20"/>
                <w:szCs w:val="20"/>
              </w:rPr>
              <w:t>90</w:t>
            </w:r>
          </w:p>
          <w:p w:rsidR="009B0AFA" w:rsidRPr="00032CD0" w:rsidRDefault="009B0AFA" w:rsidP="00F51197">
            <w:pPr>
              <w:spacing w:line="480" w:lineRule="auto"/>
              <w:rPr>
                <w:sz w:val="20"/>
                <w:szCs w:val="20"/>
              </w:rPr>
            </w:pPr>
            <w:r w:rsidRPr="00032CD0">
              <w:rPr>
                <w:sz w:val="20"/>
                <w:szCs w:val="20"/>
              </w:rPr>
              <w:t>279</w:t>
            </w:r>
          </w:p>
          <w:p w:rsidR="009B0AFA" w:rsidRPr="00032CD0" w:rsidRDefault="009B0AFA" w:rsidP="00F51197">
            <w:pPr>
              <w:spacing w:line="480" w:lineRule="auto"/>
              <w:rPr>
                <w:sz w:val="20"/>
                <w:szCs w:val="20"/>
              </w:rPr>
            </w:pPr>
            <w:r w:rsidRPr="00032CD0">
              <w:rPr>
                <w:sz w:val="20"/>
                <w:szCs w:val="20"/>
              </w:rPr>
              <w:t>338</w:t>
            </w:r>
          </w:p>
          <w:p w:rsidR="009B0AFA" w:rsidRPr="00032CD0" w:rsidRDefault="009B0AFA" w:rsidP="00F51197">
            <w:pPr>
              <w:spacing w:line="480" w:lineRule="auto"/>
              <w:rPr>
                <w:sz w:val="20"/>
                <w:szCs w:val="20"/>
              </w:rPr>
            </w:pPr>
            <w:r w:rsidRPr="00032CD0">
              <w:rPr>
                <w:sz w:val="20"/>
                <w:szCs w:val="20"/>
              </w:rPr>
              <w:t>64</w:t>
            </w:r>
          </w:p>
          <w:p w:rsidR="009B0AFA" w:rsidRPr="00032CD0" w:rsidRDefault="009B0AFA" w:rsidP="00F51197">
            <w:pPr>
              <w:spacing w:line="480" w:lineRule="auto"/>
              <w:rPr>
                <w:sz w:val="20"/>
                <w:szCs w:val="20"/>
              </w:rPr>
            </w:pPr>
            <w:r w:rsidRPr="00032CD0">
              <w:rPr>
                <w:sz w:val="20"/>
                <w:szCs w:val="20"/>
              </w:rPr>
              <w:t>64</w:t>
            </w:r>
          </w:p>
          <w:p w:rsidR="009B0AFA" w:rsidRPr="00032CD0" w:rsidRDefault="009B0AFA" w:rsidP="00F51197">
            <w:pPr>
              <w:spacing w:line="480" w:lineRule="auto"/>
              <w:rPr>
                <w:sz w:val="20"/>
                <w:szCs w:val="20"/>
              </w:rPr>
            </w:pPr>
            <w:r w:rsidRPr="00032CD0">
              <w:rPr>
                <w:sz w:val="20"/>
                <w:szCs w:val="20"/>
              </w:rPr>
              <w:t>3291</w:t>
            </w:r>
          </w:p>
          <w:p w:rsidR="009B0AFA" w:rsidRPr="00032CD0" w:rsidRDefault="009B0AFA" w:rsidP="00F51197">
            <w:pPr>
              <w:spacing w:line="480" w:lineRule="auto"/>
              <w:rPr>
                <w:sz w:val="20"/>
                <w:szCs w:val="20"/>
              </w:rPr>
            </w:pPr>
            <w:r w:rsidRPr="00032CD0">
              <w:rPr>
                <w:sz w:val="20"/>
                <w:szCs w:val="20"/>
              </w:rPr>
              <w:t>1365</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84</w:t>
            </w:r>
          </w:p>
          <w:p w:rsidR="009B0AFA" w:rsidRPr="00032CD0" w:rsidRDefault="009B0AFA" w:rsidP="00F51197">
            <w:pPr>
              <w:spacing w:line="480" w:lineRule="auto"/>
              <w:rPr>
                <w:sz w:val="20"/>
                <w:szCs w:val="20"/>
              </w:rPr>
            </w:pPr>
          </w:p>
          <w:p w:rsidR="009B0AFA" w:rsidRPr="00032CD0" w:rsidRDefault="009B0AFA" w:rsidP="00F51197">
            <w:pPr>
              <w:spacing w:line="480" w:lineRule="auto"/>
              <w:rPr>
                <w:sz w:val="20"/>
                <w:szCs w:val="20"/>
              </w:rPr>
            </w:pPr>
            <w:r w:rsidRPr="00032CD0">
              <w:rPr>
                <w:sz w:val="20"/>
                <w:szCs w:val="20"/>
              </w:rPr>
              <w:t>262</w:t>
            </w:r>
          </w:p>
          <w:p w:rsidR="009B0AFA" w:rsidRPr="00032CD0" w:rsidRDefault="009B0AFA" w:rsidP="00F51197">
            <w:pPr>
              <w:spacing w:line="480" w:lineRule="auto"/>
              <w:rPr>
                <w:sz w:val="20"/>
                <w:szCs w:val="20"/>
              </w:rPr>
            </w:pPr>
          </w:p>
        </w:tc>
      </w:tr>
      <w:tr w:rsidR="009B0AFA" w:rsidRPr="00FD0093" w:rsidTr="00196209">
        <w:tc>
          <w:tcPr>
            <w:tcW w:w="3348" w:type="dxa"/>
          </w:tcPr>
          <w:p w:rsidR="009B0AFA" w:rsidRPr="00FD0093" w:rsidRDefault="009B0AFA" w:rsidP="00F51197">
            <w:pPr>
              <w:spacing w:line="480" w:lineRule="auto"/>
            </w:pPr>
            <w:r w:rsidRPr="00FD0093">
              <w:rPr>
                <w:sz w:val="22"/>
                <w:szCs w:val="22"/>
              </w:rPr>
              <w:lastRenderedPageBreak/>
              <w:t xml:space="preserve">Total </w:t>
            </w:r>
          </w:p>
        </w:tc>
        <w:tc>
          <w:tcPr>
            <w:tcW w:w="756" w:type="dxa"/>
          </w:tcPr>
          <w:p w:rsidR="009B0AFA" w:rsidRPr="00FD0093" w:rsidRDefault="009B0AFA" w:rsidP="00F51197">
            <w:pPr>
              <w:spacing w:line="480" w:lineRule="auto"/>
            </w:pPr>
            <w:r w:rsidRPr="00FD0093">
              <w:rPr>
                <w:sz w:val="22"/>
                <w:szCs w:val="22"/>
              </w:rPr>
              <w:t>15643</w:t>
            </w:r>
          </w:p>
        </w:tc>
        <w:tc>
          <w:tcPr>
            <w:tcW w:w="864" w:type="dxa"/>
          </w:tcPr>
          <w:p w:rsidR="009B0AFA" w:rsidRPr="00FD0093" w:rsidRDefault="009B0AFA" w:rsidP="00F51197">
            <w:pPr>
              <w:spacing w:line="480" w:lineRule="auto"/>
            </w:pPr>
            <w:r w:rsidRPr="00FD0093">
              <w:rPr>
                <w:sz w:val="22"/>
                <w:szCs w:val="22"/>
              </w:rPr>
              <w:t>13536</w:t>
            </w:r>
          </w:p>
        </w:tc>
        <w:tc>
          <w:tcPr>
            <w:tcW w:w="720" w:type="dxa"/>
          </w:tcPr>
          <w:p w:rsidR="009B0AFA" w:rsidRPr="00FD0093" w:rsidRDefault="009B0AFA" w:rsidP="00F51197">
            <w:pPr>
              <w:spacing w:line="480" w:lineRule="auto"/>
            </w:pPr>
            <w:r w:rsidRPr="00FD0093">
              <w:rPr>
                <w:sz w:val="22"/>
                <w:szCs w:val="22"/>
              </w:rPr>
              <w:t>11801</w:t>
            </w:r>
          </w:p>
        </w:tc>
        <w:tc>
          <w:tcPr>
            <w:tcW w:w="720" w:type="dxa"/>
          </w:tcPr>
          <w:p w:rsidR="009B0AFA" w:rsidRPr="00FD0093" w:rsidRDefault="009B0AFA" w:rsidP="00F51197">
            <w:pPr>
              <w:spacing w:line="480" w:lineRule="auto"/>
            </w:pPr>
            <w:r w:rsidRPr="00FD0093">
              <w:rPr>
                <w:sz w:val="22"/>
                <w:szCs w:val="22"/>
              </w:rPr>
              <w:t>11039</w:t>
            </w:r>
          </w:p>
        </w:tc>
        <w:tc>
          <w:tcPr>
            <w:tcW w:w="788" w:type="dxa"/>
          </w:tcPr>
          <w:p w:rsidR="009B0AFA" w:rsidRPr="00FD0093" w:rsidRDefault="009B0AFA" w:rsidP="00F51197">
            <w:pPr>
              <w:spacing w:line="480" w:lineRule="auto"/>
            </w:pPr>
            <w:r w:rsidRPr="00FD0093">
              <w:rPr>
                <w:sz w:val="22"/>
                <w:szCs w:val="22"/>
              </w:rPr>
              <w:t>10349</w:t>
            </w:r>
          </w:p>
        </w:tc>
        <w:tc>
          <w:tcPr>
            <w:tcW w:w="816" w:type="dxa"/>
          </w:tcPr>
          <w:p w:rsidR="009B0AFA" w:rsidRPr="00FD0093" w:rsidRDefault="009B0AFA" w:rsidP="00F51197">
            <w:pPr>
              <w:spacing w:line="480" w:lineRule="auto"/>
            </w:pPr>
            <w:r w:rsidRPr="00FD0093">
              <w:rPr>
                <w:sz w:val="22"/>
                <w:szCs w:val="22"/>
              </w:rPr>
              <w:t>11498</w:t>
            </w:r>
          </w:p>
        </w:tc>
        <w:tc>
          <w:tcPr>
            <w:tcW w:w="816" w:type="dxa"/>
          </w:tcPr>
          <w:p w:rsidR="009B0AFA" w:rsidRPr="00FD0093" w:rsidRDefault="009B0AFA" w:rsidP="00F51197">
            <w:pPr>
              <w:spacing w:line="480" w:lineRule="auto"/>
            </w:pPr>
            <w:r w:rsidRPr="00FD0093">
              <w:rPr>
                <w:sz w:val="22"/>
                <w:szCs w:val="22"/>
              </w:rPr>
              <w:t>6500</w:t>
            </w:r>
          </w:p>
        </w:tc>
      </w:tr>
    </w:tbl>
    <w:p w:rsidR="009B0AFA" w:rsidRPr="00F761A0" w:rsidRDefault="009B0AFA" w:rsidP="00F51197">
      <w:pPr>
        <w:spacing w:line="480" w:lineRule="auto"/>
        <w:jc w:val="center"/>
        <w:rPr>
          <w:sz w:val="20"/>
          <w:szCs w:val="20"/>
        </w:rPr>
      </w:pPr>
    </w:p>
    <w:p w:rsidR="009B0AFA" w:rsidRPr="004A51CA" w:rsidRDefault="009B0AFA" w:rsidP="00F51197">
      <w:pPr>
        <w:spacing w:line="480" w:lineRule="auto"/>
        <w:jc w:val="both"/>
        <w:rPr>
          <w:rFonts w:ascii="Bookman Old Style" w:hAnsi="Bookman Old Style"/>
          <w:sz w:val="22"/>
          <w:szCs w:val="22"/>
        </w:rPr>
      </w:pPr>
      <w:r w:rsidRPr="004A51CA">
        <w:rPr>
          <w:rFonts w:ascii="Bookman Old Style" w:hAnsi="Bookman Old Style"/>
          <w:sz w:val="22"/>
          <w:szCs w:val="22"/>
        </w:rPr>
        <w:t xml:space="preserve">Source : </w:t>
      </w:r>
      <w:r>
        <w:rPr>
          <w:rFonts w:ascii="Bookman Old Style" w:hAnsi="Bookman Old Style"/>
          <w:sz w:val="22"/>
          <w:szCs w:val="22"/>
        </w:rPr>
        <w:t>Ministère de l’Economie et des F</w:t>
      </w:r>
      <w:r w:rsidRPr="004A51CA">
        <w:rPr>
          <w:rFonts w:ascii="Bookman Old Style" w:hAnsi="Bookman Old Style"/>
          <w:sz w:val="22"/>
          <w:szCs w:val="22"/>
        </w:rPr>
        <w:t>inances, Djibouti 2004 : Bilan de 1999 à 2004.</w:t>
      </w:r>
    </w:p>
    <w:p w:rsidR="009B0AFA" w:rsidRDefault="009B0AFA" w:rsidP="00F51197">
      <w:pPr>
        <w:spacing w:line="480" w:lineRule="auto"/>
        <w:jc w:val="both"/>
        <w:rPr>
          <w:rFonts w:ascii="Bookman Old Style" w:hAnsi="Bookman Old Style"/>
          <w:sz w:val="20"/>
          <w:szCs w:val="20"/>
        </w:rPr>
      </w:pPr>
    </w:p>
    <w:p w:rsidR="009B0AFA" w:rsidRPr="00261F32" w:rsidRDefault="009B0AFA" w:rsidP="00F51197">
      <w:pPr>
        <w:spacing w:line="480" w:lineRule="auto"/>
        <w:jc w:val="both"/>
        <w:rPr>
          <w:rFonts w:ascii="Bookman Old Style" w:hAnsi="Bookman Old Style"/>
          <w:sz w:val="20"/>
          <w:szCs w:val="20"/>
        </w:rPr>
      </w:pPr>
    </w:p>
    <w:p w:rsidR="009B0AFA" w:rsidRDefault="009B0AFA" w:rsidP="00F51197">
      <w:pPr>
        <w:spacing w:line="480" w:lineRule="auto"/>
        <w:ind w:firstLine="706"/>
        <w:jc w:val="both"/>
        <w:rPr>
          <w:rFonts w:ascii="Bookman Old Style" w:hAnsi="Bookman Old Style"/>
        </w:rPr>
      </w:pPr>
      <w:r w:rsidRPr="005114BF">
        <w:rPr>
          <w:rFonts w:ascii="Bookman Old Style" w:hAnsi="Bookman Old Style"/>
        </w:rPr>
        <w:t>En tant que pet</w:t>
      </w:r>
      <w:r>
        <w:rPr>
          <w:rFonts w:ascii="Bookman Old Style" w:hAnsi="Bookman Old Style"/>
        </w:rPr>
        <w:t>it pays doté de</w:t>
      </w:r>
      <w:r w:rsidRPr="005114BF">
        <w:rPr>
          <w:rFonts w:ascii="Bookman Old Style" w:hAnsi="Bookman Old Style"/>
        </w:rPr>
        <w:t xml:space="preserve"> faibles ressources naturelles, Djibouti dépend de l’assistance extérieure. Plus de 50 % des dépenses publiques totales de Djibouti et plus de 84 % des dépenses d’équipements sont finan</w:t>
      </w:r>
      <w:r>
        <w:rPr>
          <w:rFonts w:ascii="Bookman Old Style" w:hAnsi="Bookman Old Style"/>
        </w:rPr>
        <w:t xml:space="preserve">cées par les bailleurs de fonds </w:t>
      </w:r>
      <w:r w:rsidRPr="005114BF">
        <w:rPr>
          <w:rFonts w:ascii="Bookman Old Style" w:hAnsi="Bookman Old Style"/>
        </w:rPr>
        <w:t>(Banque mondiale, 2006, p.23). Les transferts officiels sans contrepartie reçus par l’Et</w:t>
      </w:r>
      <w:r>
        <w:rPr>
          <w:rFonts w:ascii="Bookman Old Style" w:hAnsi="Bookman Old Style"/>
        </w:rPr>
        <w:t>at sont importants : « </w:t>
      </w:r>
      <w:r w:rsidRPr="00E71754">
        <w:rPr>
          <w:rFonts w:ascii="Bookman Old Style" w:hAnsi="Bookman Old Style"/>
          <w:i/>
        </w:rPr>
        <w:t>depuis l’indépendance, Djibouti reçoit en transferts sans contrepartie environ 100 dollars américains par an et par  habitant</w:t>
      </w:r>
      <w:r>
        <w:rPr>
          <w:rFonts w:ascii="Bookman Old Style" w:hAnsi="Bookman Old Style"/>
          <w:i/>
        </w:rPr>
        <w:t>s</w:t>
      </w:r>
      <w:r>
        <w:rPr>
          <w:rFonts w:ascii="Bookman Old Style" w:hAnsi="Bookman Old Style"/>
        </w:rPr>
        <w:t xml:space="preserve"> » (PNUD, 2004, p. 6) : </w:t>
      </w:r>
      <w:r w:rsidRPr="005114BF">
        <w:rPr>
          <w:rFonts w:ascii="Bookman Old Style" w:hAnsi="Bookman Old Style"/>
        </w:rPr>
        <w:t>Ces statistiques situent Djibouti sans doute parmi les</w:t>
      </w:r>
      <w:r>
        <w:rPr>
          <w:rFonts w:ascii="Bookman Old Style" w:hAnsi="Bookman Old Style"/>
        </w:rPr>
        <w:t xml:space="preserve"> plus</w:t>
      </w:r>
      <w:r w:rsidRPr="005114BF">
        <w:rPr>
          <w:rFonts w:ascii="Bookman Old Style" w:hAnsi="Bookman Old Style"/>
        </w:rPr>
        <w:t xml:space="preserve"> gros bénéficiaires par tête de l’as</w:t>
      </w:r>
      <w:r>
        <w:rPr>
          <w:rFonts w:ascii="Bookman Old Style" w:hAnsi="Bookman Old Style"/>
        </w:rPr>
        <w:t>sistance internationale, à</w:t>
      </w:r>
      <w:r w:rsidRPr="005114BF">
        <w:rPr>
          <w:rFonts w:ascii="Bookman Old Style" w:hAnsi="Bookman Old Style"/>
        </w:rPr>
        <w:t xml:space="preserve"> fortiori si l’on resserre l’analyse sur la catégorie des pays à revenu intermédiaire de la tranche inférieure. L’aide est principalement assurée par la France (dont un appui budgétaire), l’Italie, le Japon et les pays du Golfe (Arabie Saoudite, Koweït….).</w:t>
      </w:r>
      <w:r>
        <w:rPr>
          <w:rFonts w:ascii="Bookman Old Style" w:hAnsi="Bookman Old Style"/>
        </w:rPr>
        <w:t xml:space="preserve"> L</w:t>
      </w:r>
      <w:r w:rsidRPr="005114BF">
        <w:rPr>
          <w:rFonts w:ascii="Bookman Old Style" w:hAnsi="Bookman Old Style"/>
        </w:rPr>
        <w:t>es financements sont également axés sur les secteurs sociaux (éducation, santé) et les infrastructures.</w:t>
      </w:r>
      <w:r>
        <w:rPr>
          <w:rFonts w:ascii="Bookman Old Style" w:hAnsi="Bookman Old Style"/>
        </w:rPr>
        <w:t xml:space="preserve"> </w:t>
      </w:r>
      <w:r w:rsidRPr="005114BF">
        <w:rPr>
          <w:rFonts w:ascii="Bookman Old Style" w:hAnsi="Bookman Old Style"/>
        </w:rPr>
        <w:t>Cette forte présence de ressources extérieures a au moins le mérite de ne pas se traduire jusqu’ic</w:t>
      </w:r>
      <w:r>
        <w:rPr>
          <w:rFonts w:ascii="Bookman Old Style" w:hAnsi="Bookman Old Style"/>
        </w:rPr>
        <w:t xml:space="preserve">i par un endettement excessif. Le Gouvernement </w:t>
      </w:r>
      <w:r w:rsidRPr="005114BF">
        <w:rPr>
          <w:rFonts w:ascii="Bookman Old Style" w:hAnsi="Bookman Old Style"/>
        </w:rPr>
        <w:t xml:space="preserve">cherche à adopter une politique de gestion prudente de la dette. </w:t>
      </w:r>
      <w:r>
        <w:rPr>
          <w:rFonts w:ascii="Bookman Old Style" w:hAnsi="Bookman Old Style"/>
        </w:rPr>
        <w:t xml:space="preserve">A cette fin, il s’efforce </w:t>
      </w:r>
      <w:r w:rsidRPr="005114BF">
        <w:rPr>
          <w:rFonts w:ascii="Bookman Old Style" w:hAnsi="Bookman Old Style"/>
        </w:rPr>
        <w:t>de mobiliser l’assistance financière des bailleurs de fonds sous forme de dons ou de crédits très concessionnels à long terme</w:t>
      </w:r>
      <w:r>
        <w:rPr>
          <w:rFonts w:ascii="Bookman Old Style" w:hAnsi="Bookman Old Style"/>
        </w:rPr>
        <w:t xml:space="preserve">. </w:t>
      </w:r>
      <w:r w:rsidRPr="005114BF">
        <w:rPr>
          <w:rFonts w:ascii="Bookman Old Style" w:hAnsi="Bookman Old Style"/>
        </w:rPr>
        <w:t xml:space="preserve">Djibouti se trouve dans une situation où son faible </w:t>
      </w:r>
      <w:r>
        <w:rPr>
          <w:rFonts w:ascii="Bookman Old Style" w:hAnsi="Bookman Old Style"/>
        </w:rPr>
        <w:t>« </w:t>
      </w:r>
      <w:r w:rsidRPr="005114BF">
        <w:rPr>
          <w:rFonts w:ascii="Bookman Old Style" w:hAnsi="Bookman Old Style"/>
        </w:rPr>
        <w:t>ta</w:t>
      </w:r>
      <w:r>
        <w:rPr>
          <w:rFonts w:ascii="Bookman Old Style" w:hAnsi="Bookman Old Style"/>
        </w:rPr>
        <w:t xml:space="preserve">ux d’endettement » ne lui permet </w:t>
      </w:r>
      <w:r w:rsidRPr="005114BF">
        <w:rPr>
          <w:rFonts w:ascii="Bookman Old Style" w:hAnsi="Bookman Old Style"/>
        </w:rPr>
        <w:t xml:space="preserve">même pas </w:t>
      </w:r>
      <w:r>
        <w:rPr>
          <w:rFonts w:ascii="Bookman Old Style" w:hAnsi="Bookman Old Style"/>
        </w:rPr>
        <w:t xml:space="preserve">de </w:t>
      </w:r>
      <w:r w:rsidRPr="005114BF">
        <w:rPr>
          <w:rFonts w:ascii="Bookman Old Style" w:hAnsi="Bookman Old Style"/>
        </w:rPr>
        <w:t xml:space="preserve">bénéficier de l’Initiative pour l’allégement de la dette </w:t>
      </w:r>
      <w:r w:rsidRPr="005114BF">
        <w:rPr>
          <w:rFonts w:ascii="Bookman Old Style" w:hAnsi="Bookman Old Style"/>
        </w:rPr>
        <w:lastRenderedPageBreak/>
        <w:t>des pays</w:t>
      </w:r>
      <w:r>
        <w:rPr>
          <w:rFonts w:ascii="Bookman Old Style" w:hAnsi="Bookman Old Style"/>
        </w:rPr>
        <w:t xml:space="preserve"> pauvres très endettés (PPTE). </w:t>
      </w:r>
      <w:r w:rsidRPr="005114BF">
        <w:rPr>
          <w:rFonts w:ascii="Bookman Old Style" w:hAnsi="Bookman Old Style"/>
        </w:rPr>
        <w:t>A la fin de 2010, l’encours global de la dette extérieure est estimé à 427 millions de dollars des Etats-Unis ou 56 % du PIB par la Banque centrale de Djibouti. Cette dette a été contractée aupr</w:t>
      </w:r>
      <w:r>
        <w:rPr>
          <w:rFonts w:ascii="Bookman Old Style" w:hAnsi="Bookman Old Style"/>
        </w:rPr>
        <w:t xml:space="preserve">ès des bailleurs multilatéraux </w:t>
      </w:r>
      <w:r w:rsidRPr="005114BF">
        <w:rPr>
          <w:rFonts w:ascii="Bookman Old Style" w:hAnsi="Bookman Old Style"/>
        </w:rPr>
        <w:t>pour 75 % et 25 % auprès des créanciers bilatéraux</w:t>
      </w:r>
      <w:r>
        <w:rPr>
          <w:rFonts w:ascii="Bookman Old Style" w:hAnsi="Bookman Old Style"/>
        </w:rPr>
        <w:t xml:space="preserve"> principalement l’Arabie Saoudite et le Koweït</w:t>
      </w:r>
      <w:r w:rsidRPr="005114BF">
        <w:rPr>
          <w:rFonts w:ascii="Bookman Old Style" w:hAnsi="Bookman Old Style"/>
        </w:rPr>
        <w:t xml:space="preserve">. </w:t>
      </w:r>
    </w:p>
    <w:p w:rsidR="009B0AFA" w:rsidRDefault="009B0AFA" w:rsidP="00F51197">
      <w:pPr>
        <w:spacing w:line="480" w:lineRule="auto"/>
        <w:ind w:firstLine="706"/>
        <w:jc w:val="both"/>
        <w:rPr>
          <w:rFonts w:ascii="Bookman Old Style" w:hAnsi="Bookman Old Style"/>
        </w:rPr>
      </w:pPr>
    </w:p>
    <w:p w:rsidR="009B0AFA" w:rsidRDefault="009B0AFA" w:rsidP="00F51197">
      <w:pPr>
        <w:spacing w:line="480" w:lineRule="auto"/>
        <w:ind w:firstLine="706"/>
        <w:jc w:val="both"/>
        <w:rPr>
          <w:rFonts w:ascii="Bookman Old Style" w:hAnsi="Bookman Old Style"/>
        </w:rPr>
      </w:pPr>
      <w:r w:rsidRPr="005114BF">
        <w:rPr>
          <w:rFonts w:ascii="Bookman Old Style" w:hAnsi="Bookman Old Style"/>
        </w:rPr>
        <w:t xml:space="preserve">L’impact de l’aide sur la population reste </w:t>
      </w:r>
      <w:r>
        <w:rPr>
          <w:rFonts w:ascii="Bookman Old Style" w:hAnsi="Bookman Old Style"/>
        </w:rPr>
        <w:t xml:space="preserve">cependant </w:t>
      </w:r>
      <w:r w:rsidRPr="005114BF">
        <w:rPr>
          <w:rFonts w:ascii="Bookman Old Style" w:hAnsi="Bookman Old Style"/>
        </w:rPr>
        <w:t>décevant. La faiblesse des indicateurs de développement témoigne de cette triste réalité. Dans la gestion de l’aide, les populations</w:t>
      </w:r>
      <w:r>
        <w:rPr>
          <w:rFonts w:ascii="Bookman Old Style" w:hAnsi="Bookman Old Style"/>
        </w:rPr>
        <w:t xml:space="preserve"> bénéficiaires ne sont pas plus</w:t>
      </w:r>
      <w:r w:rsidRPr="005114BF">
        <w:rPr>
          <w:rFonts w:ascii="Bookman Old Style" w:hAnsi="Bookman Old Style"/>
        </w:rPr>
        <w:t xml:space="preserve"> associées ou consultées</w:t>
      </w:r>
      <w:r>
        <w:rPr>
          <w:rFonts w:ascii="Bookman Old Style" w:hAnsi="Bookman Old Style"/>
        </w:rPr>
        <w:t xml:space="preserve"> (</w:t>
      </w:r>
      <w:r w:rsidRPr="005114BF">
        <w:rPr>
          <w:rFonts w:ascii="Bookman Old Style" w:hAnsi="Bookman Old Style"/>
        </w:rPr>
        <w:t>Mahamoud, 2008, p. 27). Du fait notamment de son faible nivea</w:t>
      </w:r>
      <w:r>
        <w:rPr>
          <w:rFonts w:ascii="Bookman Old Style" w:hAnsi="Bookman Old Style"/>
        </w:rPr>
        <w:t>u d’éducation, la population</w:t>
      </w:r>
      <w:r w:rsidRPr="005114BF">
        <w:rPr>
          <w:rFonts w:ascii="Bookman Old Style" w:hAnsi="Bookman Old Style"/>
        </w:rPr>
        <w:t xml:space="preserve"> « bénéficiaire » est considérée c</w:t>
      </w:r>
      <w:r>
        <w:rPr>
          <w:rFonts w:ascii="Bookman Old Style" w:hAnsi="Bookman Old Style"/>
        </w:rPr>
        <w:t xml:space="preserve">omme étant incapable d’influer sur </w:t>
      </w:r>
      <w:r w:rsidRPr="005114BF">
        <w:rPr>
          <w:rFonts w:ascii="Bookman Old Style" w:hAnsi="Bookman Old Style"/>
        </w:rPr>
        <w:t>le déroulement de</w:t>
      </w:r>
      <w:r>
        <w:rPr>
          <w:rFonts w:ascii="Bookman Old Style" w:hAnsi="Bookman Old Style"/>
        </w:rPr>
        <w:t>s</w:t>
      </w:r>
      <w:r w:rsidRPr="005114BF">
        <w:rPr>
          <w:rFonts w:ascii="Bookman Old Style" w:hAnsi="Bookman Old Style"/>
        </w:rPr>
        <w:t xml:space="preserve"> différentes phases d’exécutions des projets. </w:t>
      </w:r>
    </w:p>
    <w:p w:rsidR="009B0AFA" w:rsidRDefault="009B0AFA" w:rsidP="00F51197">
      <w:pPr>
        <w:spacing w:line="480" w:lineRule="auto"/>
        <w:ind w:firstLine="706"/>
        <w:jc w:val="both"/>
        <w:rPr>
          <w:rFonts w:ascii="Bookman Old Style" w:hAnsi="Bookman Old Style"/>
        </w:rPr>
      </w:pPr>
      <w:r w:rsidRPr="005114BF">
        <w:rPr>
          <w:rFonts w:ascii="Bookman Old Style" w:hAnsi="Bookman Old Style"/>
        </w:rPr>
        <w:t xml:space="preserve">Le pays souffre </w:t>
      </w:r>
      <w:r>
        <w:rPr>
          <w:rFonts w:ascii="Bookman Old Style" w:hAnsi="Bookman Old Style"/>
        </w:rPr>
        <w:t xml:space="preserve">aussi </w:t>
      </w:r>
      <w:r w:rsidRPr="005114BF">
        <w:rPr>
          <w:rFonts w:ascii="Bookman Old Style" w:hAnsi="Bookman Old Style"/>
        </w:rPr>
        <w:t>d’un faible niveau des capacités institut</w:t>
      </w:r>
      <w:r>
        <w:rPr>
          <w:rFonts w:ascii="Bookman Old Style" w:hAnsi="Bookman Old Style"/>
        </w:rPr>
        <w:t>ionnelles et administratives, ce qui</w:t>
      </w:r>
      <w:r w:rsidRPr="005114BF">
        <w:rPr>
          <w:rFonts w:ascii="Bookman Old Style" w:hAnsi="Bookman Old Style"/>
        </w:rPr>
        <w:t xml:space="preserve"> ne permet pas souvent l’absorption de l’aide, surtout lorsque le volume de celle-ci est important. Ce qui se traduit par des projets peu fiables donc voués à l’échec. En 2001, un rapport de la Banque mondi</w:t>
      </w:r>
      <w:r>
        <w:rPr>
          <w:rFonts w:ascii="Bookman Old Style" w:hAnsi="Bookman Old Style"/>
        </w:rPr>
        <w:t>ale sur Djibouti, indique</w:t>
      </w:r>
      <w:r w:rsidRPr="005114BF">
        <w:rPr>
          <w:rFonts w:ascii="Bookman Old Style" w:hAnsi="Bookman Old Style"/>
        </w:rPr>
        <w:t xml:space="preserve"> que </w:t>
      </w:r>
      <w:r w:rsidRPr="005A7C98">
        <w:rPr>
          <w:rFonts w:ascii="Bookman Old Style" w:hAnsi="Bookman Old Style"/>
          <w:b/>
        </w:rPr>
        <w:t>« </w:t>
      </w:r>
      <w:r w:rsidRPr="00F761A0">
        <w:rPr>
          <w:rFonts w:ascii="Bookman Old Style" w:hAnsi="Bookman Old Style"/>
          <w:i/>
        </w:rPr>
        <w:t>la Banque a surestimé l’état de préparation de l’emprunteur pour la mise en œuvre des projets et son niveau de familiarité avec les procédures de la banque, notamment en ce qui concerne les passations des marchés et les décaissements. En conséquence l’exécution des projets a enregistré des retards</w:t>
      </w:r>
      <w:r w:rsidRPr="00F761A0">
        <w:rPr>
          <w:rFonts w:ascii="Bookman Old Style" w:hAnsi="Bookman Old Style"/>
        </w:rPr>
        <w:t>.</w:t>
      </w:r>
      <w:r w:rsidRPr="005114BF">
        <w:rPr>
          <w:rFonts w:ascii="Bookman Old Style" w:hAnsi="Bookman Old Style"/>
        </w:rPr>
        <w:t xml:space="preserve"> </w:t>
      </w:r>
      <w:r w:rsidRPr="006136B1">
        <w:rPr>
          <w:rFonts w:ascii="Bookman Old Style" w:hAnsi="Bookman Old Style"/>
          <w:i/>
        </w:rPr>
        <w:t>Le niveau de la capacité institutionnelle et d’exécution est faible, tout comme la planification, la coordination et le suivi des projets et programmes de développement</w:t>
      </w:r>
      <w:r>
        <w:rPr>
          <w:rFonts w:ascii="Bookman Old Style" w:hAnsi="Bookman Old Style"/>
          <w:i/>
        </w:rPr>
        <w:t> »</w:t>
      </w:r>
      <w:r w:rsidRPr="006136B1">
        <w:rPr>
          <w:rFonts w:ascii="Bookman Old Style" w:hAnsi="Bookman Old Style"/>
          <w:i/>
        </w:rPr>
        <w:t xml:space="preserve">. </w:t>
      </w:r>
    </w:p>
    <w:p w:rsidR="009B0AFA" w:rsidRDefault="009B0AFA" w:rsidP="00F51197">
      <w:pPr>
        <w:spacing w:line="480" w:lineRule="auto"/>
        <w:ind w:firstLine="706"/>
        <w:jc w:val="both"/>
        <w:rPr>
          <w:rFonts w:ascii="Bookman Old Style" w:hAnsi="Bookman Old Style"/>
        </w:rPr>
      </w:pPr>
    </w:p>
    <w:p w:rsidR="009B0AFA" w:rsidRPr="000709CF" w:rsidRDefault="009B0AFA" w:rsidP="00F51197">
      <w:pPr>
        <w:spacing w:line="480" w:lineRule="auto"/>
        <w:ind w:firstLine="706"/>
        <w:jc w:val="both"/>
        <w:rPr>
          <w:rFonts w:ascii="Bookman Old Style" w:hAnsi="Bookman Old Style"/>
          <w:lang w:val="fr-BE"/>
        </w:rPr>
      </w:pPr>
      <w:r w:rsidRPr="005114BF">
        <w:rPr>
          <w:rFonts w:ascii="Bookman Old Style" w:hAnsi="Bookman Old Style"/>
        </w:rPr>
        <w:lastRenderedPageBreak/>
        <w:t xml:space="preserve">L’aide extérieure crée aussi une dépendance financière écrasante. La disponibilité du financement extérieur dépend souvent du niveau de confiance des bailleurs de fonds quant à l’engagement de l’Etat bénéficiaire </w:t>
      </w:r>
      <w:r>
        <w:rPr>
          <w:rFonts w:ascii="Bookman Old Style" w:hAnsi="Bookman Old Style"/>
        </w:rPr>
        <w:t>sur</w:t>
      </w:r>
      <w:r w:rsidRPr="005114BF">
        <w:rPr>
          <w:rFonts w:ascii="Bookman Old Style" w:hAnsi="Bookman Old Style"/>
        </w:rPr>
        <w:t xml:space="preserve"> des réformes structurelles. Le financement extérieur est vital pour Djibouti afin d’a</w:t>
      </w:r>
      <w:r>
        <w:rPr>
          <w:rFonts w:ascii="Bookman Old Style" w:hAnsi="Bookman Old Style"/>
        </w:rPr>
        <w:t xml:space="preserve">ssurer sa pérennité budgétaire. </w:t>
      </w:r>
      <w:r w:rsidRPr="005114BF">
        <w:rPr>
          <w:rFonts w:ascii="Bookman Old Style" w:hAnsi="Bookman Old Style"/>
        </w:rPr>
        <w:t xml:space="preserve">Les actions du Gouvernement sont donc souvent déterminées selon les offres de prêts et des dons de la communauté internationale. </w:t>
      </w:r>
      <w:r w:rsidRPr="005114BF">
        <w:rPr>
          <w:rFonts w:ascii="Bookman Old Style" w:hAnsi="Bookman Old Style"/>
          <w:bCs/>
        </w:rPr>
        <w:t>Plus que les résultats des réformes, c’est la confiance des institutions internationales qui compte davantage dans la mesure où elle p</w:t>
      </w:r>
      <w:r>
        <w:rPr>
          <w:rFonts w:ascii="Bookman Old Style" w:hAnsi="Bookman Old Style"/>
          <w:bCs/>
        </w:rPr>
        <w:t>ermet de bénéficier de nouveau de leurs</w:t>
      </w:r>
      <w:r w:rsidRPr="005114BF">
        <w:rPr>
          <w:rFonts w:ascii="Bookman Old Style" w:hAnsi="Bookman Old Style"/>
          <w:bCs/>
        </w:rPr>
        <w:t xml:space="preserve"> financ</w:t>
      </w:r>
      <w:r>
        <w:rPr>
          <w:rFonts w:ascii="Bookman Old Style" w:hAnsi="Bookman Old Style"/>
          <w:bCs/>
        </w:rPr>
        <w:t xml:space="preserve">ements. </w:t>
      </w:r>
      <w:r w:rsidRPr="008B28F0">
        <w:rPr>
          <w:rFonts w:ascii="Bookman Old Style" w:hAnsi="Bookman Old Style"/>
        </w:rPr>
        <w:t>Pour rétablir les équilibres macroéconomiques en matière de budget,</w:t>
      </w:r>
      <w:r w:rsidRPr="005114BF">
        <w:rPr>
          <w:rFonts w:ascii="Bookman Old Style" w:hAnsi="Bookman Old Style"/>
        </w:rPr>
        <w:t xml:space="preserve"> de balance des paiements et relancer la croissance économique de façon durable,</w:t>
      </w:r>
      <w:r w:rsidRPr="005114BF">
        <w:rPr>
          <w:rFonts w:ascii="Bookman Old Style" w:hAnsi="Bookman Old Style"/>
          <w:bCs/>
          <w:szCs w:val="28"/>
        </w:rPr>
        <w:t xml:space="preserve"> les institutions internationales et les pays donateurs impliqués à Djibouti ont prôné au début des </w:t>
      </w:r>
      <w:r>
        <w:rPr>
          <w:rFonts w:ascii="Bookman Old Style" w:hAnsi="Bookman Old Style"/>
          <w:bCs/>
          <w:szCs w:val="28"/>
        </w:rPr>
        <w:t>années 1990, des réformes</w:t>
      </w:r>
      <w:r w:rsidRPr="005114BF">
        <w:rPr>
          <w:rFonts w:ascii="Bookman Old Style" w:hAnsi="Bookman Old Style"/>
          <w:bCs/>
          <w:szCs w:val="28"/>
        </w:rPr>
        <w:t xml:space="preserve"> centrées principalement sur l’assaini</w:t>
      </w:r>
      <w:r>
        <w:rPr>
          <w:rFonts w:ascii="Bookman Old Style" w:hAnsi="Bookman Old Style"/>
          <w:bCs/>
          <w:szCs w:val="28"/>
        </w:rPr>
        <w:t>ssement des finances publiques</w:t>
      </w:r>
      <w:r w:rsidRPr="000709CF">
        <w:rPr>
          <w:rFonts w:ascii="Bookman Old Style" w:hAnsi="Bookman Old Style"/>
          <w:lang w:val="fr-BE"/>
        </w:rPr>
        <w:t xml:space="preserve"> </w:t>
      </w:r>
      <w:r>
        <w:rPr>
          <w:rFonts w:ascii="Bookman Old Style" w:hAnsi="Bookman Old Style"/>
          <w:lang w:val="fr-BE"/>
        </w:rPr>
        <w:t xml:space="preserve">et la mise en œuvre d’une politique de privatisation des entreprises publiques. </w:t>
      </w:r>
      <w:r w:rsidRPr="005114BF">
        <w:rPr>
          <w:rFonts w:ascii="Bookman Old Style" w:hAnsi="Bookman Old Style"/>
          <w:bCs/>
          <w:szCs w:val="28"/>
        </w:rPr>
        <w:t>Cont</w:t>
      </w:r>
      <w:r>
        <w:rPr>
          <w:rFonts w:ascii="Bookman Old Style" w:hAnsi="Bookman Old Style"/>
          <w:bCs/>
          <w:szCs w:val="28"/>
        </w:rPr>
        <w:t xml:space="preserve">raint de réduire drastiquement </w:t>
      </w:r>
      <w:r w:rsidRPr="005114BF">
        <w:rPr>
          <w:rFonts w:ascii="Bookman Old Style" w:hAnsi="Bookman Old Style"/>
          <w:bCs/>
          <w:szCs w:val="28"/>
        </w:rPr>
        <w:t>les dépenses publiques, l’Etat s’est engagé dans une politique de</w:t>
      </w:r>
      <w:r>
        <w:rPr>
          <w:rFonts w:ascii="Bookman Old Style" w:hAnsi="Bookman Old Style"/>
          <w:bCs/>
          <w:szCs w:val="28"/>
        </w:rPr>
        <w:t xml:space="preserve"> rigueur se traduisant</w:t>
      </w:r>
      <w:r w:rsidRPr="005114BF">
        <w:rPr>
          <w:rFonts w:ascii="Bookman Old Style" w:hAnsi="Bookman Old Style"/>
          <w:bCs/>
          <w:szCs w:val="28"/>
        </w:rPr>
        <w:t xml:space="preserve"> par des mesures de réduction dans les dépens</w:t>
      </w:r>
      <w:r>
        <w:rPr>
          <w:rFonts w:ascii="Bookman Old Style" w:hAnsi="Bookman Old Style"/>
          <w:bCs/>
          <w:szCs w:val="28"/>
        </w:rPr>
        <w:t>es du personnel et de matériel</w:t>
      </w:r>
      <w:r w:rsidRPr="005114BF">
        <w:rPr>
          <w:rFonts w:ascii="Bookman Old Style" w:hAnsi="Bookman Old Style"/>
        </w:rPr>
        <w:t xml:space="preserve">. Depuis 1998, les comptes publics ont renoué avec l’équilibre. Le pays a aussi retrouvé la croissance. Cependant cet équilibre reste précaire et </w:t>
      </w:r>
      <w:r w:rsidRPr="005114BF">
        <w:rPr>
          <w:rFonts w:ascii="Bookman Old Style" w:hAnsi="Bookman Old Style"/>
          <w:szCs w:val="28"/>
        </w:rPr>
        <w:t xml:space="preserve">la conjoncture sociale du pays a évolué négativement puisque le pays doit faire désormais face à une pauvreté généralisée. </w:t>
      </w:r>
    </w:p>
    <w:p w:rsidR="009B0AFA" w:rsidRDefault="009B0AFA" w:rsidP="00F51197">
      <w:pPr>
        <w:tabs>
          <w:tab w:val="left" w:pos="1785"/>
        </w:tabs>
        <w:spacing w:line="480" w:lineRule="auto"/>
        <w:rPr>
          <w:lang w:val="fr-BE"/>
        </w:rPr>
      </w:pPr>
    </w:p>
    <w:p w:rsidR="009B0AFA" w:rsidRDefault="009B0AFA" w:rsidP="00F51197">
      <w:pPr>
        <w:spacing w:line="480" w:lineRule="auto"/>
        <w:rPr>
          <w:lang w:val="fr-BE"/>
        </w:rPr>
      </w:pPr>
    </w:p>
    <w:p w:rsidR="009B0AFA" w:rsidRPr="00493982" w:rsidRDefault="009B0AFA" w:rsidP="00F51197">
      <w:pPr>
        <w:pStyle w:val="Titre3"/>
        <w:spacing w:line="480" w:lineRule="auto"/>
        <w:jc w:val="center"/>
      </w:pPr>
      <w:r>
        <w:lastRenderedPageBreak/>
        <w:t>1.2</w:t>
      </w:r>
      <w:r w:rsidRPr="00493982">
        <w:t xml:space="preserve">  </w:t>
      </w:r>
      <w:r>
        <w:t>Une pression des bailleurs de fonds pour modifier le rôle et la place de l’Etat dans l’économie</w:t>
      </w:r>
    </w:p>
    <w:p w:rsidR="009B0AFA" w:rsidRPr="008B5519" w:rsidRDefault="009B0AFA" w:rsidP="00F51197">
      <w:pPr>
        <w:spacing w:line="480" w:lineRule="auto"/>
        <w:jc w:val="both"/>
        <w:rPr>
          <w:rFonts w:ascii="Bookman Old Style" w:hAnsi="Bookman Old Style"/>
        </w:rPr>
      </w:pPr>
    </w:p>
    <w:p w:rsidR="009B0AFA" w:rsidRPr="0091208B" w:rsidRDefault="009B0AFA" w:rsidP="00F51197">
      <w:pPr>
        <w:spacing w:line="480" w:lineRule="auto"/>
        <w:ind w:firstLine="706"/>
        <w:jc w:val="both"/>
        <w:rPr>
          <w:rFonts w:ascii="Bookman Old Style" w:hAnsi="Bookman Old Style"/>
        </w:rPr>
      </w:pPr>
      <w:r w:rsidRPr="005114BF">
        <w:rPr>
          <w:rFonts w:ascii="Bookman Old Style" w:hAnsi="Bookman Old Style"/>
          <w:bCs/>
          <w:szCs w:val="28"/>
        </w:rPr>
        <w:t>Au début des années 1990</w:t>
      </w:r>
      <w:r>
        <w:rPr>
          <w:rFonts w:ascii="Bookman Old Style" w:hAnsi="Bookman Old Style"/>
          <w:bCs/>
          <w:szCs w:val="28"/>
        </w:rPr>
        <w:t>, les</w:t>
      </w:r>
      <w:r w:rsidRPr="000E53BC">
        <w:rPr>
          <w:rFonts w:ascii="Bookman Old Style" w:hAnsi="Bookman Old Style"/>
          <w:bCs/>
          <w:szCs w:val="28"/>
        </w:rPr>
        <w:t xml:space="preserve"> institutions internationales et les pays donateurs impliqués à</w:t>
      </w:r>
      <w:r w:rsidRPr="005114BF">
        <w:rPr>
          <w:rFonts w:ascii="Bookman Old Style" w:hAnsi="Bookman Old Style"/>
          <w:bCs/>
          <w:szCs w:val="28"/>
        </w:rPr>
        <w:t xml:space="preserve"> Djibouti ont prôné</w:t>
      </w:r>
      <w:r>
        <w:rPr>
          <w:rFonts w:ascii="Bookman Old Style" w:hAnsi="Bookman Old Style"/>
          <w:bCs/>
          <w:szCs w:val="28"/>
        </w:rPr>
        <w:t xml:space="preserve"> des réformes structurelles </w:t>
      </w:r>
      <w:r>
        <w:rPr>
          <w:rFonts w:ascii="Bookman Old Style" w:hAnsi="Bookman Old Style"/>
        </w:rPr>
        <w:t>aboutissant à un retrait de l’Etat. Pour les bailleurs de fonds,  </w:t>
      </w:r>
      <w:r w:rsidRPr="001034CE">
        <w:rPr>
          <w:rFonts w:ascii="Bookman Old Style" w:hAnsi="Bookman Old Style"/>
        </w:rPr>
        <w:t>si</w:t>
      </w:r>
      <w:r w:rsidRPr="006A1733">
        <w:rPr>
          <w:rFonts w:ascii="Bookman Old Style" w:hAnsi="Bookman Old Style"/>
          <w:i/>
        </w:rPr>
        <w:t xml:space="preserve"> </w:t>
      </w:r>
      <w:r w:rsidRPr="001034CE">
        <w:rPr>
          <w:rFonts w:ascii="Bookman Old Style" w:hAnsi="Bookman Old Style"/>
        </w:rPr>
        <w:t xml:space="preserve">l’Etat a eu le mérite de jeter les bases économiques du développement en investissant dans les secteurs-clés (éducation, santé, infrastructures économiques), il n’a toutefois pas fait preuve de performance dans sa gestion de développement du pays. </w:t>
      </w:r>
      <w:r>
        <w:rPr>
          <w:rFonts w:ascii="Bookman Old Style" w:hAnsi="Bookman Old Style"/>
          <w:lang w:val="fr-BE"/>
        </w:rPr>
        <w:t xml:space="preserve">Le nouveau management du secteur public est </w:t>
      </w:r>
      <w:r w:rsidRPr="005114BF">
        <w:rPr>
          <w:rFonts w:ascii="Bookman Old Style" w:hAnsi="Bookman Old Style"/>
          <w:lang w:val="fr-BE"/>
        </w:rPr>
        <w:t>présenté à Djibouti comme une s</w:t>
      </w:r>
      <w:r>
        <w:rPr>
          <w:rFonts w:ascii="Bookman Old Style" w:hAnsi="Bookman Old Style"/>
          <w:lang w:val="fr-BE"/>
        </w:rPr>
        <w:t>olution à une gestion publique défaillante.</w:t>
      </w:r>
      <w:r>
        <w:rPr>
          <w:rFonts w:ascii="Bookman Old Style" w:hAnsi="Bookman Old Style"/>
        </w:rPr>
        <w:t xml:space="preserve"> </w:t>
      </w:r>
      <w:r w:rsidR="0091208B">
        <w:rPr>
          <w:rFonts w:ascii="Bookman Old Style" w:hAnsi="Bookman Old Style"/>
        </w:rPr>
        <w:t xml:space="preserve">Il </w:t>
      </w:r>
      <w:r>
        <w:rPr>
          <w:rFonts w:ascii="Bookman Old Style" w:hAnsi="Bookman Old Style"/>
          <w:lang w:val="fr-BE"/>
        </w:rPr>
        <w:t>visait</w:t>
      </w:r>
      <w:r w:rsidRPr="00F93450">
        <w:rPr>
          <w:rFonts w:ascii="Bookman Old Style" w:hAnsi="Bookman Old Style"/>
          <w:lang w:val="fr-BE"/>
        </w:rPr>
        <w:t xml:space="preserve"> aussi à créer à  un cadre attractif pour le développement du secteur privé considéré comme le moteur d</w:t>
      </w:r>
      <w:r>
        <w:rPr>
          <w:rFonts w:ascii="Bookman Old Style" w:hAnsi="Bookman Old Style"/>
          <w:lang w:val="fr-BE"/>
        </w:rPr>
        <w:t>u développement économique mais très atone à Djibouti.</w:t>
      </w:r>
      <w:r w:rsidRPr="00D34E27">
        <w:rPr>
          <w:rFonts w:ascii="Bookman Old Style" w:hAnsi="Bookman Old Style"/>
          <w:lang w:val="fr-BE"/>
        </w:rPr>
        <w:t xml:space="preserve"> </w:t>
      </w:r>
      <w:r>
        <w:rPr>
          <w:rFonts w:ascii="Bookman Old Style" w:hAnsi="Bookman Old Style"/>
          <w:lang w:val="fr-BE"/>
        </w:rPr>
        <w:t>Pour les bailleurs de fonds ce secteur ne pouvait se développer dans un contexte où l’Etat est omnipotent</w:t>
      </w:r>
      <w:r w:rsidRPr="00FB0C1A">
        <w:rPr>
          <w:rFonts w:ascii="Bookman Old Style" w:hAnsi="Bookman Old Style"/>
          <w:lang w:val="fr-BE"/>
        </w:rPr>
        <w:t xml:space="preserve"> </w:t>
      </w:r>
      <w:r>
        <w:rPr>
          <w:rFonts w:ascii="Bookman Old Style" w:hAnsi="Bookman Old Style"/>
          <w:lang w:val="fr-BE"/>
        </w:rPr>
        <w:t>et omniprésent.</w:t>
      </w:r>
    </w:p>
    <w:p w:rsidR="009B0AFA" w:rsidRPr="00493982" w:rsidRDefault="009B0AFA" w:rsidP="00F51197">
      <w:pPr>
        <w:spacing w:line="480" w:lineRule="auto"/>
        <w:jc w:val="both"/>
      </w:pPr>
    </w:p>
    <w:p w:rsidR="009B0AFA" w:rsidRPr="005B3A8A" w:rsidRDefault="009B0AFA" w:rsidP="00F51197">
      <w:pPr>
        <w:pStyle w:val="Titre4"/>
        <w:spacing w:line="480" w:lineRule="auto"/>
        <w:jc w:val="center"/>
        <w:rPr>
          <w:rFonts w:ascii="Bookman Old Style" w:hAnsi="Bookman Old Style"/>
          <w:sz w:val="24"/>
          <w:szCs w:val="24"/>
        </w:rPr>
      </w:pPr>
      <w:r>
        <w:rPr>
          <w:rFonts w:ascii="Bookman Old Style" w:hAnsi="Bookman Old Style"/>
          <w:sz w:val="24"/>
          <w:szCs w:val="24"/>
        </w:rPr>
        <w:t>1.2.1</w:t>
      </w:r>
      <w:r w:rsidRPr="005B3A8A">
        <w:rPr>
          <w:rFonts w:ascii="Bookman Old Style" w:hAnsi="Bookman Old Style"/>
          <w:sz w:val="24"/>
          <w:szCs w:val="24"/>
        </w:rPr>
        <w:t xml:space="preserve"> </w:t>
      </w:r>
      <w:r>
        <w:rPr>
          <w:rFonts w:ascii="Bookman Old Style" w:hAnsi="Bookman Old Style"/>
          <w:sz w:val="24"/>
          <w:szCs w:val="24"/>
        </w:rPr>
        <w:t>Le nouveau management public</w:t>
      </w:r>
      <w:r w:rsidRPr="005B3A8A">
        <w:rPr>
          <w:rFonts w:ascii="Bookman Old Style" w:hAnsi="Bookman Old Style"/>
          <w:sz w:val="24"/>
          <w:szCs w:val="24"/>
        </w:rPr>
        <w:t xml:space="preserve"> présentée comme une solution à une gestion publique défaillante</w:t>
      </w:r>
    </w:p>
    <w:p w:rsidR="009B0AFA" w:rsidRPr="005B3A8A" w:rsidRDefault="009B0AFA" w:rsidP="00F51197">
      <w:pPr>
        <w:pStyle w:val="Titre4"/>
        <w:spacing w:line="480" w:lineRule="auto"/>
        <w:jc w:val="center"/>
        <w:rPr>
          <w:rFonts w:ascii="Bookman Old Style" w:hAnsi="Bookman Old Style"/>
          <w:sz w:val="24"/>
          <w:szCs w:val="24"/>
        </w:rPr>
      </w:pPr>
    </w:p>
    <w:p w:rsidR="009B0AFA" w:rsidRDefault="009B0AFA" w:rsidP="00F51197">
      <w:pPr>
        <w:spacing w:line="480" w:lineRule="auto"/>
        <w:ind w:firstLine="706"/>
        <w:jc w:val="both"/>
        <w:rPr>
          <w:rFonts w:ascii="Bookman Old Style" w:hAnsi="Bookman Old Style"/>
          <w:bCs/>
        </w:rPr>
      </w:pPr>
      <w:r w:rsidRPr="00CA082C">
        <w:rPr>
          <w:rFonts w:ascii="Bookman Old Style" w:hAnsi="Bookman Old Style"/>
        </w:rPr>
        <w:t xml:space="preserve">Ce sont d’abord les performances techniques et économiques des entreprises publiques </w:t>
      </w:r>
      <w:r>
        <w:rPr>
          <w:rFonts w:ascii="Bookman Old Style" w:hAnsi="Bookman Old Style"/>
        </w:rPr>
        <w:t xml:space="preserve">qui sont </w:t>
      </w:r>
      <w:r w:rsidRPr="00CA082C">
        <w:rPr>
          <w:rFonts w:ascii="Bookman Old Style" w:hAnsi="Bookman Old Style"/>
        </w:rPr>
        <w:t>jugées insuffisantes. L’efficacité sociale des dépenses publique est également mise en doute.</w:t>
      </w:r>
      <w:r w:rsidRPr="00CA082C">
        <w:rPr>
          <w:rFonts w:ascii="Bookman Old Style" w:hAnsi="Bookman Old Style"/>
          <w:bCs/>
        </w:rPr>
        <w:t xml:space="preserve"> </w:t>
      </w:r>
      <w:r w:rsidRPr="00CA082C">
        <w:rPr>
          <w:rFonts w:ascii="Bookman Old Style" w:hAnsi="Bookman Old Style"/>
        </w:rPr>
        <w:t>Une faible interaction entre les dépenses publiques</w:t>
      </w:r>
      <w:r w:rsidRPr="00CA082C">
        <w:rPr>
          <w:rFonts w:ascii="Bookman Old Style" w:hAnsi="Bookman Old Style"/>
          <w:bCs/>
        </w:rPr>
        <w:t xml:space="preserve"> et les résultats atteints notamment dans les secteurs </w:t>
      </w:r>
      <w:r w:rsidRPr="00CA082C">
        <w:rPr>
          <w:rFonts w:ascii="Bookman Old Style" w:hAnsi="Bookman Old Style"/>
          <w:bCs/>
        </w:rPr>
        <w:lastRenderedPageBreak/>
        <w:t>sociaux comme l’éducation ou la santé est soulignée dans les différents rapports des organisations internationales.</w:t>
      </w:r>
    </w:p>
    <w:p w:rsidR="009B0AFA" w:rsidRPr="00CA082C" w:rsidRDefault="009B0AFA" w:rsidP="00F51197">
      <w:pPr>
        <w:spacing w:line="480" w:lineRule="auto"/>
        <w:jc w:val="both"/>
        <w:rPr>
          <w:rFonts w:ascii="Bookman Old Style" w:hAnsi="Bookman Old Style"/>
          <w:lang w:val="fr-BE"/>
        </w:rPr>
      </w:pPr>
    </w:p>
    <w:p w:rsidR="009B0AFA" w:rsidRPr="00A04870" w:rsidRDefault="009B0AFA" w:rsidP="00F51197">
      <w:pPr>
        <w:pStyle w:val="Titre4"/>
        <w:spacing w:line="480" w:lineRule="auto"/>
        <w:jc w:val="center"/>
        <w:rPr>
          <w:rFonts w:ascii="Bookman Old Style" w:hAnsi="Bookman Old Style"/>
          <w:sz w:val="24"/>
          <w:szCs w:val="24"/>
        </w:rPr>
      </w:pPr>
      <w:r>
        <w:rPr>
          <w:rFonts w:ascii="Bookman Old Style" w:hAnsi="Bookman Old Style"/>
          <w:sz w:val="24"/>
          <w:szCs w:val="24"/>
        </w:rPr>
        <w:t>1.2.1.1</w:t>
      </w:r>
      <w:r w:rsidRPr="00A04870">
        <w:rPr>
          <w:rFonts w:ascii="Bookman Old Style" w:hAnsi="Bookman Old Style"/>
          <w:sz w:val="24"/>
          <w:szCs w:val="24"/>
        </w:rPr>
        <w:t xml:space="preserve"> Les services publics de base fournis par les entreprises publiques jugés chers et insuffisants</w:t>
      </w:r>
    </w:p>
    <w:p w:rsidR="009B0AFA" w:rsidRDefault="009B0AFA" w:rsidP="00F51197">
      <w:pPr>
        <w:spacing w:line="480" w:lineRule="auto"/>
        <w:jc w:val="center"/>
      </w:pPr>
    </w:p>
    <w:p w:rsidR="009B0AFA" w:rsidRPr="005114BF" w:rsidRDefault="009B0AFA" w:rsidP="00F51197">
      <w:pPr>
        <w:spacing w:line="480" w:lineRule="auto"/>
        <w:ind w:firstLine="706"/>
        <w:jc w:val="both"/>
        <w:rPr>
          <w:rFonts w:ascii="Bookman Old Style" w:hAnsi="Bookman Old Style"/>
        </w:rPr>
      </w:pPr>
      <w:r>
        <w:rPr>
          <w:rFonts w:ascii="Bookman Old Style" w:hAnsi="Bookman Old Style"/>
        </w:rPr>
        <w:t xml:space="preserve">La production et la distribution de l’eau, de l’électricité et de la communication sont confiées à Djibouti </w:t>
      </w:r>
      <w:r w:rsidRPr="005114BF">
        <w:rPr>
          <w:rFonts w:ascii="Bookman Old Style" w:hAnsi="Bookman Old Style"/>
        </w:rPr>
        <w:t xml:space="preserve">à des </w:t>
      </w:r>
      <w:r>
        <w:rPr>
          <w:rFonts w:ascii="Bookman Old Style" w:hAnsi="Bookman Old Style"/>
        </w:rPr>
        <w:t>monopoles publics. Les services publics marchands sont jugés à la fois chers</w:t>
      </w:r>
      <w:r w:rsidRPr="005114BF">
        <w:rPr>
          <w:rFonts w:ascii="Bookman Old Style" w:hAnsi="Bookman Old Style"/>
        </w:rPr>
        <w:t xml:space="preserve"> </w:t>
      </w:r>
      <w:r>
        <w:rPr>
          <w:rFonts w:ascii="Bookman Old Style" w:hAnsi="Bookman Old Style"/>
        </w:rPr>
        <w:t>et insuffisants</w:t>
      </w:r>
      <w:r w:rsidRPr="005114BF">
        <w:rPr>
          <w:rFonts w:ascii="Bookman Old Style" w:hAnsi="Bookman Old Style"/>
        </w:rPr>
        <w:t xml:space="preserve">. </w:t>
      </w:r>
      <w:r>
        <w:rPr>
          <w:rFonts w:ascii="Bookman Old Style" w:hAnsi="Bookman Old Style"/>
        </w:rPr>
        <w:t xml:space="preserve"> </w:t>
      </w:r>
      <w:r w:rsidRPr="005114BF">
        <w:rPr>
          <w:rFonts w:ascii="Bookman Old Style" w:hAnsi="Bookman Old Style"/>
        </w:rPr>
        <w:t>Le prix</w:t>
      </w:r>
      <w:r>
        <w:rPr>
          <w:rFonts w:ascii="Bookman Old Style" w:hAnsi="Bookman Old Style"/>
        </w:rPr>
        <w:t xml:space="preserve"> de l’eau participe peut être à</w:t>
      </w:r>
      <w:r w:rsidRPr="005114BF">
        <w:rPr>
          <w:rFonts w:ascii="Bookman Old Style" w:hAnsi="Bookman Old Style"/>
        </w:rPr>
        <w:t xml:space="preserve"> la compétitivi</w:t>
      </w:r>
      <w:r>
        <w:rPr>
          <w:rFonts w:ascii="Bookman Old Style" w:hAnsi="Bookman Old Style"/>
        </w:rPr>
        <w:t xml:space="preserve">té d’un pays, mais l’eau a aussi </w:t>
      </w:r>
      <w:r w:rsidRPr="005114BF">
        <w:rPr>
          <w:rFonts w:ascii="Bookman Old Style" w:hAnsi="Bookman Old Style"/>
        </w:rPr>
        <w:t>une di</w:t>
      </w:r>
      <w:r>
        <w:rPr>
          <w:rFonts w:ascii="Bookman Old Style" w:hAnsi="Bookman Old Style"/>
        </w:rPr>
        <w:t>mension sociale importante</w:t>
      </w:r>
      <w:r w:rsidRPr="005114BF">
        <w:rPr>
          <w:rFonts w:ascii="Bookman Old Style" w:hAnsi="Bookman Old Style"/>
        </w:rPr>
        <w:t>. Les tarifs de l’Office Nationale des Eaux et d’Assainissement de Djibouti (ONEAD),</w:t>
      </w:r>
      <w:r>
        <w:rPr>
          <w:rFonts w:ascii="Bookman Old Style" w:hAnsi="Bookman Old Style"/>
        </w:rPr>
        <w:t xml:space="preserve"> composés de six tranches croissen</w:t>
      </w:r>
      <w:r w:rsidRPr="005114BF">
        <w:rPr>
          <w:rFonts w:ascii="Bookman Old Style" w:hAnsi="Bookman Old Style"/>
        </w:rPr>
        <w:t xml:space="preserve">t avec le niveau de la consommation en mètres cubes. Les trois premières tranches sont destinées à la consommation des ménages. Leurs prix varient de 62 </w:t>
      </w:r>
      <w:r>
        <w:rPr>
          <w:rFonts w:ascii="Bookman Old Style" w:hAnsi="Bookman Old Style"/>
        </w:rPr>
        <w:t xml:space="preserve">FDJ </w:t>
      </w:r>
      <w:r w:rsidRPr="005114BF">
        <w:rPr>
          <w:rFonts w:ascii="Bookman Old Style" w:hAnsi="Bookman Old Style"/>
        </w:rPr>
        <w:t>pour une consommation inférieure à 30</w:t>
      </w:r>
      <w:r>
        <w:rPr>
          <w:rFonts w:ascii="Bookman Old Style" w:hAnsi="Bookman Old Style"/>
        </w:rPr>
        <w:t xml:space="preserve"> </w:t>
      </w:r>
      <w:r w:rsidRPr="005114BF">
        <w:rPr>
          <w:rFonts w:ascii="Bookman Old Style" w:hAnsi="Bookman Old Style"/>
        </w:rPr>
        <w:t>m</w:t>
      </w:r>
      <w:r>
        <w:rPr>
          <w:rFonts w:ascii="Bookman Old Style" w:hAnsi="Bookman Old Style"/>
        </w:rPr>
        <w:t>³</w:t>
      </w:r>
      <w:r w:rsidRPr="005114BF">
        <w:rPr>
          <w:rFonts w:ascii="Bookman Old Style" w:hAnsi="Bookman Old Style"/>
        </w:rPr>
        <w:t xml:space="preserve"> à 120 FDJ pour une consommation dépassant </w:t>
      </w:r>
      <w:smartTag w:uri="urn:schemas-microsoft-com:office:smarttags" w:element="metricconverter">
        <w:smartTagPr>
          <w:attr w:name="ProductID" w:val="120 mﾳ"/>
        </w:smartTagPr>
        <w:r w:rsidRPr="005114BF">
          <w:rPr>
            <w:rFonts w:ascii="Bookman Old Style" w:hAnsi="Bookman Old Style"/>
          </w:rPr>
          <w:t>120</w:t>
        </w:r>
        <w:r w:rsidRPr="00053D7C">
          <w:rPr>
            <w:rFonts w:ascii="Bookman Old Style" w:hAnsi="Bookman Old Style"/>
          </w:rPr>
          <w:t xml:space="preserve"> </w:t>
        </w:r>
        <w:r w:rsidRPr="005114BF">
          <w:rPr>
            <w:rFonts w:ascii="Bookman Old Style" w:hAnsi="Bookman Old Style"/>
          </w:rPr>
          <w:t>m</w:t>
        </w:r>
        <w:r>
          <w:rPr>
            <w:rFonts w:ascii="Bookman Old Style" w:hAnsi="Bookman Old Style"/>
          </w:rPr>
          <w:t>³</w:t>
        </w:r>
      </w:smartTag>
      <w:r w:rsidRPr="005114BF">
        <w:rPr>
          <w:rFonts w:ascii="Bookman Old Style" w:hAnsi="Bookman Old Style"/>
        </w:rPr>
        <w:t xml:space="preserve">. Les trois tranches suivantes dont les prix varient de 200 à 250 </w:t>
      </w:r>
      <w:r>
        <w:rPr>
          <w:rFonts w:ascii="Bookman Old Style" w:hAnsi="Bookman Old Style"/>
        </w:rPr>
        <w:t xml:space="preserve">FDJ </w:t>
      </w:r>
      <w:r w:rsidRPr="005114BF">
        <w:rPr>
          <w:rFonts w:ascii="Bookman Old Style" w:hAnsi="Bookman Old Style"/>
        </w:rPr>
        <w:t>sont destinées aux usages professionnels. Cependant en l’absence des bornes fonta</w:t>
      </w:r>
      <w:r>
        <w:rPr>
          <w:rFonts w:ascii="Bookman Old Style" w:hAnsi="Bookman Old Style"/>
        </w:rPr>
        <w:t>ines publiques en état de fonctionnement, la distribution de l’eau est assurée</w:t>
      </w:r>
      <w:r w:rsidRPr="005114BF">
        <w:rPr>
          <w:rFonts w:ascii="Bookman Old Style" w:hAnsi="Bookman Old Style"/>
        </w:rPr>
        <w:t xml:space="preserve"> par le secteur privé via des camions citernes dans les zones périurbaines et dans les quartiers défavorisés. Le prix de mètre cube payé au comptant dans les quartiers pauvres est de 500 F</w:t>
      </w:r>
      <w:r>
        <w:rPr>
          <w:rFonts w:ascii="Bookman Old Style" w:hAnsi="Bookman Old Style"/>
        </w:rPr>
        <w:t>DJ</w:t>
      </w:r>
      <w:r w:rsidRPr="005114BF">
        <w:rPr>
          <w:rFonts w:ascii="Bookman Old Style" w:hAnsi="Bookman Old Style"/>
        </w:rPr>
        <w:t>. Il est donc 2 fois supérieur</w:t>
      </w:r>
      <w:r>
        <w:rPr>
          <w:rFonts w:ascii="Bookman Old Style" w:hAnsi="Bookman Old Style"/>
        </w:rPr>
        <w:t>s</w:t>
      </w:r>
      <w:r w:rsidRPr="005114BF">
        <w:rPr>
          <w:rFonts w:ascii="Bookman Old Style" w:hAnsi="Bookman Old Style"/>
        </w:rPr>
        <w:t xml:space="preserve"> à celui de 250 FDJ, consenti au Port de Djibouti qui refacture à 350 FDJ le mètre cube d’eau à ses utilisateurs professionnels. A Djibouti l’eau </w:t>
      </w:r>
      <w:r>
        <w:rPr>
          <w:rFonts w:ascii="Bookman Old Style" w:hAnsi="Bookman Old Style"/>
        </w:rPr>
        <w:t>reste</w:t>
      </w:r>
      <w:r w:rsidRPr="005114BF">
        <w:rPr>
          <w:rFonts w:ascii="Bookman Old Style" w:hAnsi="Bookman Old Style"/>
        </w:rPr>
        <w:t xml:space="preserve"> également 3 fois plus </w:t>
      </w:r>
      <w:r w:rsidRPr="005114BF">
        <w:rPr>
          <w:rFonts w:ascii="Bookman Old Style" w:hAnsi="Bookman Old Style"/>
        </w:rPr>
        <w:lastRenderedPageBreak/>
        <w:t xml:space="preserve">chère qu’en Ethiopie. Même si toute comparaison avec les pays voisins est difficile à établir, en Ethiopie, la fourchette tarifaire varie entre 23FDJ pour la tranche sociale est de 53 FDJ pour les utilisateurs </w:t>
      </w:r>
      <w:r>
        <w:rPr>
          <w:rFonts w:ascii="Bookman Old Style" w:hAnsi="Bookman Old Style"/>
        </w:rPr>
        <w:t xml:space="preserve">professionnels (PNUD, 2004). L’Office de l’eau </w:t>
      </w:r>
      <w:r w:rsidRPr="005114BF">
        <w:rPr>
          <w:rFonts w:ascii="Bookman Old Style" w:hAnsi="Bookman Old Style"/>
        </w:rPr>
        <w:t>de Djibouti pompe l’eau par l’intermédiaire des 28 forages et dis</w:t>
      </w:r>
      <w:r>
        <w:rPr>
          <w:rFonts w:ascii="Bookman Old Style" w:hAnsi="Bookman Old Style"/>
        </w:rPr>
        <w:t xml:space="preserve">tribue l’eau </w:t>
      </w:r>
      <w:r w:rsidRPr="005114BF">
        <w:rPr>
          <w:rFonts w:ascii="Bookman Old Style" w:hAnsi="Bookman Old Style"/>
        </w:rPr>
        <w:t xml:space="preserve">par un réseau vétuste d’environ </w:t>
      </w:r>
      <w:smartTag w:uri="urn:schemas-microsoft-com:office:smarttags" w:element="metricconverter">
        <w:smartTagPr>
          <w:attr w:name="ProductID" w:val="90 km"/>
        </w:smartTagPr>
        <w:r w:rsidRPr="005114BF">
          <w:rPr>
            <w:rFonts w:ascii="Bookman Old Style" w:hAnsi="Bookman Old Style"/>
          </w:rPr>
          <w:t>90 km</w:t>
        </w:r>
      </w:smartTag>
      <w:r w:rsidRPr="005114BF">
        <w:rPr>
          <w:rFonts w:ascii="Bookman Old Style" w:hAnsi="Bookman Old Style"/>
        </w:rPr>
        <w:t>. Le branchement des logements sur ce réseau varie fortement et va de 100 % dans les quartiers résidentiels à moins de 5 % dans les quartiers à habitat précaire.</w:t>
      </w:r>
    </w:p>
    <w:p w:rsidR="009B0AFA" w:rsidRPr="005114BF" w:rsidRDefault="009B0AFA" w:rsidP="00F51197">
      <w:pPr>
        <w:spacing w:line="480" w:lineRule="auto"/>
        <w:jc w:val="both"/>
        <w:rPr>
          <w:rFonts w:ascii="Bookman Old Style" w:hAnsi="Bookman Old Style"/>
        </w:rPr>
      </w:pPr>
    </w:p>
    <w:p w:rsidR="009B0AFA" w:rsidRPr="005114BF" w:rsidRDefault="009B0AFA" w:rsidP="00F51197">
      <w:pPr>
        <w:spacing w:line="480" w:lineRule="auto"/>
        <w:ind w:firstLine="706"/>
        <w:jc w:val="both"/>
        <w:rPr>
          <w:rFonts w:ascii="Bookman Old Style" w:hAnsi="Bookman Old Style"/>
        </w:rPr>
      </w:pPr>
      <w:r w:rsidRPr="005114BF">
        <w:rPr>
          <w:rFonts w:ascii="Bookman Old Style" w:hAnsi="Bookman Old Style"/>
          <w:szCs w:val="28"/>
        </w:rPr>
        <w:t>L’énergie se distingue aussi à Djibouti par son insuffisance et sa cherté. Son accès est estimé en moyenne à 49 % de la population et ne concerne exclusivement que les urbains.</w:t>
      </w:r>
      <w:r w:rsidRPr="005114BF">
        <w:rPr>
          <w:rFonts w:ascii="Bookman Old Style" w:hAnsi="Bookman Old Style"/>
        </w:rPr>
        <w:t xml:space="preserve"> </w:t>
      </w:r>
      <w:r w:rsidRPr="005114BF">
        <w:rPr>
          <w:rFonts w:ascii="Bookman Old Style" w:hAnsi="Bookman Old Style"/>
          <w:szCs w:val="28"/>
        </w:rPr>
        <w:t xml:space="preserve">L’électricité, produite dans des centrales thermiques fort polluantes, est peu distribuée faute de réseaux de transport et des ruptures de production dues à la vétuste des équipements. </w:t>
      </w:r>
      <w:r>
        <w:rPr>
          <w:rFonts w:ascii="Bookman Old Style" w:hAnsi="Bookman Old Style"/>
        </w:rPr>
        <w:t xml:space="preserve"> Les factures d’</w:t>
      </w:r>
      <w:r w:rsidRPr="005114BF">
        <w:rPr>
          <w:rFonts w:ascii="Bookman Old Style" w:hAnsi="Bookman Old Style"/>
        </w:rPr>
        <w:t>électricité constituent un poste important des dépenses des ménages, mais le prix de l’électricité est aussi un problème permanent pour les entreprises à Djibouti. L’étude de l’USAID en 2000, «</w:t>
      </w:r>
      <w:r>
        <w:rPr>
          <w:rFonts w:ascii="Bookman Old Style" w:hAnsi="Bookman Old Style"/>
        </w:rPr>
        <w:t> Djibouti Investors Roadmap » </w:t>
      </w:r>
      <w:r w:rsidRPr="005114BF">
        <w:rPr>
          <w:rFonts w:ascii="Bookman Old Style" w:hAnsi="Bookman Old Style"/>
        </w:rPr>
        <w:t xml:space="preserve">relève que le prix d’une nuit à l’hôtel est absorbé pour </w:t>
      </w:r>
      <w:r>
        <w:rPr>
          <w:rFonts w:ascii="Bookman Old Style" w:hAnsi="Bookman Old Style"/>
        </w:rPr>
        <w:t xml:space="preserve">plus de </w:t>
      </w:r>
      <w:r w:rsidRPr="005114BF">
        <w:rPr>
          <w:rFonts w:ascii="Bookman Old Style" w:hAnsi="Bookman Old Style"/>
        </w:rPr>
        <w:t xml:space="preserve">25 % par le seul coût de l’électricité. </w:t>
      </w:r>
      <w:r>
        <w:rPr>
          <w:rFonts w:ascii="Bookman Old Style" w:hAnsi="Bookman Old Style"/>
        </w:rPr>
        <w:t>L</w:t>
      </w:r>
      <w:r w:rsidRPr="005114BF">
        <w:rPr>
          <w:rFonts w:ascii="Bookman Old Style" w:hAnsi="Bookman Old Style"/>
        </w:rPr>
        <w:t>es délestages fréquents dans le pays, impliquent</w:t>
      </w:r>
      <w:r>
        <w:rPr>
          <w:rFonts w:ascii="Bookman Old Style" w:hAnsi="Bookman Old Style"/>
        </w:rPr>
        <w:t xml:space="preserve"> aussi</w:t>
      </w:r>
      <w:r w:rsidRPr="005114BF">
        <w:rPr>
          <w:rFonts w:ascii="Bookman Old Style" w:hAnsi="Bookman Old Style"/>
        </w:rPr>
        <w:t xml:space="preserve"> que les entreprises et les ménages réalisent des investissements en générateurs et supportent des dépenses en consommation d’essence. L’environnement djiboutien ne crée</w:t>
      </w:r>
      <w:r>
        <w:rPr>
          <w:rFonts w:ascii="Bookman Old Style" w:hAnsi="Bookman Old Style"/>
        </w:rPr>
        <w:t xml:space="preserve">rait </w:t>
      </w:r>
      <w:r w:rsidRPr="005114BF">
        <w:rPr>
          <w:rFonts w:ascii="Bookman Old Style" w:hAnsi="Bookman Old Style"/>
        </w:rPr>
        <w:t xml:space="preserve">donc pas selon cette étude les conditions permissives d’une rentabilité financière privée et ne favorise pas les flux d’investissement directs étrangers qui permettraient l’essor du tourisme. Les tarifs </w:t>
      </w:r>
      <w:r>
        <w:rPr>
          <w:rFonts w:ascii="Bookman Old Style" w:hAnsi="Bookman Old Style"/>
        </w:rPr>
        <w:t xml:space="preserve">de l’électricité </w:t>
      </w:r>
      <w:r w:rsidRPr="005114BF">
        <w:rPr>
          <w:rFonts w:ascii="Bookman Old Style" w:hAnsi="Bookman Old Style"/>
        </w:rPr>
        <w:t xml:space="preserve">sont pourtant </w:t>
      </w:r>
      <w:r w:rsidRPr="005114BF">
        <w:rPr>
          <w:rFonts w:ascii="Bookman Old Style" w:hAnsi="Bookman Old Style"/>
        </w:rPr>
        <w:lastRenderedPageBreak/>
        <w:t>fixés par arrêté présidentiel et comportent également des tranches sociales. Comme pour l’eau, la comparaison avec l’Ethiopie fait ressortir un prix re</w:t>
      </w:r>
      <w:r>
        <w:rPr>
          <w:rFonts w:ascii="Bookman Old Style" w:hAnsi="Bookman Old Style"/>
        </w:rPr>
        <w:t xml:space="preserve">latif supérieur d’environ 50 % vis-à-vis </w:t>
      </w:r>
      <w:r w:rsidRPr="005114BF">
        <w:rPr>
          <w:rFonts w:ascii="Bookman Old Style" w:hAnsi="Bookman Old Style"/>
        </w:rPr>
        <w:t>des tarifs du voisin éthiopien</w:t>
      </w:r>
      <w:r>
        <w:rPr>
          <w:rFonts w:ascii="Bookman Old Style" w:hAnsi="Bookman Old Style"/>
        </w:rPr>
        <w:t xml:space="preserve"> (DSRP, 2004, Banque mondiale, 2006)</w:t>
      </w:r>
      <w:r w:rsidRPr="005114BF">
        <w:rPr>
          <w:rFonts w:ascii="Bookman Old Style" w:hAnsi="Bookman Old Style"/>
        </w:rPr>
        <w:t>.</w:t>
      </w:r>
    </w:p>
    <w:p w:rsidR="009B0AFA" w:rsidRPr="005114BF" w:rsidRDefault="009B0AFA" w:rsidP="00F51197">
      <w:pPr>
        <w:spacing w:line="480" w:lineRule="auto"/>
        <w:jc w:val="both"/>
        <w:rPr>
          <w:rFonts w:ascii="Bookman Old Style" w:hAnsi="Bookman Old Style"/>
        </w:rPr>
      </w:pPr>
    </w:p>
    <w:p w:rsidR="009B0AFA" w:rsidRDefault="009B0AFA" w:rsidP="00F51197">
      <w:pPr>
        <w:spacing w:line="480" w:lineRule="auto"/>
        <w:ind w:firstLine="706"/>
        <w:jc w:val="both"/>
        <w:rPr>
          <w:rFonts w:ascii="Bookman Old Style" w:hAnsi="Bookman Old Style"/>
        </w:rPr>
      </w:pPr>
      <w:r w:rsidRPr="005114BF">
        <w:rPr>
          <w:rFonts w:ascii="Bookman Old Style" w:hAnsi="Bookman Old Style"/>
        </w:rPr>
        <w:t>De même le prix des communications demeure trop cher à Djibouti. Les services de télécommunication sont</w:t>
      </w:r>
      <w:r>
        <w:rPr>
          <w:rFonts w:ascii="Bookman Old Style" w:hAnsi="Bookman Old Style"/>
        </w:rPr>
        <w:t xml:space="preserve"> assurés</w:t>
      </w:r>
      <w:r w:rsidRPr="005114BF">
        <w:rPr>
          <w:rFonts w:ascii="Bookman Old Style" w:hAnsi="Bookman Old Style"/>
        </w:rPr>
        <w:t xml:space="preserve"> </w:t>
      </w:r>
      <w:r>
        <w:rPr>
          <w:rFonts w:ascii="Bookman Old Style" w:hAnsi="Bookman Old Style"/>
        </w:rPr>
        <w:t xml:space="preserve">par un monopole public, Djibouti Telecom </w:t>
      </w:r>
      <w:r w:rsidRPr="005114BF">
        <w:rPr>
          <w:rFonts w:ascii="Bookman Old Style" w:hAnsi="Bookman Old Style"/>
        </w:rPr>
        <w:t>qui présente un caractère multi produits</w:t>
      </w:r>
      <w:r>
        <w:rPr>
          <w:rFonts w:ascii="Bookman Old Style" w:hAnsi="Bookman Old Style"/>
        </w:rPr>
        <w:t xml:space="preserve">. </w:t>
      </w:r>
      <w:r w:rsidRPr="005114BF">
        <w:rPr>
          <w:rFonts w:ascii="Bookman Old Style" w:hAnsi="Bookman Old Style"/>
        </w:rPr>
        <w:t xml:space="preserve">Cette structure est née en 1999, d’une réforme institutionnelle fusionnant les services de télécommunications nationales que gérait l’Office des Postes (OPT), et les communications internationales qui étaient </w:t>
      </w:r>
      <w:r>
        <w:rPr>
          <w:rFonts w:ascii="Bookman Old Style" w:hAnsi="Bookman Old Style"/>
        </w:rPr>
        <w:t>assurées par</w:t>
      </w:r>
      <w:r w:rsidRPr="005114BF">
        <w:rPr>
          <w:rFonts w:ascii="Bookman Old Style" w:hAnsi="Bookman Old Style"/>
        </w:rPr>
        <w:t xml:space="preserve"> la Société des Télécommunications Intern</w:t>
      </w:r>
      <w:r>
        <w:rPr>
          <w:rFonts w:ascii="Bookman Old Style" w:hAnsi="Bookman Old Style"/>
        </w:rPr>
        <w:t xml:space="preserve">ationales de Djibouti (STID). </w:t>
      </w:r>
      <w:r w:rsidRPr="005114BF">
        <w:rPr>
          <w:rFonts w:ascii="Bookman Old Style" w:hAnsi="Bookman Old Style"/>
        </w:rPr>
        <w:t xml:space="preserve">La communication locale est 4 à 5 fois plus </w:t>
      </w:r>
      <w:r>
        <w:rPr>
          <w:rFonts w:ascii="Bookman Old Style" w:hAnsi="Bookman Old Style"/>
        </w:rPr>
        <w:t>chère</w:t>
      </w:r>
      <w:r w:rsidRPr="005114BF">
        <w:rPr>
          <w:rFonts w:ascii="Bookman Old Style" w:hAnsi="Bookman Old Style"/>
        </w:rPr>
        <w:t xml:space="preserve"> à la m</w:t>
      </w:r>
      <w:r>
        <w:rPr>
          <w:rFonts w:ascii="Bookman Old Style" w:hAnsi="Bookman Old Style"/>
        </w:rPr>
        <w:t xml:space="preserve">inute qu’en pays de la région. </w:t>
      </w:r>
      <w:r w:rsidRPr="005114BF">
        <w:rPr>
          <w:rFonts w:ascii="Bookman Old Style" w:hAnsi="Bookman Old Style"/>
        </w:rPr>
        <w:t>Ce prix de c</w:t>
      </w:r>
      <w:r>
        <w:rPr>
          <w:rFonts w:ascii="Bookman Old Style" w:hAnsi="Bookman Old Style"/>
        </w:rPr>
        <w:t>ommunication élevé se traduit</w:t>
      </w:r>
      <w:r w:rsidRPr="005114BF">
        <w:rPr>
          <w:rFonts w:ascii="Bookman Old Style" w:hAnsi="Bookman Old Style"/>
        </w:rPr>
        <w:t xml:space="preserve"> donc par une faible densité de lignes téléphoniques</w:t>
      </w:r>
      <w:r>
        <w:rPr>
          <w:rFonts w:ascii="Bookman Old Style" w:hAnsi="Bookman Old Style"/>
        </w:rPr>
        <w:t xml:space="preserve"> à Djibouti </w:t>
      </w:r>
      <w:r w:rsidRPr="005114BF">
        <w:rPr>
          <w:rFonts w:ascii="Bookman Old Style" w:hAnsi="Bookman Old Style"/>
        </w:rPr>
        <w:t>même si aujourd’hui le téléphone portable qui bénéfice d’une plus large diffusion depuis l’attribution de la licence GSM, en mai 2001, est de nature à pallier les conséquences du sous dimensionnement du réseau fixe. Pour un pays à revenu intermédiaire, le niveau de développement du rése</w:t>
      </w:r>
      <w:r>
        <w:rPr>
          <w:rFonts w:ascii="Bookman Old Style" w:hAnsi="Bookman Old Style"/>
        </w:rPr>
        <w:t xml:space="preserve">au de Djibouti est </w:t>
      </w:r>
      <w:r w:rsidRPr="005114BF">
        <w:rPr>
          <w:rFonts w:ascii="Bookman Old Style" w:hAnsi="Bookman Old Style"/>
        </w:rPr>
        <w:t>plutôt inférieur à la moyenne de l’Afrique subsaharienne pourtant domin</w:t>
      </w:r>
      <w:r>
        <w:rPr>
          <w:rFonts w:ascii="Bookman Old Style" w:hAnsi="Bookman Old Style"/>
        </w:rPr>
        <w:t>ée par les pays à faible revenu (voir tableau 4</w:t>
      </w:r>
      <w:r w:rsidRPr="005114BF">
        <w:rPr>
          <w:rFonts w:ascii="Bookman Old Style" w:hAnsi="Bookman Old Style"/>
        </w:rPr>
        <w:t xml:space="preserve">). </w:t>
      </w:r>
    </w:p>
    <w:p w:rsidR="009B0AFA" w:rsidRPr="005114BF" w:rsidRDefault="009B0AFA" w:rsidP="00F51197">
      <w:pPr>
        <w:tabs>
          <w:tab w:val="left" w:pos="2520"/>
        </w:tabs>
        <w:spacing w:line="480" w:lineRule="auto"/>
        <w:jc w:val="both"/>
        <w:rPr>
          <w:rFonts w:ascii="Bookman Old Style" w:hAnsi="Bookman Old Style"/>
        </w:rPr>
      </w:pPr>
    </w:p>
    <w:p w:rsidR="009B0AFA" w:rsidRPr="004731D0" w:rsidRDefault="009B0AFA" w:rsidP="00F51197">
      <w:pPr>
        <w:pStyle w:val="Lgende"/>
        <w:keepNext/>
        <w:spacing w:line="480" w:lineRule="auto"/>
        <w:jc w:val="center"/>
        <w:rPr>
          <w:rFonts w:ascii="Bookman Old Style" w:hAnsi="Bookman Old Style"/>
        </w:rPr>
      </w:pPr>
      <w:r w:rsidRPr="004731D0">
        <w:rPr>
          <w:rFonts w:ascii="Bookman Old Style" w:hAnsi="Bookman Old Style"/>
        </w:rPr>
        <w:t xml:space="preserve">Tableau </w:t>
      </w:r>
      <w:r w:rsidR="0091208B">
        <w:rPr>
          <w:rFonts w:ascii="Bookman Old Style" w:hAnsi="Bookman Old Style"/>
        </w:rPr>
        <w:t>4</w:t>
      </w:r>
      <w:r w:rsidR="0091208B" w:rsidRPr="004731D0">
        <w:rPr>
          <w:rFonts w:ascii="Bookman Old Style" w:hAnsi="Bookman Old Style"/>
        </w:rPr>
        <w:t xml:space="preserve"> :</w:t>
      </w:r>
      <w:r w:rsidRPr="004731D0">
        <w:rPr>
          <w:rFonts w:ascii="Bookman Old Style" w:hAnsi="Bookman Old Style"/>
        </w:rPr>
        <w:t xml:space="preserve"> Caractéristiques comparées des réseaux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297"/>
        <w:gridCol w:w="3101"/>
      </w:tblGrid>
      <w:tr w:rsidR="009B0AFA" w:rsidRPr="009E2DD1" w:rsidTr="00196209">
        <w:tc>
          <w:tcPr>
            <w:tcW w:w="3888" w:type="dxa"/>
            <w:shd w:val="pct12" w:color="auto" w:fill="DAEEF3"/>
          </w:tcPr>
          <w:p w:rsidR="009B0AFA" w:rsidRPr="009E2DD1" w:rsidRDefault="009B0AFA" w:rsidP="00F51197">
            <w:pPr>
              <w:spacing w:line="480" w:lineRule="auto"/>
              <w:jc w:val="center"/>
              <w:rPr>
                <w:rFonts w:ascii="Bookman Old Style" w:hAnsi="Bookman Old Style"/>
              </w:rPr>
            </w:pPr>
            <w:r w:rsidRPr="001E323A">
              <w:rPr>
                <w:rFonts w:ascii="Bookman Old Style" w:hAnsi="Bookman Old Style"/>
                <w:bCs/>
              </w:rPr>
              <w:t>Indicateurs</w:t>
            </w:r>
          </w:p>
        </w:tc>
        <w:tc>
          <w:tcPr>
            <w:tcW w:w="2297" w:type="dxa"/>
            <w:shd w:val="pct12" w:color="auto" w:fill="DAEEF3"/>
          </w:tcPr>
          <w:p w:rsidR="009B0AFA" w:rsidRPr="009E2DD1" w:rsidRDefault="009B0AFA" w:rsidP="00F51197">
            <w:pPr>
              <w:spacing w:line="480" w:lineRule="auto"/>
              <w:jc w:val="center"/>
              <w:rPr>
                <w:rFonts w:ascii="Bookman Old Style" w:hAnsi="Bookman Old Style"/>
              </w:rPr>
            </w:pPr>
            <w:r w:rsidRPr="001E323A">
              <w:rPr>
                <w:rFonts w:ascii="Bookman Old Style" w:hAnsi="Bookman Old Style"/>
                <w:bCs/>
              </w:rPr>
              <w:t>Djibouti</w:t>
            </w:r>
          </w:p>
        </w:tc>
        <w:tc>
          <w:tcPr>
            <w:tcW w:w="3101" w:type="dxa"/>
            <w:shd w:val="pct12" w:color="auto" w:fill="DAEEF3"/>
          </w:tcPr>
          <w:p w:rsidR="009B0AFA" w:rsidRPr="009E2DD1" w:rsidRDefault="009B0AFA" w:rsidP="00F51197">
            <w:pPr>
              <w:spacing w:line="480" w:lineRule="auto"/>
              <w:jc w:val="center"/>
              <w:rPr>
                <w:rFonts w:ascii="Bookman Old Style" w:hAnsi="Bookman Old Style"/>
              </w:rPr>
            </w:pPr>
            <w:r w:rsidRPr="001E323A">
              <w:rPr>
                <w:rFonts w:ascii="Bookman Old Style" w:hAnsi="Bookman Old Style"/>
                <w:bCs/>
              </w:rPr>
              <w:t>Afrique</w:t>
            </w:r>
          </w:p>
          <w:p w:rsidR="009B0AFA" w:rsidRPr="009E2DD1" w:rsidRDefault="009B0AFA" w:rsidP="00F51197">
            <w:pPr>
              <w:spacing w:line="480" w:lineRule="auto"/>
              <w:jc w:val="center"/>
              <w:rPr>
                <w:rFonts w:ascii="Bookman Old Style" w:hAnsi="Bookman Old Style"/>
              </w:rPr>
            </w:pPr>
          </w:p>
        </w:tc>
      </w:tr>
      <w:tr w:rsidR="009B0AFA" w:rsidRPr="004E6F33" w:rsidTr="001962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88" w:type="dxa"/>
            <w:shd w:val="clear" w:color="auto" w:fill="auto"/>
          </w:tcPr>
          <w:p w:rsidR="009B0AFA" w:rsidRPr="004E6F33" w:rsidRDefault="009B0AFA" w:rsidP="00F51197">
            <w:pPr>
              <w:spacing w:line="480" w:lineRule="auto"/>
              <w:rPr>
                <w:rFonts w:ascii="Bookman Old Style" w:hAnsi="Bookman Old Style"/>
              </w:rPr>
            </w:pPr>
            <w:r w:rsidRPr="004E6F33">
              <w:rPr>
                <w:rFonts w:ascii="Bookman Old Style" w:hAnsi="Bookman Old Style"/>
              </w:rPr>
              <w:lastRenderedPageBreak/>
              <w:t>PC / 100 personnes</w:t>
            </w:r>
          </w:p>
        </w:tc>
        <w:tc>
          <w:tcPr>
            <w:tcW w:w="2297" w:type="dxa"/>
            <w:shd w:val="clear" w:color="auto" w:fill="auto"/>
          </w:tcPr>
          <w:p w:rsidR="009B0AFA" w:rsidRPr="004E6F33" w:rsidRDefault="009B0AFA" w:rsidP="00F51197">
            <w:pPr>
              <w:spacing w:line="480" w:lineRule="auto"/>
              <w:jc w:val="center"/>
              <w:rPr>
                <w:rFonts w:ascii="Bookman Old Style" w:hAnsi="Bookman Old Style"/>
              </w:rPr>
            </w:pPr>
            <w:r w:rsidRPr="004E6F33">
              <w:rPr>
                <w:rFonts w:ascii="Bookman Old Style" w:hAnsi="Bookman Old Style"/>
              </w:rPr>
              <w:t>1,09</w:t>
            </w:r>
          </w:p>
        </w:tc>
        <w:tc>
          <w:tcPr>
            <w:tcW w:w="3101" w:type="dxa"/>
            <w:shd w:val="clear" w:color="auto" w:fill="auto"/>
          </w:tcPr>
          <w:p w:rsidR="009B0AFA" w:rsidRDefault="009B0AFA" w:rsidP="00F51197">
            <w:pPr>
              <w:spacing w:line="480" w:lineRule="auto"/>
              <w:jc w:val="center"/>
              <w:rPr>
                <w:rFonts w:ascii="Bookman Old Style" w:hAnsi="Bookman Old Style"/>
              </w:rPr>
            </w:pPr>
            <w:r w:rsidRPr="004E6F33">
              <w:rPr>
                <w:rFonts w:ascii="Bookman Old Style" w:hAnsi="Bookman Old Style"/>
              </w:rPr>
              <w:t>1,06</w:t>
            </w:r>
          </w:p>
          <w:p w:rsidR="009B0AFA" w:rsidRPr="004E6F33" w:rsidRDefault="009B0AFA" w:rsidP="00F51197">
            <w:pPr>
              <w:spacing w:line="480" w:lineRule="auto"/>
              <w:jc w:val="center"/>
              <w:rPr>
                <w:rFonts w:ascii="Bookman Old Style" w:hAnsi="Bookman Old Style"/>
              </w:rPr>
            </w:pPr>
          </w:p>
        </w:tc>
      </w:tr>
      <w:tr w:rsidR="009B0AFA" w:rsidRPr="004E6F33" w:rsidTr="001962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88" w:type="dxa"/>
            <w:shd w:val="clear" w:color="auto" w:fill="auto"/>
          </w:tcPr>
          <w:p w:rsidR="009B0AFA" w:rsidRPr="004E6F33" w:rsidRDefault="009B0AFA" w:rsidP="00F51197">
            <w:pPr>
              <w:spacing w:line="480" w:lineRule="auto"/>
              <w:rPr>
                <w:rFonts w:ascii="Bookman Old Style" w:hAnsi="Bookman Old Style"/>
              </w:rPr>
            </w:pPr>
            <w:r w:rsidRPr="004E6F33">
              <w:rPr>
                <w:rFonts w:ascii="Bookman Old Style" w:hAnsi="Bookman Old Style"/>
              </w:rPr>
              <w:t>Serveurs Personnes IP/1000</w:t>
            </w:r>
          </w:p>
        </w:tc>
        <w:tc>
          <w:tcPr>
            <w:tcW w:w="2297" w:type="dxa"/>
            <w:shd w:val="clear" w:color="auto" w:fill="auto"/>
          </w:tcPr>
          <w:p w:rsidR="009B0AFA" w:rsidRPr="004E6F33" w:rsidRDefault="009B0AFA" w:rsidP="00F51197">
            <w:pPr>
              <w:spacing w:line="480" w:lineRule="auto"/>
              <w:jc w:val="center"/>
              <w:rPr>
                <w:rFonts w:ascii="Bookman Old Style" w:hAnsi="Bookman Old Style"/>
              </w:rPr>
            </w:pPr>
            <w:r w:rsidRPr="004E6F33">
              <w:rPr>
                <w:rFonts w:ascii="Bookman Old Style" w:hAnsi="Bookman Old Style"/>
              </w:rPr>
              <w:t>0,13</w:t>
            </w:r>
          </w:p>
        </w:tc>
        <w:tc>
          <w:tcPr>
            <w:tcW w:w="3101" w:type="dxa"/>
            <w:shd w:val="clear" w:color="auto" w:fill="auto"/>
          </w:tcPr>
          <w:p w:rsidR="009B0AFA" w:rsidRDefault="009B0AFA" w:rsidP="00F51197">
            <w:pPr>
              <w:spacing w:line="480" w:lineRule="auto"/>
              <w:jc w:val="center"/>
              <w:rPr>
                <w:rFonts w:ascii="Bookman Old Style" w:hAnsi="Bookman Old Style"/>
              </w:rPr>
            </w:pPr>
            <w:r w:rsidRPr="004E6F33">
              <w:rPr>
                <w:rFonts w:ascii="Bookman Old Style" w:hAnsi="Bookman Old Style"/>
              </w:rPr>
              <w:t>1,38</w:t>
            </w:r>
          </w:p>
          <w:p w:rsidR="009B0AFA" w:rsidRPr="004E6F33" w:rsidRDefault="009B0AFA" w:rsidP="00F51197">
            <w:pPr>
              <w:spacing w:line="480" w:lineRule="auto"/>
              <w:jc w:val="center"/>
              <w:rPr>
                <w:rFonts w:ascii="Bookman Old Style" w:hAnsi="Bookman Old Style"/>
              </w:rPr>
            </w:pPr>
          </w:p>
        </w:tc>
      </w:tr>
      <w:tr w:rsidR="009B0AFA" w:rsidRPr="004E6F33" w:rsidTr="001962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88" w:type="dxa"/>
            <w:shd w:val="clear" w:color="auto" w:fill="auto"/>
          </w:tcPr>
          <w:p w:rsidR="009B0AFA" w:rsidRPr="004E6F33" w:rsidRDefault="009B0AFA" w:rsidP="00F51197">
            <w:pPr>
              <w:spacing w:line="480" w:lineRule="auto"/>
              <w:rPr>
                <w:rFonts w:ascii="Bookman Old Style" w:hAnsi="Bookman Old Style"/>
              </w:rPr>
            </w:pPr>
            <w:r w:rsidRPr="004E6F33">
              <w:rPr>
                <w:rFonts w:ascii="Bookman Old Style" w:hAnsi="Bookman Old Style"/>
              </w:rPr>
              <w:t>Utilisateurs Internet pour  10 0000</w:t>
            </w:r>
          </w:p>
        </w:tc>
        <w:tc>
          <w:tcPr>
            <w:tcW w:w="2297" w:type="dxa"/>
            <w:shd w:val="clear" w:color="auto" w:fill="auto"/>
          </w:tcPr>
          <w:p w:rsidR="009B0AFA" w:rsidRPr="004E6F33" w:rsidRDefault="009B0AFA" w:rsidP="00F51197">
            <w:pPr>
              <w:spacing w:line="480" w:lineRule="auto"/>
              <w:jc w:val="center"/>
              <w:rPr>
                <w:rFonts w:ascii="Bookman Old Style" w:hAnsi="Bookman Old Style"/>
              </w:rPr>
            </w:pPr>
            <w:r w:rsidRPr="004E6F33">
              <w:rPr>
                <w:rFonts w:ascii="Bookman Old Style" w:hAnsi="Bookman Old Style"/>
              </w:rPr>
              <w:t>51,3</w:t>
            </w:r>
          </w:p>
        </w:tc>
        <w:tc>
          <w:tcPr>
            <w:tcW w:w="3101" w:type="dxa"/>
            <w:shd w:val="clear" w:color="auto" w:fill="auto"/>
          </w:tcPr>
          <w:p w:rsidR="009B0AFA" w:rsidRPr="004E6F33" w:rsidRDefault="009B0AFA" w:rsidP="00F51197">
            <w:pPr>
              <w:spacing w:line="480" w:lineRule="auto"/>
              <w:jc w:val="center"/>
              <w:rPr>
                <w:rFonts w:ascii="Bookman Old Style" w:hAnsi="Bookman Old Style"/>
              </w:rPr>
            </w:pPr>
            <w:r w:rsidRPr="004E6F33">
              <w:rPr>
                <w:rFonts w:ascii="Bookman Old Style" w:hAnsi="Bookman Old Style"/>
              </w:rPr>
              <w:t>85,21</w:t>
            </w:r>
          </w:p>
        </w:tc>
      </w:tr>
      <w:tr w:rsidR="009B0AFA" w:rsidRPr="004E6F33" w:rsidTr="001962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88" w:type="dxa"/>
            <w:shd w:val="clear" w:color="auto" w:fill="auto"/>
          </w:tcPr>
          <w:p w:rsidR="009B0AFA" w:rsidRPr="004E6F33" w:rsidRDefault="009B0AFA" w:rsidP="00F51197">
            <w:pPr>
              <w:spacing w:line="480" w:lineRule="auto"/>
              <w:rPr>
                <w:rFonts w:ascii="Bookman Old Style" w:hAnsi="Bookman Old Style"/>
              </w:rPr>
            </w:pPr>
            <w:r w:rsidRPr="004E6F33">
              <w:rPr>
                <w:rFonts w:ascii="Bookman Old Style" w:hAnsi="Bookman Old Style"/>
              </w:rPr>
              <w:t>Densité Téléphonique (fixe)</w:t>
            </w:r>
          </w:p>
        </w:tc>
        <w:tc>
          <w:tcPr>
            <w:tcW w:w="2297" w:type="dxa"/>
            <w:shd w:val="clear" w:color="auto" w:fill="auto"/>
          </w:tcPr>
          <w:p w:rsidR="009B0AFA" w:rsidRPr="004E6F33" w:rsidRDefault="009B0AFA" w:rsidP="00F51197">
            <w:pPr>
              <w:spacing w:line="480" w:lineRule="auto"/>
              <w:jc w:val="center"/>
              <w:rPr>
                <w:rFonts w:ascii="Bookman Old Style" w:hAnsi="Bookman Old Style"/>
              </w:rPr>
            </w:pPr>
            <w:r w:rsidRPr="004E6F33">
              <w:rPr>
                <w:rFonts w:ascii="Bookman Old Style" w:hAnsi="Bookman Old Style"/>
              </w:rPr>
              <w:t>1,53</w:t>
            </w:r>
          </w:p>
        </w:tc>
        <w:tc>
          <w:tcPr>
            <w:tcW w:w="3101" w:type="dxa"/>
            <w:shd w:val="clear" w:color="auto" w:fill="auto"/>
          </w:tcPr>
          <w:p w:rsidR="009B0AFA" w:rsidRDefault="009B0AFA" w:rsidP="00F51197">
            <w:pPr>
              <w:spacing w:line="480" w:lineRule="auto"/>
              <w:jc w:val="center"/>
              <w:rPr>
                <w:rFonts w:ascii="Bookman Old Style" w:hAnsi="Bookman Old Style"/>
              </w:rPr>
            </w:pPr>
            <w:r w:rsidRPr="004E6F33">
              <w:rPr>
                <w:rFonts w:ascii="Bookman Old Style" w:hAnsi="Bookman Old Style"/>
              </w:rPr>
              <w:t>2,6</w:t>
            </w:r>
          </w:p>
          <w:p w:rsidR="009B0AFA" w:rsidRPr="004E6F33" w:rsidRDefault="009B0AFA" w:rsidP="00F51197">
            <w:pPr>
              <w:spacing w:line="480" w:lineRule="auto"/>
              <w:jc w:val="center"/>
              <w:rPr>
                <w:rFonts w:ascii="Bookman Old Style" w:hAnsi="Bookman Old Style"/>
              </w:rPr>
            </w:pPr>
          </w:p>
        </w:tc>
      </w:tr>
      <w:tr w:rsidR="009B0AFA" w:rsidRPr="004E6F33" w:rsidTr="001962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888" w:type="dxa"/>
            <w:shd w:val="clear" w:color="auto" w:fill="auto"/>
          </w:tcPr>
          <w:p w:rsidR="009B0AFA" w:rsidRPr="004E6F33" w:rsidRDefault="009B0AFA" w:rsidP="00F51197">
            <w:pPr>
              <w:spacing w:line="480" w:lineRule="auto"/>
              <w:rPr>
                <w:rFonts w:ascii="Bookman Old Style" w:hAnsi="Bookman Old Style"/>
              </w:rPr>
            </w:pPr>
            <w:r w:rsidRPr="004E6F33">
              <w:rPr>
                <w:rFonts w:ascii="Bookman Old Style" w:hAnsi="Bookman Old Style"/>
              </w:rPr>
              <w:t>Téléphones mobile/ 100 pers</w:t>
            </w:r>
          </w:p>
        </w:tc>
        <w:tc>
          <w:tcPr>
            <w:tcW w:w="2297" w:type="dxa"/>
            <w:shd w:val="clear" w:color="auto" w:fill="auto"/>
          </w:tcPr>
          <w:p w:rsidR="009B0AFA" w:rsidRPr="004E6F33" w:rsidRDefault="009B0AFA" w:rsidP="00F51197">
            <w:pPr>
              <w:spacing w:line="480" w:lineRule="auto"/>
              <w:jc w:val="center"/>
              <w:rPr>
                <w:rFonts w:ascii="Bookman Old Style" w:hAnsi="Bookman Old Style"/>
              </w:rPr>
            </w:pPr>
            <w:r w:rsidRPr="004E6F33">
              <w:rPr>
                <w:rFonts w:ascii="Bookman Old Style" w:hAnsi="Bookman Old Style"/>
              </w:rPr>
              <w:t>0,47</w:t>
            </w:r>
          </w:p>
        </w:tc>
        <w:tc>
          <w:tcPr>
            <w:tcW w:w="3101" w:type="dxa"/>
            <w:shd w:val="clear" w:color="auto" w:fill="auto"/>
          </w:tcPr>
          <w:p w:rsidR="009B0AFA" w:rsidRDefault="009B0AFA" w:rsidP="00F51197">
            <w:pPr>
              <w:spacing w:line="480" w:lineRule="auto"/>
              <w:jc w:val="center"/>
              <w:rPr>
                <w:rFonts w:ascii="Bookman Old Style" w:hAnsi="Bookman Old Style"/>
              </w:rPr>
            </w:pPr>
            <w:r w:rsidRPr="004E6F33">
              <w:rPr>
                <w:rFonts w:ascii="Bookman Old Style" w:hAnsi="Bookman Old Style"/>
              </w:rPr>
              <w:t>5.9</w:t>
            </w:r>
          </w:p>
          <w:p w:rsidR="009B0AFA" w:rsidRPr="004E6F33" w:rsidRDefault="009B0AFA" w:rsidP="00F51197">
            <w:pPr>
              <w:spacing w:line="480" w:lineRule="auto"/>
              <w:jc w:val="center"/>
              <w:rPr>
                <w:rFonts w:ascii="Bookman Old Style" w:hAnsi="Bookman Old Style"/>
              </w:rPr>
            </w:pPr>
          </w:p>
        </w:tc>
      </w:tr>
    </w:tbl>
    <w:p w:rsidR="009B0AFA" w:rsidRPr="00FD0093" w:rsidRDefault="009B0AFA" w:rsidP="00F51197">
      <w:pPr>
        <w:spacing w:line="480" w:lineRule="auto"/>
        <w:jc w:val="both"/>
        <w:rPr>
          <w:rFonts w:ascii="Bookman Old Style" w:hAnsi="Bookman Old Style"/>
          <w:sz w:val="22"/>
          <w:szCs w:val="22"/>
        </w:rPr>
      </w:pPr>
      <w:r w:rsidRPr="001E323A">
        <w:rPr>
          <w:rFonts w:ascii="Bookman Old Style" w:hAnsi="Bookman Old Style"/>
          <w:sz w:val="22"/>
          <w:szCs w:val="22"/>
        </w:rPr>
        <w:t>Source : PNUD, 2004, Etude Diagnostique d’Intégration par le Commerce.</w:t>
      </w:r>
    </w:p>
    <w:p w:rsidR="009B0AFA" w:rsidRDefault="009B0AFA" w:rsidP="00F51197">
      <w:pPr>
        <w:pStyle w:val="Notedebasdepage"/>
        <w:spacing w:line="480" w:lineRule="auto"/>
        <w:ind w:firstLine="706"/>
        <w:jc w:val="both"/>
        <w:rPr>
          <w:rFonts w:ascii="Bookman Old Style" w:hAnsi="Bookman Old Style"/>
          <w:sz w:val="24"/>
          <w:szCs w:val="24"/>
        </w:rPr>
      </w:pPr>
    </w:p>
    <w:p w:rsidR="009B0AFA" w:rsidRDefault="009B0AFA" w:rsidP="00F51197">
      <w:pPr>
        <w:pStyle w:val="Notedebasdepage"/>
        <w:spacing w:line="480" w:lineRule="auto"/>
        <w:ind w:firstLine="706"/>
        <w:jc w:val="both"/>
        <w:rPr>
          <w:rFonts w:ascii="Bookman Old Style" w:hAnsi="Bookman Old Style"/>
          <w:sz w:val="24"/>
          <w:szCs w:val="24"/>
        </w:rPr>
      </w:pPr>
      <w:r w:rsidRPr="006968C6">
        <w:rPr>
          <w:rFonts w:ascii="Bookman Old Style" w:hAnsi="Bookman Old Style"/>
          <w:sz w:val="24"/>
          <w:szCs w:val="24"/>
        </w:rPr>
        <w:t xml:space="preserve">La responsabilité de surcoût des services publics marchands </w:t>
      </w:r>
      <w:r>
        <w:rPr>
          <w:rFonts w:ascii="Bookman Old Style" w:hAnsi="Bookman Old Style"/>
          <w:sz w:val="24"/>
          <w:szCs w:val="24"/>
        </w:rPr>
        <w:t xml:space="preserve">notamment pour l’eau et l’énergie, </w:t>
      </w:r>
      <w:r w:rsidRPr="006968C6">
        <w:rPr>
          <w:rFonts w:ascii="Bookman Old Style" w:hAnsi="Bookman Old Style"/>
          <w:sz w:val="24"/>
          <w:szCs w:val="24"/>
        </w:rPr>
        <w:t xml:space="preserve">peut s’expliquer à Djibouti en partie par des facteurs exogènes. </w:t>
      </w:r>
      <w:r>
        <w:rPr>
          <w:rFonts w:ascii="Bookman Old Style" w:hAnsi="Bookman Old Style"/>
          <w:sz w:val="24"/>
          <w:szCs w:val="24"/>
        </w:rPr>
        <w:t xml:space="preserve">Djibouti est un pays aride. </w:t>
      </w:r>
      <w:r w:rsidRPr="006968C6">
        <w:rPr>
          <w:rFonts w:ascii="Bookman Old Style" w:hAnsi="Bookman Old Style"/>
          <w:sz w:val="24"/>
          <w:szCs w:val="24"/>
        </w:rPr>
        <w:t xml:space="preserve">L’eau se caractérise par une rareté impliquant des coûts de captage </w:t>
      </w:r>
      <w:r>
        <w:rPr>
          <w:rFonts w:ascii="Bookman Old Style" w:hAnsi="Bookman Old Style"/>
          <w:sz w:val="24"/>
          <w:szCs w:val="24"/>
        </w:rPr>
        <w:t>élevés : l</w:t>
      </w:r>
      <w:r w:rsidRPr="006968C6">
        <w:rPr>
          <w:rFonts w:ascii="Bookman Old Style" w:hAnsi="Bookman Old Style"/>
          <w:sz w:val="24"/>
          <w:szCs w:val="24"/>
        </w:rPr>
        <w:t xml:space="preserve">e climat désertique est chaud et sec avec une moyenne pluviométrique variant de 100  à 200 millimètres par an et tombant de façon irrégulière. Ces dernières années, le prix des hydrocarbures a été aussi particulièrement élevé pour l’électricité. </w:t>
      </w:r>
    </w:p>
    <w:p w:rsidR="009B0AFA" w:rsidRDefault="009B0AFA" w:rsidP="00F51197">
      <w:pPr>
        <w:pStyle w:val="Notedebasdepage"/>
        <w:spacing w:line="480" w:lineRule="auto"/>
        <w:ind w:firstLine="706"/>
        <w:jc w:val="both"/>
        <w:rPr>
          <w:rFonts w:ascii="Bookman Old Style" w:hAnsi="Bookman Old Style"/>
          <w:sz w:val="24"/>
          <w:szCs w:val="24"/>
        </w:rPr>
      </w:pPr>
    </w:p>
    <w:p w:rsidR="009B0AFA" w:rsidRDefault="009B0AFA" w:rsidP="00F51197">
      <w:pPr>
        <w:pStyle w:val="Notedebasdepage"/>
        <w:spacing w:line="480" w:lineRule="auto"/>
        <w:ind w:firstLine="706"/>
        <w:jc w:val="both"/>
        <w:rPr>
          <w:rFonts w:ascii="Bookman Old Style" w:hAnsi="Bookman Old Style"/>
          <w:sz w:val="24"/>
          <w:szCs w:val="24"/>
        </w:rPr>
      </w:pPr>
      <w:r>
        <w:rPr>
          <w:rFonts w:ascii="Bookman Old Style" w:hAnsi="Bookman Old Style"/>
          <w:sz w:val="24"/>
          <w:szCs w:val="24"/>
        </w:rPr>
        <w:t xml:space="preserve">Le prix élevé de services publics est aussi et surtout attribué par les bailleurs de fonds à une gestion défaillante. </w:t>
      </w:r>
      <w:r w:rsidRPr="006968C6">
        <w:rPr>
          <w:rFonts w:ascii="Bookman Old Style" w:hAnsi="Bookman Old Style"/>
          <w:sz w:val="24"/>
          <w:szCs w:val="24"/>
        </w:rPr>
        <w:t>Les entreprises</w:t>
      </w:r>
      <w:r>
        <w:rPr>
          <w:rFonts w:ascii="Bookman Old Style" w:hAnsi="Bookman Old Style"/>
          <w:sz w:val="24"/>
          <w:szCs w:val="24"/>
        </w:rPr>
        <w:t xml:space="preserve"> publiques présentent d’abord </w:t>
      </w:r>
      <w:r w:rsidRPr="006968C6">
        <w:rPr>
          <w:rFonts w:ascii="Bookman Old Style" w:hAnsi="Bookman Old Style"/>
          <w:sz w:val="24"/>
          <w:szCs w:val="24"/>
        </w:rPr>
        <w:t xml:space="preserve">des charges d’exploitation très importante dues notamment à leur masse salariale élevée. A titre d’exemple, l’Electricité de </w:t>
      </w:r>
      <w:r w:rsidRPr="006968C6">
        <w:rPr>
          <w:rFonts w:ascii="Bookman Old Style" w:hAnsi="Bookman Old Style"/>
          <w:sz w:val="24"/>
          <w:szCs w:val="24"/>
        </w:rPr>
        <w:lastRenderedPageBreak/>
        <w:t xml:space="preserve">Djibouti gère un effectif d’environ 900 salariés pour alimenter 36 000 abonnés </w:t>
      </w:r>
      <w:r>
        <w:rPr>
          <w:rFonts w:ascii="Bookman Old Style" w:hAnsi="Bookman Old Style"/>
          <w:sz w:val="24"/>
          <w:szCs w:val="24"/>
        </w:rPr>
        <w:t xml:space="preserve">à </w:t>
      </w:r>
      <w:r w:rsidRPr="006968C6">
        <w:rPr>
          <w:rFonts w:ascii="Bookman Old Style" w:hAnsi="Bookman Old Style"/>
          <w:sz w:val="24"/>
          <w:szCs w:val="24"/>
        </w:rPr>
        <w:t xml:space="preserve">un courant d’origine thermique. Compte tenu du volume de la distribution et </w:t>
      </w:r>
      <w:r>
        <w:rPr>
          <w:rFonts w:ascii="Bookman Old Style" w:hAnsi="Bookman Old Style"/>
          <w:sz w:val="24"/>
          <w:szCs w:val="24"/>
        </w:rPr>
        <w:t xml:space="preserve">de </w:t>
      </w:r>
      <w:r w:rsidRPr="006968C6">
        <w:rPr>
          <w:rFonts w:ascii="Bookman Old Style" w:hAnsi="Bookman Old Style"/>
          <w:sz w:val="24"/>
          <w:szCs w:val="24"/>
        </w:rPr>
        <w:t xml:space="preserve">la concentration des abonnés dans la capitale le sureffectif apparaît important. Djibouti ne compte en effet que 36 raccordements par employé, ratio peu important en comparaison </w:t>
      </w:r>
      <w:r>
        <w:rPr>
          <w:rFonts w:ascii="Bookman Old Style" w:hAnsi="Bookman Old Style"/>
          <w:sz w:val="24"/>
          <w:szCs w:val="24"/>
        </w:rPr>
        <w:t xml:space="preserve">d’autres petits Etats d’Afrique </w:t>
      </w:r>
      <w:r w:rsidRPr="006968C6">
        <w:rPr>
          <w:rFonts w:ascii="Bookman Old Style" w:hAnsi="Bookman Old Style"/>
          <w:sz w:val="24"/>
          <w:szCs w:val="24"/>
        </w:rPr>
        <w:t xml:space="preserve">: Ile Maurice (179 raccordements/employé) ou Cap Vert (70). Les pratiques internationales performantes indiquent une fourchette entre 70-100 raccordements par employé. Par ailleurs, la compagnie octroie de généreuses subventions au personnel sous la forme d’une consommation électrique fortement subventionnée (à un taux de 5,15 FD/KWh). Cette incitation a engendré une consommation moyenne parmi le personnel de l’EDD double de celle d’un client </w:t>
      </w:r>
      <w:r>
        <w:rPr>
          <w:rFonts w:ascii="Bookman Old Style" w:hAnsi="Bookman Old Style"/>
          <w:sz w:val="24"/>
          <w:szCs w:val="24"/>
        </w:rPr>
        <w:t xml:space="preserve">normal </w:t>
      </w:r>
      <w:r w:rsidRPr="006968C6">
        <w:rPr>
          <w:rFonts w:ascii="Bookman Old Style" w:hAnsi="Bookman Old Style"/>
          <w:sz w:val="24"/>
          <w:szCs w:val="24"/>
        </w:rPr>
        <w:t>et coûte à l’EDD environ 1,5 million de $EU par an. Quant à l’Office de l’eau,</w:t>
      </w:r>
      <w:r>
        <w:rPr>
          <w:rFonts w:ascii="Bookman Old Style" w:hAnsi="Bookman Old Style"/>
          <w:sz w:val="24"/>
          <w:szCs w:val="24"/>
        </w:rPr>
        <w:t xml:space="preserve"> elle compte 21 employés pour 1 </w:t>
      </w:r>
      <w:r w:rsidRPr="006968C6">
        <w:rPr>
          <w:rFonts w:ascii="Bookman Old Style" w:hAnsi="Bookman Old Style"/>
          <w:sz w:val="24"/>
          <w:szCs w:val="24"/>
        </w:rPr>
        <w:t>000 raccordements actifs, la pratique performante étant de l’ordre de quatre à six salariés pour 1 000 raccordements. Cette surcharge d’exploitation est d’autant plus coûteuse que les salaires des entreprises publiques sont relativement élevés à Djibouti. Le salaire moyen annuel des entrep</w:t>
      </w:r>
      <w:r>
        <w:rPr>
          <w:rFonts w:ascii="Bookman Old Style" w:hAnsi="Bookman Old Style"/>
          <w:sz w:val="24"/>
          <w:szCs w:val="24"/>
        </w:rPr>
        <w:t xml:space="preserve">rises de l’Etat est d’environ 8 </w:t>
      </w:r>
      <w:r w:rsidRPr="006968C6">
        <w:rPr>
          <w:rFonts w:ascii="Bookman Old Style" w:hAnsi="Bookman Old Style"/>
          <w:sz w:val="24"/>
          <w:szCs w:val="24"/>
        </w:rPr>
        <w:t>850 dollars américains. A titre de comparaison le salaire moyen par employé de la compagnie nationale d’él</w:t>
      </w:r>
      <w:r>
        <w:rPr>
          <w:rFonts w:ascii="Bookman Old Style" w:hAnsi="Bookman Old Style"/>
          <w:sz w:val="24"/>
          <w:szCs w:val="24"/>
        </w:rPr>
        <w:t xml:space="preserve">ectricité du Yémen est d’environ 1 500 dollars </w:t>
      </w:r>
      <w:r w:rsidRPr="006968C6">
        <w:rPr>
          <w:rFonts w:ascii="Bookman Old Style" w:hAnsi="Bookman Old Style"/>
          <w:sz w:val="24"/>
          <w:szCs w:val="24"/>
        </w:rPr>
        <w:t xml:space="preserve">(Banque mondiale, 2006). </w:t>
      </w:r>
    </w:p>
    <w:p w:rsidR="009B0AFA" w:rsidRPr="006968C6" w:rsidRDefault="009B0AFA" w:rsidP="00F51197">
      <w:pPr>
        <w:pStyle w:val="Notedebasdepage"/>
        <w:spacing w:line="480" w:lineRule="auto"/>
        <w:ind w:firstLine="706"/>
        <w:jc w:val="both"/>
        <w:rPr>
          <w:sz w:val="24"/>
          <w:szCs w:val="24"/>
        </w:rPr>
      </w:pPr>
    </w:p>
    <w:p w:rsidR="009B0AFA" w:rsidRDefault="009B0AFA" w:rsidP="00F51197">
      <w:pPr>
        <w:spacing w:line="480" w:lineRule="auto"/>
        <w:ind w:firstLine="709"/>
        <w:jc w:val="both"/>
        <w:rPr>
          <w:rFonts w:ascii="Bookman Old Style" w:hAnsi="Bookman Old Style"/>
        </w:rPr>
      </w:pPr>
      <w:r w:rsidRPr="005114BF">
        <w:rPr>
          <w:rFonts w:ascii="Bookman Old Style" w:hAnsi="Bookman Old Style"/>
        </w:rPr>
        <w:t xml:space="preserve">La responsabilité de l’Etat </w:t>
      </w:r>
      <w:r>
        <w:rPr>
          <w:rFonts w:ascii="Bookman Old Style" w:hAnsi="Bookman Old Style"/>
        </w:rPr>
        <w:t xml:space="preserve">actionnaire unique </w:t>
      </w:r>
      <w:r w:rsidRPr="005114BF">
        <w:rPr>
          <w:rFonts w:ascii="Bookman Old Style" w:hAnsi="Bookman Old Style"/>
        </w:rPr>
        <w:t>est également pointée du doigt lorsqu’il s’agit des paiements des factures. L’Etat gros consommateur</w:t>
      </w:r>
      <w:r>
        <w:rPr>
          <w:rFonts w:ascii="Bookman Old Style" w:hAnsi="Bookman Old Style"/>
        </w:rPr>
        <w:t xml:space="preserve"> d’énergie, de téléphone et d</w:t>
      </w:r>
      <w:r w:rsidRPr="005114BF">
        <w:rPr>
          <w:rFonts w:ascii="Bookman Old Style" w:hAnsi="Bookman Old Style"/>
        </w:rPr>
        <w:t>’eau est au</w:t>
      </w:r>
      <w:r>
        <w:rPr>
          <w:rFonts w:ascii="Bookman Old Style" w:hAnsi="Bookman Old Style"/>
        </w:rPr>
        <w:t xml:space="preserve">ssi un mauvais payeur. A l’absence de </w:t>
      </w:r>
      <w:r w:rsidRPr="005114BF">
        <w:rPr>
          <w:rFonts w:ascii="Bookman Old Style" w:hAnsi="Bookman Old Style"/>
        </w:rPr>
        <w:t>sanction en cas de non paiemen</w:t>
      </w:r>
      <w:r>
        <w:rPr>
          <w:rFonts w:ascii="Bookman Old Style" w:hAnsi="Bookman Old Style"/>
        </w:rPr>
        <w:t>t s’ajoute celle</w:t>
      </w:r>
      <w:r w:rsidRPr="005114BF">
        <w:rPr>
          <w:rFonts w:ascii="Bookman Old Style" w:hAnsi="Bookman Old Style"/>
        </w:rPr>
        <w:t xml:space="preserve"> de </w:t>
      </w:r>
      <w:r>
        <w:rPr>
          <w:rFonts w:ascii="Bookman Old Style" w:hAnsi="Bookman Old Style"/>
        </w:rPr>
        <w:t xml:space="preserve">non </w:t>
      </w:r>
      <w:r w:rsidRPr="005114BF">
        <w:rPr>
          <w:rFonts w:ascii="Bookman Old Style" w:hAnsi="Bookman Old Style"/>
        </w:rPr>
        <w:t xml:space="preserve">responsabilisation de </w:t>
      </w:r>
      <w:r w:rsidRPr="005114BF">
        <w:rPr>
          <w:rFonts w:ascii="Bookman Old Style" w:hAnsi="Bookman Old Style"/>
        </w:rPr>
        <w:lastRenderedPageBreak/>
        <w:t>chaque ministère sur ses propres consommations d</w:t>
      </w:r>
      <w:r>
        <w:rPr>
          <w:rFonts w:ascii="Bookman Old Style" w:hAnsi="Bookman Old Style"/>
        </w:rPr>
        <w:t>’énergie, d</w:t>
      </w:r>
      <w:r w:rsidRPr="005114BF">
        <w:rPr>
          <w:rFonts w:ascii="Bookman Old Style" w:hAnsi="Bookman Old Style"/>
        </w:rPr>
        <w:t>’eau, de téléphone puisque le paiement des factures de l’administration est centralisé auprès du Ministère de l’Economie et des Finances. Les débordements des ministères dépensiers se reportent sur le ministère de l’Economie et des Finances. Celui</w:t>
      </w:r>
      <w:r>
        <w:rPr>
          <w:rFonts w:ascii="Bookman Old Style" w:hAnsi="Bookman Old Style"/>
        </w:rPr>
        <w:t xml:space="preserve">-ci présente </w:t>
      </w:r>
      <w:r w:rsidRPr="005114BF">
        <w:rPr>
          <w:rFonts w:ascii="Bookman Old Style" w:hAnsi="Bookman Old Style"/>
        </w:rPr>
        <w:t xml:space="preserve">des arriérés de paiement envers les entreprises publiques qui </w:t>
      </w:r>
      <w:r>
        <w:rPr>
          <w:rFonts w:ascii="Bookman Old Style" w:hAnsi="Bookman Old Style"/>
        </w:rPr>
        <w:t>se soldent</w:t>
      </w:r>
      <w:r w:rsidRPr="005114BF">
        <w:rPr>
          <w:rFonts w:ascii="Bookman Old Style" w:hAnsi="Bookman Old Style"/>
        </w:rPr>
        <w:t xml:space="preserve"> parfois par des compensations avec des créances fiscales. </w:t>
      </w:r>
    </w:p>
    <w:p w:rsidR="009B0AFA" w:rsidRDefault="009B0AFA" w:rsidP="00F51197">
      <w:pPr>
        <w:spacing w:line="480" w:lineRule="auto"/>
        <w:ind w:firstLine="709"/>
        <w:jc w:val="both"/>
        <w:rPr>
          <w:rFonts w:ascii="Bookman Old Style" w:hAnsi="Bookman Old Style"/>
        </w:rPr>
      </w:pPr>
      <w:r w:rsidRPr="005114BF">
        <w:rPr>
          <w:rFonts w:ascii="Bookman Old Style" w:hAnsi="Bookman Old Style"/>
        </w:rPr>
        <w:t xml:space="preserve">Le faible recouvrement des factures </w:t>
      </w:r>
      <w:r>
        <w:rPr>
          <w:rFonts w:ascii="Bookman Old Style" w:hAnsi="Bookman Old Style"/>
        </w:rPr>
        <w:t xml:space="preserve">de </w:t>
      </w:r>
      <w:r w:rsidRPr="005114BF">
        <w:rPr>
          <w:rFonts w:ascii="Bookman Old Style" w:hAnsi="Bookman Old Style"/>
        </w:rPr>
        <w:t>l’administration impose aux entreprises publiques</w:t>
      </w:r>
      <w:r>
        <w:rPr>
          <w:rFonts w:ascii="Bookman Old Style" w:hAnsi="Bookman Old Style"/>
        </w:rPr>
        <w:t xml:space="preserve"> de</w:t>
      </w:r>
      <w:r w:rsidRPr="005114BF">
        <w:rPr>
          <w:rFonts w:ascii="Bookman Old Style" w:hAnsi="Bookman Old Style"/>
        </w:rPr>
        <w:t xml:space="preserve"> rechercher des crédits de trésorerie ou </w:t>
      </w:r>
      <w:r>
        <w:rPr>
          <w:rFonts w:ascii="Bookman Old Style" w:hAnsi="Bookman Old Style"/>
        </w:rPr>
        <w:t xml:space="preserve">de </w:t>
      </w:r>
      <w:r w:rsidRPr="005114BF">
        <w:rPr>
          <w:rFonts w:ascii="Bookman Old Style" w:hAnsi="Bookman Old Style"/>
        </w:rPr>
        <w:t xml:space="preserve">constituer des arriérés de paiement envers ses propres fournisseurs. </w:t>
      </w:r>
      <w:r>
        <w:rPr>
          <w:rFonts w:ascii="Bookman Old Style" w:hAnsi="Bookman Old Style"/>
        </w:rPr>
        <w:t>A titre d’exemple e</w:t>
      </w:r>
      <w:r w:rsidRPr="005114BF">
        <w:rPr>
          <w:rFonts w:ascii="Bookman Old Style" w:hAnsi="Bookman Old Style"/>
        </w:rPr>
        <w:t xml:space="preserve">n 2002, </w:t>
      </w:r>
      <w:r>
        <w:rPr>
          <w:rFonts w:ascii="Bookman Old Style" w:hAnsi="Bookman Old Style"/>
        </w:rPr>
        <w:t xml:space="preserve">la Banque mondiale a estimé que </w:t>
      </w:r>
      <w:r w:rsidRPr="005114BF">
        <w:rPr>
          <w:rFonts w:ascii="Bookman Old Style" w:hAnsi="Bookman Old Style"/>
        </w:rPr>
        <w:t>les arriéré</w:t>
      </w:r>
      <w:r>
        <w:rPr>
          <w:rFonts w:ascii="Bookman Old Style" w:hAnsi="Bookman Old Style"/>
        </w:rPr>
        <w:t xml:space="preserve">s de paiement accumulés par le Gouvernement </w:t>
      </w:r>
      <w:r w:rsidRPr="005114BF">
        <w:rPr>
          <w:rFonts w:ascii="Bookman Old Style" w:hAnsi="Bookman Old Style"/>
        </w:rPr>
        <w:t>sur la facture de l’électricité étaient de l’ordre de 5,3 milliards de Francs Djibouti (30 m</w:t>
      </w:r>
      <w:r>
        <w:rPr>
          <w:rFonts w:ascii="Bookman Old Style" w:hAnsi="Bookman Old Style"/>
        </w:rPr>
        <w:t xml:space="preserve">illions de dollars américains). </w:t>
      </w:r>
      <w:r>
        <w:rPr>
          <w:rFonts w:ascii="Bookman Old Style" w:hAnsi="Bookman Old Style"/>
          <w:szCs w:val="28"/>
        </w:rPr>
        <w:t>Outre</w:t>
      </w:r>
      <w:r>
        <w:rPr>
          <w:rFonts w:ascii="Bookman Old Style" w:hAnsi="Bookman Old Style"/>
        </w:rPr>
        <w:t xml:space="preserve"> les arriérés de paiement du G</w:t>
      </w:r>
      <w:r w:rsidRPr="005114BF">
        <w:rPr>
          <w:rFonts w:ascii="Bookman Old Style" w:hAnsi="Bookman Old Style"/>
        </w:rPr>
        <w:t>ouvernement aux entreprises publiques, il faut ajouter les arriérés interentreprises. L’électricité par exemple représente une part importante des coûts de l’O</w:t>
      </w:r>
      <w:r>
        <w:rPr>
          <w:rFonts w:ascii="Bookman Old Style" w:hAnsi="Bookman Old Style"/>
        </w:rPr>
        <w:t>ffice de l’eau</w:t>
      </w:r>
      <w:r w:rsidRPr="005114BF">
        <w:rPr>
          <w:rFonts w:ascii="Bookman Old Style" w:hAnsi="Bookman Old Style"/>
        </w:rPr>
        <w:t>. Le non paiement de l’Etat a contraint l’Office de l’eau à accumuler des arriérés de paiement sur les factures de</w:t>
      </w:r>
      <w:r>
        <w:rPr>
          <w:rFonts w:ascii="Bookman Old Style" w:hAnsi="Bookman Old Style"/>
        </w:rPr>
        <w:t>s services dus à l’Electricité de Djibouti, au point que l’EDD</w:t>
      </w:r>
      <w:r w:rsidR="003D76E4">
        <w:rPr>
          <w:rStyle w:val="Appelnotedebasdep"/>
          <w:rFonts w:ascii="Bookman Old Style" w:hAnsi="Bookman Old Style"/>
        </w:rPr>
        <w:footnoteReference w:id="3"/>
      </w:r>
      <w:r>
        <w:rPr>
          <w:rFonts w:ascii="Bookman Old Style" w:hAnsi="Bookman Old Style"/>
        </w:rPr>
        <w:t xml:space="preserve"> </w:t>
      </w:r>
      <w:r w:rsidRPr="005114BF">
        <w:rPr>
          <w:rFonts w:ascii="Bookman Old Style" w:hAnsi="Bookman Old Style"/>
        </w:rPr>
        <w:t>est</w:t>
      </w:r>
      <w:r>
        <w:rPr>
          <w:rFonts w:ascii="Bookman Old Style" w:hAnsi="Bookman Old Style"/>
        </w:rPr>
        <w:t xml:space="preserve"> aujourd’hui</w:t>
      </w:r>
      <w:r w:rsidRPr="005114BF">
        <w:rPr>
          <w:rFonts w:ascii="Bookman Old Style" w:hAnsi="Bookman Old Style"/>
        </w:rPr>
        <w:t xml:space="preserve"> l’un des plus importants créanciers de la compagnie des eaux. Il s’agit de deux grandes entreprises publiques qui dans une large mesure sont étroitement interconnectées.</w:t>
      </w:r>
    </w:p>
    <w:p w:rsidR="009B0AFA" w:rsidRDefault="009B0AFA" w:rsidP="00F51197">
      <w:pPr>
        <w:spacing w:line="480" w:lineRule="auto"/>
        <w:ind w:firstLine="709"/>
        <w:jc w:val="both"/>
        <w:rPr>
          <w:rFonts w:ascii="Bookman Old Style" w:hAnsi="Bookman Old Style"/>
        </w:rPr>
      </w:pPr>
      <w:r w:rsidRPr="005114BF">
        <w:rPr>
          <w:rFonts w:ascii="Bookman Old Style" w:hAnsi="Bookman Old Style"/>
        </w:rPr>
        <w:t xml:space="preserve">Les manques à gagner inhérents au non-paiement des factures de l’administration </w:t>
      </w:r>
      <w:r>
        <w:rPr>
          <w:rFonts w:ascii="Bookman Old Style" w:hAnsi="Bookman Old Style"/>
        </w:rPr>
        <w:t>s’accompagnent aussi d’un certain</w:t>
      </w:r>
      <w:r w:rsidRPr="005114BF">
        <w:rPr>
          <w:rFonts w:ascii="Bookman Old Style" w:hAnsi="Bookman Old Style"/>
        </w:rPr>
        <w:t xml:space="preserve"> nombre des gaspillages de la part de cette même administration. Au niveau du ministère de </w:t>
      </w:r>
      <w:r w:rsidRPr="005114BF">
        <w:rPr>
          <w:rFonts w:ascii="Bookman Old Style" w:hAnsi="Bookman Old Style"/>
        </w:rPr>
        <w:lastRenderedPageBreak/>
        <w:t xml:space="preserve">l’Education </w:t>
      </w:r>
      <w:r>
        <w:rPr>
          <w:rFonts w:ascii="Bookman Old Style" w:hAnsi="Bookman Old Style"/>
        </w:rPr>
        <w:t xml:space="preserve">nationale </w:t>
      </w:r>
      <w:r w:rsidRPr="005114BF">
        <w:rPr>
          <w:rFonts w:ascii="Bookman Old Style" w:hAnsi="Bookman Old Style"/>
        </w:rPr>
        <w:t>par exemple, l’absence de relation directe entre la consommation et le paiement conduit à l’absence de surveillance interne des branchements localisés dans les écoles. Il en résulte des</w:t>
      </w:r>
      <w:r>
        <w:rPr>
          <w:rFonts w:ascii="Bookman Old Style" w:hAnsi="Bookman Old Style"/>
        </w:rPr>
        <w:t xml:space="preserve"> consommations d’eau </w:t>
      </w:r>
      <w:r w:rsidRPr="005114BF">
        <w:rPr>
          <w:rFonts w:ascii="Bookman Old Style" w:hAnsi="Bookman Old Style"/>
        </w:rPr>
        <w:t xml:space="preserve">aussi </w:t>
      </w:r>
      <w:r>
        <w:rPr>
          <w:rFonts w:ascii="Bookman Old Style" w:hAnsi="Bookman Old Style"/>
        </w:rPr>
        <w:t xml:space="preserve">anormalement </w:t>
      </w:r>
      <w:r w:rsidRPr="005114BF">
        <w:rPr>
          <w:rFonts w:ascii="Bookman Old Style" w:hAnsi="Bookman Old Style"/>
        </w:rPr>
        <w:t>élevées en période scolaire qu’en période de va</w:t>
      </w:r>
      <w:r>
        <w:rPr>
          <w:rFonts w:ascii="Bookman Old Style" w:hAnsi="Bookman Old Style"/>
        </w:rPr>
        <w:t xml:space="preserve">cances.  </w:t>
      </w:r>
      <w:r w:rsidRPr="005114BF">
        <w:rPr>
          <w:rFonts w:ascii="Bookman Old Style" w:hAnsi="Bookman Old Style"/>
        </w:rPr>
        <w:t>Les branchements publics sont donc utilisés à des fin</w:t>
      </w:r>
      <w:r>
        <w:rPr>
          <w:rFonts w:ascii="Bookman Old Style" w:hAnsi="Bookman Old Style"/>
        </w:rPr>
        <w:t xml:space="preserve">s privées (Houssein, 2011, p.51). Les implications de </w:t>
      </w:r>
      <w:r w:rsidRPr="005114BF">
        <w:rPr>
          <w:rFonts w:ascii="Bookman Old Style" w:hAnsi="Bookman Old Style"/>
        </w:rPr>
        <w:t>ces dérives risquent de s’aggraver avec la politique d’ouverture de nouvelles écoles</w:t>
      </w:r>
      <w:r>
        <w:rPr>
          <w:rFonts w:ascii="Bookman Old Style" w:hAnsi="Bookman Old Style"/>
        </w:rPr>
        <w:t xml:space="preserve"> selon ce dernier</w:t>
      </w:r>
      <w:r w:rsidRPr="005114BF">
        <w:rPr>
          <w:rFonts w:ascii="Bookman Old Style" w:hAnsi="Bookman Old Style"/>
        </w:rPr>
        <w:t>.</w:t>
      </w:r>
    </w:p>
    <w:p w:rsidR="009B0AFA" w:rsidRPr="005114BF" w:rsidRDefault="009B0AFA" w:rsidP="00F51197">
      <w:pPr>
        <w:spacing w:line="480" w:lineRule="auto"/>
        <w:ind w:firstLine="709"/>
        <w:jc w:val="both"/>
        <w:rPr>
          <w:rFonts w:ascii="Bookman Old Style" w:hAnsi="Bookman Old Style"/>
        </w:rPr>
      </w:pPr>
    </w:p>
    <w:p w:rsidR="009B0AFA" w:rsidRDefault="009B0AFA" w:rsidP="00F51197">
      <w:pPr>
        <w:spacing w:line="480" w:lineRule="auto"/>
        <w:ind w:firstLine="709"/>
        <w:jc w:val="both"/>
        <w:rPr>
          <w:rFonts w:ascii="Bookman Old Style" w:hAnsi="Bookman Old Style"/>
          <w:lang w:val="fr-BE"/>
        </w:rPr>
      </w:pPr>
      <w:r w:rsidRPr="005114BF">
        <w:rPr>
          <w:rFonts w:ascii="Bookman Old Style" w:hAnsi="Bookman Old Style"/>
        </w:rPr>
        <w:t xml:space="preserve">Les problèmes auxquels font face les entreprises publiques relèvent parfois aussi de l’incapacité de l’Etat à réaliser des investissements de renouvellement et d’extension du réseau. A Djibouti, la population est jeune et citadine, la demande en infrastructure reste donc élevée. La production des entreprises publiques ne répond plus </w:t>
      </w:r>
      <w:r>
        <w:rPr>
          <w:rFonts w:ascii="Bookman Old Style" w:hAnsi="Bookman Old Style"/>
        </w:rPr>
        <w:t xml:space="preserve">à </w:t>
      </w:r>
      <w:r w:rsidRPr="005114BF">
        <w:rPr>
          <w:rFonts w:ascii="Bookman Old Style" w:hAnsi="Bookman Old Style"/>
        </w:rPr>
        <w:t>l’accroissement démographique. L’approvisionnement en eau potable pour la capitale ainsi que pour les districts est critique. L’ONEAD</w:t>
      </w:r>
      <w:r w:rsidR="003D76E4">
        <w:rPr>
          <w:rStyle w:val="Appelnotedebasdep"/>
          <w:rFonts w:ascii="Bookman Old Style" w:hAnsi="Bookman Old Style"/>
        </w:rPr>
        <w:footnoteReference w:id="4"/>
      </w:r>
      <w:r w:rsidRPr="005114BF">
        <w:rPr>
          <w:rFonts w:ascii="Bookman Old Style" w:hAnsi="Bookman Old Style"/>
        </w:rPr>
        <w:t xml:space="preserve"> ne peut pr</w:t>
      </w:r>
      <w:r>
        <w:rPr>
          <w:rFonts w:ascii="Bookman Old Style" w:hAnsi="Bookman Old Style"/>
        </w:rPr>
        <w:t xml:space="preserve">oduire qu’environ </w:t>
      </w:r>
      <w:r w:rsidRPr="005114BF">
        <w:rPr>
          <w:rFonts w:ascii="Bookman Old Style" w:hAnsi="Bookman Old Style"/>
        </w:rPr>
        <w:t xml:space="preserve">13 millions de </w:t>
      </w:r>
      <w:r>
        <w:rPr>
          <w:rFonts w:ascii="Bookman Old Style" w:hAnsi="Bookman Old Style"/>
        </w:rPr>
        <w:t>m³</w:t>
      </w:r>
      <w:r w:rsidRPr="005114BF">
        <w:rPr>
          <w:rFonts w:ascii="Bookman Old Style" w:hAnsi="Bookman Old Style"/>
        </w:rPr>
        <w:t xml:space="preserve"> d’eau  par an alors que le besoin du pays en eau dépasse les 20 millions de </w:t>
      </w:r>
      <w:r>
        <w:rPr>
          <w:rFonts w:ascii="Bookman Old Style" w:hAnsi="Bookman Old Style"/>
        </w:rPr>
        <w:t>m³</w:t>
      </w:r>
      <w:r w:rsidRPr="005114BF">
        <w:rPr>
          <w:rFonts w:ascii="Bookman Old Style" w:hAnsi="Bookman Old Style"/>
        </w:rPr>
        <w:t xml:space="preserve"> et que 40 % de volume de l’eau de l’Office de l’eau</w:t>
      </w:r>
      <w:r>
        <w:rPr>
          <w:rFonts w:ascii="Bookman Old Style" w:hAnsi="Bookman Old Style"/>
        </w:rPr>
        <w:t xml:space="preserve"> sont perdues à cause de la vétusté</w:t>
      </w:r>
      <w:r w:rsidRPr="005114BF">
        <w:rPr>
          <w:rFonts w:ascii="Bookman Old Style" w:hAnsi="Bookman Old Style"/>
        </w:rPr>
        <w:t xml:space="preserve"> des équipements, du mauvais entretien des matériels</w:t>
      </w:r>
      <w:r>
        <w:rPr>
          <w:rFonts w:ascii="Bookman Old Style" w:hAnsi="Bookman Old Style"/>
        </w:rPr>
        <w:t xml:space="preserve"> et des branchements illégaux. </w:t>
      </w:r>
      <w:r w:rsidRPr="005114BF">
        <w:rPr>
          <w:rFonts w:ascii="Bookman Old Style" w:hAnsi="Bookman Old Style"/>
        </w:rPr>
        <w:t>L’alimentation en eau de la ville de Djibouti souffre des problèmes d’insuffisance de production auxquels s’ajoutent des défaillances de la qualité</w:t>
      </w:r>
      <w:r>
        <w:rPr>
          <w:rFonts w:ascii="Bookman Old Style" w:hAnsi="Bookman Old Style"/>
        </w:rPr>
        <w:t xml:space="preserve"> chimique de l’eau distribuée. </w:t>
      </w:r>
      <w:r w:rsidRPr="005114BF">
        <w:rPr>
          <w:rFonts w:ascii="Bookman Old Style" w:hAnsi="Bookman Old Style"/>
        </w:rPr>
        <w:t>En 2000, dans son rapport d’activité, l’ONEAD estime que la plupart des forages en exploitation dépasse la limite de 600 milligrammes par litre en concentration de chlorure de sodium préconisée par</w:t>
      </w:r>
      <w:r>
        <w:rPr>
          <w:rFonts w:ascii="Bookman Old Style" w:hAnsi="Bookman Old Style"/>
        </w:rPr>
        <w:t xml:space="preserve"> l’Organisation mondiale de la s</w:t>
      </w:r>
      <w:r w:rsidRPr="005114BF">
        <w:rPr>
          <w:rFonts w:ascii="Bookman Old Style" w:hAnsi="Bookman Old Style"/>
        </w:rPr>
        <w:t xml:space="preserve">anté. Cette </w:t>
      </w:r>
      <w:r w:rsidRPr="005114BF">
        <w:rPr>
          <w:rFonts w:ascii="Bookman Old Style" w:hAnsi="Bookman Old Style"/>
        </w:rPr>
        <w:lastRenderedPageBreak/>
        <w:t>concentration importante d’élément</w:t>
      </w:r>
      <w:r>
        <w:rPr>
          <w:rFonts w:ascii="Bookman Old Style" w:hAnsi="Bookman Old Style"/>
        </w:rPr>
        <w:t xml:space="preserve">s minéraux dans les eaux de la </w:t>
      </w:r>
      <w:r w:rsidRPr="005114BF">
        <w:rPr>
          <w:rFonts w:ascii="Bookman Old Style" w:hAnsi="Bookman Old Style"/>
        </w:rPr>
        <w:t>nappe est due en partie à l’intensification de l’exploitation qui fait remonter les eaux salées profondes. Des investissements considérables sont nécessaires d’une pa</w:t>
      </w:r>
      <w:r>
        <w:rPr>
          <w:rFonts w:ascii="Bookman Old Style" w:hAnsi="Bookman Old Style"/>
        </w:rPr>
        <w:t>rt pour remédier à la perte d</w:t>
      </w:r>
      <w:r w:rsidRPr="005114BF">
        <w:rPr>
          <w:rFonts w:ascii="Bookman Old Style" w:hAnsi="Bookman Old Style"/>
        </w:rPr>
        <w:t>’eau et d’autre part pour trouver d’autre</w:t>
      </w:r>
      <w:r>
        <w:rPr>
          <w:rFonts w:ascii="Bookman Old Style" w:hAnsi="Bookman Old Style"/>
        </w:rPr>
        <w:t xml:space="preserve">s points d’alimentation d’eau. </w:t>
      </w:r>
      <w:r w:rsidRPr="005114BF">
        <w:rPr>
          <w:rFonts w:ascii="Bookman Old Style" w:hAnsi="Bookman Old Style"/>
        </w:rPr>
        <w:t>L’Etat actionn</w:t>
      </w:r>
      <w:r>
        <w:rPr>
          <w:rFonts w:ascii="Bookman Old Style" w:hAnsi="Bookman Old Style"/>
        </w:rPr>
        <w:t xml:space="preserve">aire unique n’a pas les moyens. </w:t>
      </w:r>
      <w:r>
        <w:rPr>
          <w:rFonts w:ascii="Bookman Old Style" w:hAnsi="Bookman Old Style"/>
          <w:lang w:val="fr-BE"/>
        </w:rPr>
        <w:t>Loin d’apporter les financements</w:t>
      </w:r>
      <w:r w:rsidRPr="005114BF">
        <w:rPr>
          <w:rFonts w:ascii="Bookman Old Style" w:hAnsi="Bookman Old Style"/>
          <w:lang w:val="fr-BE"/>
        </w:rPr>
        <w:t xml:space="preserve"> nécessaire</w:t>
      </w:r>
      <w:r>
        <w:rPr>
          <w:rFonts w:ascii="Bookman Old Style" w:hAnsi="Bookman Old Style"/>
          <w:lang w:val="fr-BE"/>
        </w:rPr>
        <w:t>s aux</w:t>
      </w:r>
      <w:r w:rsidRPr="005114BF">
        <w:rPr>
          <w:rFonts w:ascii="Bookman Old Style" w:hAnsi="Bookman Old Style"/>
          <w:lang w:val="fr-BE"/>
        </w:rPr>
        <w:t xml:space="preserve"> investissements</w:t>
      </w:r>
      <w:r>
        <w:rPr>
          <w:rFonts w:ascii="Bookman Old Style" w:hAnsi="Bookman Old Style"/>
          <w:lang w:val="fr-BE"/>
        </w:rPr>
        <w:t xml:space="preserve"> des entreprises</w:t>
      </w:r>
      <w:r w:rsidRPr="005114BF">
        <w:rPr>
          <w:rFonts w:ascii="Bookman Old Style" w:hAnsi="Bookman Old Style"/>
          <w:lang w:val="fr-BE"/>
        </w:rPr>
        <w:t xml:space="preserve">, il a au cours de ces dernières années, prélevé sur la trésorerie de ses entreprises. </w:t>
      </w:r>
    </w:p>
    <w:p w:rsidR="003E60F7" w:rsidRPr="00A04870" w:rsidRDefault="003E60F7" w:rsidP="00F51197">
      <w:pPr>
        <w:pStyle w:val="Titre4"/>
        <w:spacing w:line="480" w:lineRule="auto"/>
        <w:jc w:val="center"/>
        <w:rPr>
          <w:rFonts w:ascii="Bookman Old Style" w:hAnsi="Bookman Old Style"/>
          <w:sz w:val="24"/>
          <w:szCs w:val="24"/>
        </w:rPr>
      </w:pPr>
      <w:r>
        <w:rPr>
          <w:rFonts w:ascii="Bookman Old Style" w:hAnsi="Bookman Old Style"/>
          <w:sz w:val="24"/>
          <w:szCs w:val="24"/>
        </w:rPr>
        <w:t>1.2.1.2</w:t>
      </w:r>
      <w:r w:rsidRPr="00A04870">
        <w:rPr>
          <w:rFonts w:ascii="Bookman Old Style" w:hAnsi="Bookman Old Style"/>
          <w:sz w:val="24"/>
          <w:szCs w:val="24"/>
        </w:rPr>
        <w:t xml:space="preserve"> Une  critique de l’efficacité de dépenses publiques </w:t>
      </w:r>
    </w:p>
    <w:p w:rsidR="003E60F7" w:rsidRPr="004731D0" w:rsidRDefault="003E60F7" w:rsidP="00F51197">
      <w:pPr>
        <w:spacing w:line="480" w:lineRule="auto"/>
        <w:rPr>
          <w:rFonts w:ascii="Bookman Old Style" w:hAnsi="Bookman Old Style"/>
          <w:b/>
        </w:rPr>
      </w:pPr>
    </w:p>
    <w:p w:rsidR="003E60F7" w:rsidRDefault="003E60F7" w:rsidP="00F51197">
      <w:pPr>
        <w:spacing w:line="480" w:lineRule="auto"/>
        <w:ind w:firstLine="706"/>
        <w:jc w:val="both"/>
        <w:rPr>
          <w:rFonts w:ascii="Bookman Old Style" w:hAnsi="Bookman Old Style"/>
          <w:i/>
          <w:szCs w:val="28"/>
          <w:lang w:val="fr-BE"/>
        </w:rPr>
      </w:pPr>
      <w:r w:rsidRPr="00EE2605">
        <w:rPr>
          <w:rFonts w:ascii="Bookman Old Style" w:hAnsi="Bookman Old Style"/>
        </w:rPr>
        <w:t>Le secteur public est à Djibouti le principal employeur du pays</w:t>
      </w:r>
      <w:r w:rsidRPr="005114BF">
        <w:rPr>
          <w:rFonts w:ascii="Bookman Old Style" w:hAnsi="Bookman Old Style"/>
        </w:rPr>
        <w:t xml:space="preserve">. </w:t>
      </w:r>
      <w:r>
        <w:rPr>
          <w:rFonts w:ascii="Bookman Old Style" w:hAnsi="Bookman Old Style"/>
        </w:rPr>
        <w:t xml:space="preserve">Il comprend à la fois l’administration et les entreprises publiques. </w:t>
      </w:r>
      <w:r w:rsidRPr="005114BF">
        <w:rPr>
          <w:rFonts w:ascii="Bookman Old Style" w:hAnsi="Bookman Old Style"/>
        </w:rPr>
        <w:t>Jusqu’en 1995, la mas</w:t>
      </w:r>
      <w:r>
        <w:rPr>
          <w:rFonts w:ascii="Bookman Old Style" w:hAnsi="Bookman Old Style"/>
        </w:rPr>
        <w:t>se salariale de l’administration publique représentait en moyenne 25</w:t>
      </w:r>
      <w:r w:rsidRPr="005114BF">
        <w:rPr>
          <w:rFonts w:ascii="Bookman Old Style" w:hAnsi="Bookman Old Style"/>
        </w:rPr>
        <w:t xml:space="preserve"> % du PIB</w:t>
      </w:r>
      <w:r>
        <w:rPr>
          <w:rFonts w:ascii="Bookman Old Style" w:hAnsi="Bookman Old Style"/>
        </w:rPr>
        <w:t xml:space="preserve"> (FMI, 1997 ; Banque mondiale 2001).</w:t>
      </w:r>
      <w:r>
        <w:rPr>
          <w:szCs w:val="28"/>
          <w:lang w:val="fr-BE"/>
        </w:rPr>
        <w:t xml:space="preserve"> </w:t>
      </w:r>
      <w:r w:rsidRPr="00AA7E81">
        <w:rPr>
          <w:rFonts w:ascii="Bookman Old Style" w:hAnsi="Bookman Old Style"/>
          <w:szCs w:val="28"/>
          <w:lang w:val="fr-BE"/>
        </w:rPr>
        <w:t xml:space="preserve">Pour les bailleurs de fonds, un niveau de dépense aussi importante ne peut pas constituer un élément sain de gestion budgétaire. </w:t>
      </w:r>
      <w:r w:rsidRPr="005114BF">
        <w:rPr>
          <w:rFonts w:ascii="Bookman Old Style" w:hAnsi="Bookman Old Style"/>
          <w:szCs w:val="28"/>
          <w:lang w:val="fr-BE"/>
        </w:rPr>
        <w:t>Avec l’installation de la crise, l’Etat entreprend un programme de diminution de la masse salariale : réduction de l’effectif de l’armée, réduction de 10 % des salaires nominaux sup</w:t>
      </w:r>
      <w:r>
        <w:rPr>
          <w:rFonts w:ascii="Bookman Old Style" w:hAnsi="Bookman Old Style"/>
          <w:szCs w:val="28"/>
          <w:lang w:val="fr-BE"/>
        </w:rPr>
        <w:t xml:space="preserve">érieurs à 80 000FDJ par mois, </w:t>
      </w:r>
      <w:r w:rsidRPr="005114BF">
        <w:rPr>
          <w:rFonts w:ascii="Bookman Old Style" w:hAnsi="Bookman Old Style"/>
          <w:szCs w:val="28"/>
          <w:lang w:val="fr-BE"/>
        </w:rPr>
        <w:t>gel de</w:t>
      </w:r>
      <w:r>
        <w:rPr>
          <w:rFonts w:ascii="Bookman Old Style" w:hAnsi="Bookman Old Style"/>
          <w:szCs w:val="28"/>
          <w:lang w:val="fr-BE"/>
        </w:rPr>
        <w:t>s</w:t>
      </w:r>
      <w:r w:rsidRPr="005114BF">
        <w:rPr>
          <w:rFonts w:ascii="Bookman Old Style" w:hAnsi="Bookman Old Style"/>
          <w:szCs w:val="28"/>
          <w:lang w:val="fr-BE"/>
        </w:rPr>
        <w:t xml:space="preserve"> recrutement</w:t>
      </w:r>
      <w:r>
        <w:rPr>
          <w:rFonts w:ascii="Bookman Old Style" w:hAnsi="Bookman Old Style"/>
          <w:szCs w:val="28"/>
          <w:lang w:val="fr-BE"/>
        </w:rPr>
        <w:t>s</w:t>
      </w:r>
      <w:r w:rsidRPr="005114BF">
        <w:rPr>
          <w:rFonts w:ascii="Bookman Old Style" w:hAnsi="Bookman Old Style"/>
          <w:szCs w:val="28"/>
          <w:lang w:val="fr-BE"/>
        </w:rPr>
        <w:t xml:space="preserve"> dans le secteur</w:t>
      </w:r>
      <w:r>
        <w:rPr>
          <w:rFonts w:ascii="Bookman Old Style" w:hAnsi="Bookman Old Style"/>
          <w:szCs w:val="28"/>
          <w:lang w:val="fr-BE"/>
        </w:rPr>
        <w:t xml:space="preserve"> public,</w:t>
      </w:r>
      <w:r w:rsidRPr="005114BF">
        <w:rPr>
          <w:rFonts w:ascii="Bookman Old Style" w:hAnsi="Bookman Old Style"/>
          <w:szCs w:val="28"/>
          <w:lang w:val="fr-BE"/>
        </w:rPr>
        <w:t xml:space="preserve"> non remplacement des agents de la fonction publique partant à la retraite. En raison de ces compressions, la masse salariale est ramenée à 16,4 % du PIB en 1998 puis à 14 % du PIB en 2003. Mais ces mesures restent insuffisantes pour les bailleurs de fonds. En 2006, </w:t>
      </w:r>
      <w:r w:rsidRPr="00B725CD">
        <w:rPr>
          <w:rFonts w:ascii="Bookman Old Style" w:hAnsi="Bookman Old Style"/>
          <w:szCs w:val="28"/>
          <w:lang w:val="fr-BE"/>
        </w:rPr>
        <w:t xml:space="preserve">la Banque mondiale </w:t>
      </w:r>
      <w:r w:rsidRPr="00387172">
        <w:rPr>
          <w:rFonts w:ascii="Bookman Old Style" w:hAnsi="Bookman Old Style"/>
          <w:szCs w:val="28"/>
          <w:lang w:val="fr-BE"/>
        </w:rPr>
        <w:t>estimait</w:t>
      </w:r>
      <w:r w:rsidRPr="00B725CD">
        <w:rPr>
          <w:rFonts w:ascii="Bookman Old Style" w:hAnsi="Bookman Old Style"/>
          <w:i/>
          <w:szCs w:val="28"/>
          <w:lang w:val="fr-BE"/>
        </w:rPr>
        <w:t xml:space="preserve"> </w:t>
      </w:r>
      <w:r w:rsidRPr="00F761A0">
        <w:rPr>
          <w:rFonts w:ascii="Bookman Old Style" w:hAnsi="Bookman Old Style"/>
          <w:i/>
          <w:szCs w:val="28"/>
          <w:lang w:val="fr-BE"/>
        </w:rPr>
        <w:t xml:space="preserve"> </w:t>
      </w:r>
      <w:r w:rsidRPr="00387172">
        <w:rPr>
          <w:rFonts w:ascii="Bookman Old Style" w:hAnsi="Bookman Old Style"/>
          <w:szCs w:val="28"/>
          <w:lang w:val="fr-BE"/>
        </w:rPr>
        <w:t>que</w:t>
      </w:r>
      <w:r w:rsidRPr="00F761A0">
        <w:rPr>
          <w:rFonts w:ascii="Bookman Old Style" w:hAnsi="Bookman Old Style"/>
          <w:i/>
          <w:szCs w:val="28"/>
          <w:lang w:val="fr-BE"/>
        </w:rPr>
        <w:t xml:space="preserve"> : « malgré des importants progrès réalisés pour réduire </w:t>
      </w:r>
      <w:r w:rsidRPr="00F761A0">
        <w:rPr>
          <w:rFonts w:ascii="Bookman Old Style" w:hAnsi="Bookman Old Style"/>
          <w:i/>
          <w:szCs w:val="28"/>
          <w:lang w:val="fr-BE"/>
        </w:rPr>
        <w:lastRenderedPageBreak/>
        <w:t>la masse salariale au cours des dernières années, Djibouti a toujours l’une des masses salariales les plus importantes parmi les pays d’Afrique subsaharienne, notamment lorsque l’on considère le faible niveau de service : elle représente, 14 % du PIB, 60 % des recettes budgétaires totales, et 50 % des dépenses courantes totales et plus de 40 % des dépenses publiques totales</w:t>
      </w:r>
      <w:r w:rsidRPr="005114BF">
        <w:rPr>
          <w:rFonts w:ascii="Bookman Old Style" w:hAnsi="Bookman Old Style"/>
          <w:i/>
          <w:szCs w:val="28"/>
          <w:lang w:val="fr-BE"/>
        </w:rPr>
        <w:t>.</w:t>
      </w:r>
    </w:p>
    <w:p w:rsidR="003E60F7" w:rsidRDefault="003E60F7" w:rsidP="00F51197">
      <w:pPr>
        <w:spacing w:line="480" w:lineRule="auto"/>
        <w:ind w:firstLine="706"/>
        <w:jc w:val="both"/>
        <w:rPr>
          <w:rFonts w:ascii="Bookman Old Style" w:hAnsi="Bookman Old Style"/>
          <w:szCs w:val="28"/>
          <w:lang w:val="fr-BE"/>
        </w:rPr>
      </w:pPr>
      <w:r w:rsidRPr="005114BF">
        <w:rPr>
          <w:rFonts w:ascii="Bookman Old Style" w:hAnsi="Bookman Old Style"/>
          <w:i/>
          <w:szCs w:val="28"/>
          <w:lang w:val="fr-BE"/>
        </w:rPr>
        <w:t xml:space="preserve"> </w:t>
      </w:r>
      <w:r w:rsidRPr="005114BF">
        <w:rPr>
          <w:rFonts w:ascii="Bookman Old Style" w:hAnsi="Bookman Old Style"/>
          <w:szCs w:val="28"/>
          <w:lang w:val="fr-BE"/>
        </w:rPr>
        <w:t xml:space="preserve">En </w:t>
      </w:r>
      <w:r w:rsidRPr="00B14292">
        <w:rPr>
          <w:rFonts w:ascii="Bookman Old Style" w:hAnsi="Bookman Old Style"/>
          <w:szCs w:val="28"/>
          <w:lang w:val="fr-BE"/>
        </w:rPr>
        <w:t xml:space="preserve">moyenne, comparativement à l’Ethiopie et au Yémen, les salaires nominaux, au taux de change courant, sont à Djibouti 3 à 6 fois </w:t>
      </w:r>
      <w:r>
        <w:rPr>
          <w:rFonts w:ascii="Bookman Old Style" w:hAnsi="Bookman Old Style"/>
          <w:szCs w:val="28"/>
          <w:lang w:val="fr-BE"/>
        </w:rPr>
        <w:t>supérieure</w:t>
      </w:r>
      <w:r w:rsidRPr="00B14292">
        <w:rPr>
          <w:rFonts w:ascii="Bookman Old Style" w:hAnsi="Bookman Old Style"/>
          <w:szCs w:val="28"/>
          <w:lang w:val="fr-BE"/>
        </w:rPr>
        <w:t>s</w:t>
      </w:r>
      <w:r>
        <w:rPr>
          <w:rFonts w:ascii="Bookman Old Style" w:hAnsi="Bookman Old Style"/>
          <w:szCs w:val="28"/>
          <w:lang w:val="fr-BE"/>
        </w:rPr>
        <w:t xml:space="preserve">  (PNUD, </w:t>
      </w:r>
      <w:r w:rsidRPr="005114BF">
        <w:rPr>
          <w:rFonts w:ascii="Bookman Old Style" w:hAnsi="Bookman Old Style"/>
          <w:szCs w:val="28"/>
          <w:lang w:val="fr-BE"/>
        </w:rPr>
        <w:t>2004</w:t>
      </w:r>
      <w:r>
        <w:rPr>
          <w:rFonts w:ascii="Bookman Old Style" w:hAnsi="Bookman Old Style"/>
          <w:szCs w:val="28"/>
          <w:lang w:val="fr-BE"/>
        </w:rPr>
        <w:t>)</w:t>
      </w:r>
      <w:r w:rsidRPr="00B14292">
        <w:rPr>
          <w:rFonts w:ascii="Bookman Old Style" w:hAnsi="Bookman Old Style"/>
          <w:szCs w:val="28"/>
          <w:lang w:val="fr-BE"/>
        </w:rPr>
        <w:t xml:space="preserve">. Les écarts sont généralement plus importants pour les employés qualifiés et semi qualifiés (agents de la fonction publique, et personnel des hôtels et restaurants) que pour les travailleurs non qualifiés (travailleurs manuels et gens de maison). </w:t>
      </w:r>
      <w:r w:rsidRPr="005114BF">
        <w:rPr>
          <w:rFonts w:ascii="Bookman Old Style" w:hAnsi="Bookman Old Style"/>
          <w:szCs w:val="28"/>
          <w:lang w:val="fr-BE"/>
        </w:rPr>
        <w:t xml:space="preserve">Le salaire moyen du secteur public djiboutien </w:t>
      </w:r>
      <w:r>
        <w:rPr>
          <w:rFonts w:ascii="Bookman Old Style" w:hAnsi="Bookman Old Style"/>
          <w:szCs w:val="28"/>
          <w:lang w:val="fr-BE"/>
        </w:rPr>
        <w:t xml:space="preserve">est </w:t>
      </w:r>
      <w:r w:rsidRPr="005114BF">
        <w:rPr>
          <w:rFonts w:ascii="Bookman Old Style" w:hAnsi="Bookman Old Style"/>
          <w:szCs w:val="28"/>
          <w:lang w:val="fr-BE"/>
        </w:rPr>
        <w:t>estimé environ 600 dollars US) soit plusieurs fois le</w:t>
      </w:r>
      <w:r>
        <w:rPr>
          <w:rFonts w:ascii="Bookman Old Style" w:hAnsi="Bookman Old Style"/>
          <w:szCs w:val="28"/>
          <w:lang w:val="fr-BE"/>
        </w:rPr>
        <w:t xml:space="preserve"> salaire du secteur public en Ethiopie</w:t>
      </w:r>
      <w:r w:rsidRPr="005114BF">
        <w:rPr>
          <w:rFonts w:ascii="Bookman Old Style" w:hAnsi="Bookman Old Style"/>
          <w:szCs w:val="28"/>
          <w:lang w:val="fr-BE"/>
        </w:rPr>
        <w:t xml:space="preserve"> (100 dollars US) et du Yémen (150 dollars US). Ce salaire élevé et la structure du barème du secteur public, résultent à Djibouti </w:t>
      </w:r>
      <w:r>
        <w:rPr>
          <w:rFonts w:ascii="Bookman Old Style" w:hAnsi="Bookman Old Style"/>
          <w:szCs w:val="28"/>
          <w:lang w:val="fr-BE"/>
        </w:rPr>
        <w:t>d’</w:t>
      </w:r>
      <w:r w:rsidRPr="005114BF">
        <w:rPr>
          <w:rFonts w:ascii="Bookman Old Style" w:hAnsi="Bookman Old Style"/>
          <w:szCs w:val="28"/>
          <w:lang w:val="fr-BE"/>
        </w:rPr>
        <w:t>un héritage de l’administration coloniale françai</w:t>
      </w:r>
      <w:r>
        <w:rPr>
          <w:rFonts w:ascii="Bookman Old Style" w:hAnsi="Bookman Old Style"/>
          <w:szCs w:val="28"/>
          <w:lang w:val="fr-BE"/>
        </w:rPr>
        <w:t xml:space="preserve">se et ont peu changé depuis. </w:t>
      </w:r>
    </w:p>
    <w:p w:rsidR="003E60F7" w:rsidRDefault="003E60F7" w:rsidP="00F51197">
      <w:pPr>
        <w:spacing w:line="480" w:lineRule="auto"/>
        <w:ind w:firstLine="706"/>
        <w:jc w:val="both"/>
        <w:rPr>
          <w:rFonts w:ascii="Bookman Old Style" w:hAnsi="Bookman Old Style"/>
        </w:rPr>
      </w:pPr>
      <w:r w:rsidRPr="005114BF">
        <w:rPr>
          <w:rFonts w:ascii="Bookman Old Style" w:hAnsi="Bookman Old Style"/>
          <w:szCs w:val="28"/>
          <w:lang w:val="fr-BE"/>
        </w:rPr>
        <w:t xml:space="preserve">Les comparaisons internationales ont cependant leurs propres limites. Le salaire moyen du secteur public </w:t>
      </w:r>
      <w:r w:rsidRPr="005114BF">
        <w:rPr>
          <w:rFonts w:ascii="Bookman Old Style" w:hAnsi="Bookman Old Style"/>
          <w:lang w:val="fr-BE"/>
        </w:rPr>
        <w:t>demeure élevé au regard du sal</w:t>
      </w:r>
      <w:r>
        <w:rPr>
          <w:rFonts w:ascii="Bookman Old Style" w:hAnsi="Bookman Old Style"/>
          <w:lang w:val="fr-BE"/>
        </w:rPr>
        <w:t>aire moyen des pays voisins, et</w:t>
      </w:r>
      <w:r w:rsidRPr="005114BF">
        <w:rPr>
          <w:rFonts w:ascii="Bookman Old Style" w:hAnsi="Bookman Old Style"/>
          <w:lang w:val="fr-BE"/>
        </w:rPr>
        <w:t xml:space="preserve"> peut être par rapport à la productivité du facteur travail comme le mentionne le rapport du PNUD</w:t>
      </w:r>
      <w:r>
        <w:rPr>
          <w:rFonts w:ascii="Bookman Old Style" w:hAnsi="Bookman Old Style"/>
          <w:lang w:val="fr-BE"/>
        </w:rPr>
        <w:t xml:space="preserve"> (2004)</w:t>
      </w:r>
      <w:r w:rsidRPr="005114BF">
        <w:rPr>
          <w:rFonts w:ascii="Bookman Old Style" w:hAnsi="Bookman Old Style"/>
          <w:lang w:val="fr-BE"/>
        </w:rPr>
        <w:t xml:space="preserve">, mais pas par rapport au coût de la vie. Le pays </w:t>
      </w:r>
      <w:r w:rsidRPr="005114BF">
        <w:rPr>
          <w:rFonts w:ascii="Bookman Old Style" w:hAnsi="Bookman Old Style"/>
        </w:rPr>
        <w:t>dépend</w:t>
      </w:r>
      <w:r w:rsidRPr="005114BF">
        <w:rPr>
          <w:rFonts w:ascii="Bookman Old Style" w:hAnsi="Bookman Old Style"/>
          <w:lang w:val="fr-BE"/>
        </w:rPr>
        <w:t xml:space="preserve"> </w:t>
      </w:r>
      <w:r w:rsidRPr="005114BF">
        <w:rPr>
          <w:rFonts w:ascii="Bookman Old Style" w:hAnsi="Bookman Old Style"/>
        </w:rPr>
        <w:t>totalement des importations et la parité du franc djiboutien étant liée</w:t>
      </w:r>
      <w:r>
        <w:rPr>
          <w:rFonts w:ascii="Bookman Old Style" w:hAnsi="Bookman Old Style"/>
        </w:rPr>
        <w:t xml:space="preserve"> au dollar américain</w:t>
      </w:r>
      <w:r w:rsidRPr="005114BF">
        <w:rPr>
          <w:rFonts w:ascii="Bookman Old Style" w:hAnsi="Bookman Old Style"/>
        </w:rPr>
        <w:t xml:space="preserve">, le coût de la vie est élevé à Djibouti par rapport aux pays voisins. Les importations représentent plus de 90 % de la consommation totale. Les biens produits localement dans </w:t>
      </w:r>
      <w:r w:rsidRPr="005114BF">
        <w:rPr>
          <w:rFonts w:ascii="Bookman Old Style" w:hAnsi="Bookman Old Style"/>
        </w:rPr>
        <w:lastRenderedPageBreak/>
        <w:t>les secteurs manufacturier et agricole repr</w:t>
      </w:r>
      <w:r>
        <w:rPr>
          <w:rFonts w:ascii="Bookman Old Style" w:hAnsi="Bookman Old Style"/>
        </w:rPr>
        <w:t xml:space="preserve">ésentent moins de 5 % du PIB. </w:t>
      </w:r>
      <w:r w:rsidRPr="005114BF">
        <w:rPr>
          <w:rFonts w:ascii="Bookman Old Style" w:hAnsi="Bookman Old Style"/>
        </w:rPr>
        <w:t>Compte tenu de l’étroitesse des biens échangeables avec les économies de la région, les achats de biens proviennent essentiellement de</w:t>
      </w:r>
      <w:r>
        <w:rPr>
          <w:rFonts w:ascii="Bookman Old Style" w:hAnsi="Bookman Old Style"/>
        </w:rPr>
        <w:t>s pays industrialisés. L’Union e</w:t>
      </w:r>
      <w:r w:rsidRPr="005114BF">
        <w:rPr>
          <w:rFonts w:ascii="Bookman Old Style" w:hAnsi="Bookman Old Style"/>
        </w:rPr>
        <w:t xml:space="preserve">uropéenne est d’ailleurs le premier fournisseur de Djibouti : plus de 40 % des importations proviennent de cette zone au sein de laquelle la France concentre plus de la moitié des achats. </w:t>
      </w:r>
    </w:p>
    <w:p w:rsidR="003E60F7" w:rsidRPr="000B1C5F" w:rsidRDefault="003E60F7" w:rsidP="00F51197">
      <w:pPr>
        <w:spacing w:line="480" w:lineRule="auto"/>
        <w:ind w:firstLine="706"/>
        <w:jc w:val="both"/>
        <w:rPr>
          <w:rFonts w:ascii="Bookman Old Style" w:hAnsi="Bookman Old Style"/>
          <w:lang w:val="fr-BE"/>
        </w:rPr>
      </w:pPr>
      <w:r w:rsidRPr="00801F1D">
        <w:rPr>
          <w:rFonts w:ascii="Bookman Old Style" w:hAnsi="Bookman Old Style"/>
        </w:rPr>
        <w:t>Le pays est confronté également à un niveau de pauvreté et un chômage qui ont atteint des niveaux préoccupants. Le chômage est de loin, le plus grave problème économique de Djibouti. Les données sur l’emploi révèlent à ce sujet la présence d’une crise structurelle du marché du travail, avec un taux de chômage officiel de 60 % (Initiative  Nationale pour le Développement Social 2011- 2015</w:t>
      </w:r>
      <w:r w:rsidRPr="00801F1D">
        <w:rPr>
          <w:rStyle w:val="Appelnotedebasdep"/>
          <w:rFonts w:ascii="Bookman Old Style" w:hAnsi="Bookman Old Style"/>
        </w:rPr>
        <w:footnoteReference w:id="5"/>
      </w:r>
      <w:r w:rsidRPr="00801F1D">
        <w:rPr>
          <w:rFonts w:ascii="Bookman Old Style" w:hAnsi="Bookman Old Style"/>
        </w:rPr>
        <w:t xml:space="preserve">) en forte augmentation par rapport à son niveau des années 1990 (44 %). </w:t>
      </w:r>
      <w:r>
        <w:rPr>
          <w:rFonts w:ascii="Bookman Old Style" w:hAnsi="Bookman Old Style"/>
        </w:rPr>
        <w:t xml:space="preserve">Cela </w:t>
      </w:r>
      <w:r w:rsidRPr="00801F1D">
        <w:rPr>
          <w:rFonts w:ascii="Bookman Old Style" w:hAnsi="Bookman Old Style"/>
          <w:lang w:val="fr-BE"/>
        </w:rPr>
        <w:t xml:space="preserve">résulte de la conjonction de plusieurs facteurs, notamment la croissance rapide d’une population active amplifiée par l’immigration des pays voisins, les défaillances du système éducatif qui échoue à constituer une matrice de formation de l’éducation de base et de qualifications professionnelles, mais aussi selon le Gouvernement, des dysfonctionnements du marché du travail. La déréglementation du marché en </w:t>
      </w:r>
      <w:smartTag w:uri="urn:schemas-microsoft-com:office:smarttags" w:element="metricconverter">
        <w:smartTagPr>
          <w:attr w:name="ProductID" w:val="1997 a"/>
        </w:smartTagPr>
        <w:r w:rsidRPr="00801F1D">
          <w:rPr>
            <w:rFonts w:ascii="Bookman Old Style" w:hAnsi="Bookman Old Style"/>
            <w:lang w:val="fr-BE"/>
          </w:rPr>
          <w:t>1997 a</w:t>
        </w:r>
      </w:smartTag>
      <w:r w:rsidRPr="00801F1D">
        <w:rPr>
          <w:rFonts w:ascii="Bookman Old Style" w:hAnsi="Bookman Old Style"/>
          <w:lang w:val="fr-BE"/>
        </w:rPr>
        <w:t xml:space="preserve"> conduit à un abandon des conventions nationales de travail et a remis en cause l’intervention de l’Etat.</w:t>
      </w:r>
      <w:r>
        <w:rPr>
          <w:rFonts w:ascii="Bookman Old Style" w:hAnsi="Bookman Old Style"/>
          <w:lang w:val="fr-BE"/>
        </w:rPr>
        <w:t xml:space="preserve"> </w:t>
      </w:r>
      <w:r w:rsidRPr="00801F1D">
        <w:rPr>
          <w:rFonts w:ascii="Bookman Old Style" w:hAnsi="Bookman Old Style"/>
        </w:rPr>
        <w:t xml:space="preserve">Les mécanismes formels de filet social sont aussi inexistants. Seule, la </w:t>
      </w:r>
      <w:r>
        <w:rPr>
          <w:rFonts w:ascii="Bookman Old Style" w:hAnsi="Bookman Old Style"/>
        </w:rPr>
        <w:t>robustesse des liens familiaux agit</w:t>
      </w:r>
      <w:r w:rsidRPr="00801F1D">
        <w:rPr>
          <w:rFonts w:ascii="Bookman Old Style" w:hAnsi="Bookman Old Style"/>
        </w:rPr>
        <w:t xml:space="preserve"> toutefois comme un mécanisme de redistribution des revenus et les salaires </w:t>
      </w:r>
      <w:r w:rsidRPr="00801F1D">
        <w:rPr>
          <w:rFonts w:ascii="Bookman Old Style" w:hAnsi="Bookman Old Style"/>
        </w:rPr>
        <w:lastRenderedPageBreak/>
        <w:t xml:space="preserve">relativement élevés versés aux agents de la fonction publique ont des retombées positives sur un plus grand nombre d’individus. </w:t>
      </w:r>
      <w:r w:rsidRPr="005114BF">
        <w:rPr>
          <w:rFonts w:ascii="Bookman Old Style" w:hAnsi="Bookman Old Style"/>
        </w:rPr>
        <w:t>Quant à la pauvreté, les</w:t>
      </w:r>
      <w:r>
        <w:rPr>
          <w:rFonts w:ascii="Bookman Old Style" w:hAnsi="Bookman Old Style"/>
        </w:rPr>
        <w:t xml:space="preserve"> résultats de l’enquête djiboutienne auprès des ménages (EDAM-2</w:t>
      </w:r>
      <w:r>
        <w:rPr>
          <w:rStyle w:val="Appelnotedebasdep"/>
          <w:rFonts w:ascii="Bookman Old Style" w:hAnsi="Bookman Old Style"/>
        </w:rPr>
        <w:footnoteReference w:id="6"/>
      </w:r>
      <w:r>
        <w:rPr>
          <w:rFonts w:ascii="Bookman Old Style" w:hAnsi="Bookman Old Style"/>
        </w:rPr>
        <w:t xml:space="preserve">) </w:t>
      </w:r>
      <w:r w:rsidRPr="005114BF">
        <w:rPr>
          <w:rFonts w:ascii="Bookman Old Style" w:hAnsi="Bookman Old Style"/>
        </w:rPr>
        <w:t>m</w:t>
      </w:r>
      <w:r>
        <w:rPr>
          <w:rFonts w:ascii="Bookman Old Style" w:hAnsi="Bookman Old Style"/>
        </w:rPr>
        <w:t xml:space="preserve">ontrent que l’extrême pauvreté, c’est-à-dire les personnes vivant avec moins de deux dollars par jour touchent plus de 40 % de la population. </w:t>
      </w:r>
      <w:r w:rsidRPr="005114BF">
        <w:rPr>
          <w:rFonts w:ascii="Bookman Old Style" w:hAnsi="Bookman Old Style"/>
        </w:rPr>
        <w:t>La situation de pauvreté</w:t>
      </w:r>
      <w:r w:rsidRPr="005114BF">
        <w:rPr>
          <w:rStyle w:val="Appelnotedebasdep"/>
          <w:rFonts w:ascii="Bookman Old Style" w:hAnsi="Bookman Old Style"/>
        </w:rPr>
        <w:footnoteReference w:id="7"/>
      </w:r>
      <w:r w:rsidRPr="005114BF">
        <w:rPr>
          <w:rFonts w:ascii="Bookman Old Style" w:hAnsi="Bookman Old Style"/>
        </w:rPr>
        <w:t xml:space="preserve"> peut être partiellement attribuée à Djibouti à ses faibles dotations en ressources naturelles : sévères pénurie d’eau, climat chaud et aride avec des températures de l’ordre de 50° C en été, et rareté des terres arables. On peut ajouter à ces contraintes, une série </w:t>
      </w:r>
      <w:r>
        <w:rPr>
          <w:rFonts w:ascii="Bookman Old Style" w:hAnsi="Bookman Old Style"/>
        </w:rPr>
        <w:t xml:space="preserve">de </w:t>
      </w:r>
      <w:r w:rsidRPr="005114BF">
        <w:rPr>
          <w:rFonts w:ascii="Bookman Old Style" w:hAnsi="Bookman Old Style"/>
        </w:rPr>
        <w:t>facteurs politiques, sociaux et économiques qui entravent la croissance et aggravent la pauvreté. A titre d’exemple, la main-d’œuvre serait coûteuse mais principalement no</w:t>
      </w:r>
      <w:r>
        <w:rPr>
          <w:rFonts w:ascii="Bookman Old Style" w:hAnsi="Bookman Old Style"/>
        </w:rPr>
        <w:t>n qualifiée, ce qui minimise</w:t>
      </w:r>
      <w:r w:rsidRPr="005114BF">
        <w:rPr>
          <w:rFonts w:ascii="Bookman Old Style" w:hAnsi="Bookman Old Style"/>
        </w:rPr>
        <w:t xml:space="preserve"> les perspectives de d</w:t>
      </w:r>
      <w:r>
        <w:rPr>
          <w:rFonts w:ascii="Bookman Old Style" w:hAnsi="Bookman Old Style"/>
        </w:rPr>
        <w:t xml:space="preserve">éveloppement d’un secteur privé. </w:t>
      </w:r>
      <w:r w:rsidRPr="005114BF">
        <w:rPr>
          <w:rFonts w:ascii="Bookman Old Style" w:hAnsi="Bookman Old Style"/>
        </w:rPr>
        <w:t>Mais le net déclin du revenu par habitant à partir des années 1990 et l’augmentation du chômag</w:t>
      </w:r>
      <w:r>
        <w:rPr>
          <w:rFonts w:ascii="Bookman Old Style" w:hAnsi="Bookman Old Style"/>
        </w:rPr>
        <w:t>e ont aggravé également le phénomène de</w:t>
      </w:r>
      <w:r w:rsidRPr="005114BF">
        <w:rPr>
          <w:rFonts w:ascii="Bookman Old Style" w:hAnsi="Bookman Old Style"/>
        </w:rPr>
        <w:t xml:space="preserve"> pauvreté. </w:t>
      </w:r>
    </w:p>
    <w:p w:rsidR="003E60F7" w:rsidRPr="00AF2690" w:rsidRDefault="003E60F7" w:rsidP="00F51197">
      <w:pPr>
        <w:spacing w:line="480" w:lineRule="auto"/>
        <w:ind w:firstLine="709"/>
        <w:jc w:val="both"/>
        <w:rPr>
          <w:rFonts w:ascii="Bookman Old Style" w:hAnsi="Bookman Old Style"/>
        </w:rPr>
      </w:pPr>
      <w:r>
        <w:rPr>
          <w:rFonts w:ascii="Bookman Old Style" w:hAnsi="Bookman Old Style"/>
        </w:rPr>
        <w:lastRenderedPageBreak/>
        <w:t>I</w:t>
      </w:r>
      <w:r w:rsidRPr="005114BF">
        <w:rPr>
          <w:rFonts w:ascii="Bookman Old Style" w:hAnsi="Bookman Old Style"/>
        </w:rPr>
        <w:t xml:space="preserve">l existe </w:t>
      </w:r>
      <w:r>
        <w:rPr>
          <w:rFonts w:ascii="Bookman Old Style" w:hAnsi="Bookman Old Style"/>
        </w:rPr>
        <w:t xml:space="preserve">aussi </w:t>
      </w:r>
      <w:r w:rsidRPr="005114BF">
        <w:rPr>
          <w:rFonts w:ascii="Bookman Old Style" w:hAnsi="Bookman Old Style"/>
        </w:rPr>
        <w:t xml:space="preserve">à Djibouti une certaine « tribalisation » de la politique héritée de la colonisation (Dubois et Pénel 2007, p. 45). </w:t>
      </w:r>
      <w:r>
        <w:rPr>
          <w:rFonts w:ascii="Bookman Old Style" w:hAnsi="Bookman Old Style"/>
        </w:rPr>
        <w:t>L</w:t>
      </w:r>
      <w:r w:rsidRPr="005114BF">
        <w:rPr>
          <w:rFonts w:ascii="Bookman Old Style" w:hAnsi="Bookman Old Style"/>
        </w:rPr>
        <w:t>e fractionnement ethnique est l’un des principaux obstacles à la croissance économique en Afrique subsaharienne</w:t>
      </w:r>
      <w:r>
        <w:rPr>
          <w:rFonts w:ascii="Bookman Old Style" w:hAnsi="Bookman Old Style"/>
        </w:rPr>
        <w:t xml:space="preserve"> (Collier, 2002)</w:t>
      </w:r>
      <w:r w:rsidRPr="005114BF">
        <w:rPr>
          <w:rFonts w:ascii="Bookman Old Style" w:hAnsi="Bookman Old Style"/>
        </w:rPr>
        <w:t>. L’argument avancé par cet auteur est que le f</w:t>
      </w:r>
      <w:r>
        <w:rPr>
          <w:rFonts w:ascii="Bookman Old Style" w:hAnsi="Bookman Old Style"/>
        </w:rPr>
        <w:t xml:space="preserve">ractionnement ethnique aboutit souvent </w:t>
      </w:r>
      <w:r w:rsidRPr="005114BF">
        <w:rPr>
          <w:rFonts w:ascii="Bookman Old Style" w:hAnsi="Bookman Old Style"/>
        </w:rPr>
        <w:t xml:space="preserve">à l’instabilité politique et </w:t>
      </w:r>
      <w:r>
        <w:rPr>
          <w:rFonts w:ascii="Bookman Old Style" w:hAnsi="Bookman Old Style"/>
        </w:rPr>
        <w:t xml:space="preserve">peut </w:t>
      </w:r>
      <w:r w:rsidRPr="005114BF">
        <w:rPr>
          <w:rFonts w:ascii="Bookman Old Style" w:hAnsi="Bookman Old Style"/>
        </w:rPr>
        <w:t xml:space="preserve">avoir un impact négatif sur l’investissement et la croissance. </w:t>
      </w:r>
      <w:r>
        <w:rPr>
          <w:rFonts w:ascii="Bookman Old Style" w:hAnsi="Bookman Old Style"/>
          <w:szCs w:val="28"/>
          <w:lang w:val="fr-BE"/>
        </w:rPr>
        <w:t>La population d</w:t>
      </w:r>
      <w:r w:rsidRPr="005114BF">
        <w:rPr>
          <w:rFonts w:ascii="Bookman Old Style" w:hAnsi="Bookman Old Style"/>
          <w:szCs w:val="28"/>
          <w:lang w:val="fr-BE"/>
        </w:rPr>
        <w:t>jiboutienne est composée de trois communautés : les Afars, les So</w:t>
      </w:r>
      <w:r>
        <w:rPr>
          <w:rFonts w:ascii="Bookman Old Style" w:hAnsi="Bookman Old Style"/>
          <w:szCs w:val="28"/>
          <w:lang w:val="fr-BE"/>
        </w:rPr>
        <w:t>malis et les Arabes. Il existe</w:t>
      </w:r>
      <w:r w:rsidRPr="005114BF">
        <w:rPr>
          <w:rFonts w:ascii="Bookman Old Style" w:hAnsi="Bookman Old Style"/>
          <w:szCs w:val="28"/>
          <w:lang w:val="fr-BE"/>
        </w:rPr>
        <w:t xml:space="preserve"> un partage des pouvoirs entre les différents groupes ethniques au sein de l’assemblée nationale</w:t>
      </w:r>
      <w:r>
        <w:rPr>
          <w:rFonts w:ascii="Bookman Old Style" w:hAnsi="Bookman Old Style"/>
          <w:szCs w:val="28"/>
          <w:lang w:val="fr-BE"/>
        </w:rPr>
        <w:t xml:space="preserve"> (tableau 9)</w:t>
      </w:r>
      <w:r w:rsidRPr="005114BF">
        <w:rPr>
          <w:rFonts w:ascii="Bookman Old Style" w:hAnsi="Bookman Old Style"/>
          <w:szCs w:val="28"/>
          <w:lang w:val="fr-BE"/>
        </w:rPr>
        <w:t xml:space="preserve">. </w:t>
      </w:r>
      <w:r w:rsidRPr="005114BF">
        <w:rPr>
          <w:rFonts w:ascii="Bookman Old Style" w:hAnsi="Bookman Old Style"/>
        </w:rPr>
        <w:t>Afin de préserver</w:t>
      </w:r>
      <w:r w:rsidRPr="005114BF">
        <w:rPr>
          <w:rFonts w:ascii="Bookman Old Style" w:hAnsi="Bookman Old Style"/>
          <w:szCs w:val="20"/>
          <w:lang w:val="fr-BE"/>
        </w:rPr>
        <w:t xml:space="preserve"> la cohésion nationale,</w:t>
      </w:r>
      <w:r w:rsidRPr="005114BF">
        <w:rPr>
          <w:rFonts w:ascii="Bookman Old Style" w:hAnsi="Bookman Old Style"/>
          <w:szCs w:val="28"/>
          <w:lang w:val="fr-BE"/>
        </w:rPr>
        <w:t xml:space="preserve"> d</w:t>
      </w:r>
      <w:r w:rsidRPr="005114BF">
        <w:rPr>
          <w:rFonts w:ascii="Bookman Old Style" w:hAnsi="Bookman Old Style"/>
        </w:rPr>
        <w:t>es efforts sont faits</w:t>
      </w:r>
      <w:r>
        <w:rPr>
          <w:rFonts w:ascii="Bookman Old Style" w:hAnsi="Bookman Old Style"/>
        </w:rPr>
        <w:t xml:space="preserve"> également</w:t>
      </w:r>
      <w:r w:rsidRPr="005114BF">
        <w:rPr>
          <w:rFonts w:ascii="Bookman Old Style" w:hAnsi="Bookman Old Style"/>
        </w:rPr>
        <w:t xml:space="preserve"> depuis toujours pour que toutes les composantes de la population nationale soient représentées dans le secteur public</w:t>
      </w:r>
      <w:r>
        <w:rPr>
          <w:rFonts w:ascii="Bookman Old Style" w:hAnsi="Bookman Old Style"/>
          <w:szCs w:val="28"/>
          <w:lang w:val="fr-BE"/>
        </w:rPr>
        <w:t xml:space="preserve"> et au sein du G</w:t>
      </w:r>
      <w:r w:rsidRPr="005114BF">
        <w:rPr>
          <w:rFonts w:ascii="Bookman Old Style" w:hAnsi="Bookman Old Style"/>
          <w:szCs w:val="28"/>
          <w:lang w:val="fr-BE"/>
        </w:rPr>
        <w:t>ouvernement</w:t>
      </w:r>
      <w:r w:rsidRPr="005114BF">
        <w:rPr>
          <w:rFonts w:ascii="Bookman Old Style" w:hAnsi="Bookman Old Style"/>
        </w:rPr>
        <w:t xml:space="preserve">. </w:t>
      </w:r>
      <w:r w:rsidRPr="005114BF">
        <w:rPr>
          <w:rFonts w:ascii="Bookman Old Style" w:hAnsi="Bookman Old Style"/>
          <w:szCs w:val="28"/>
          <w:lang w:val="fr-BE"/>
        </w:rPr>
        <w:t>Djibouti demeure un pays stable de la région de la Corne de l’Afrique, fait qui a contribué à accroître son importance régio</w:t>
      </w:r>
      <w:r>
        <w:rPr>
          <w:rFonts w:ascii="Bookman Old Style" w:hAnsi="Bookman Old Style"/>
          <w:szCs w:val="28"/>
          <w:lang w:val="fr-BE"/>
        </w:rPr>
        <w:t>nale par rapport à sa petite</w:t>
      </w:r>
      <w:r w:rsidRPr="005114BF">
        <w:rPr>
          <w:rFonts w:ascii="Bookman Old Style" w:hAnsi="Bookman Old Style"/>
          <w:szCs w:val="28"/>
          <w:lang w:val="fr-BE"/>
        </w:rPr>
        <w:t xml:space="preserve"> taille et ses </w:t>
      </w:r>
      <w:r>
        <w:rPr>
          <w:rFonts w:ascii="Bookman Old Style" w:hAnsi="Bookman Old Style"/>
          <w:szCs w:val="28"/>
          <w:lang w:val="fr-BE"/>
        </w:rPr>
        <w:t xml:space="preserve">faibles </w:t>
      </w:r>
      <w:r w:rsidRPr="005114BF">
        <w:rPr>
          <w:rFonts w:ascii="Bookman Old Style" w:hAnsi="Bookman Old Style"/>
          <w:szCs w:val="28"/>
          <w:lang w:val="fr-BE"/>
        </w:rPr>
        <w:t xml:space="preserve">ressources. </w:t>
      </w:r>
    </w:p>
    <w:p w:rsidR="003E60F7" w:rsidRDefault="003E60F7" w:rsidP="00F51197">
      <w:pPr>
        <w:spacing w:line="480" w:lineRule="auto"/>
        <w:ind w:firstLine="709"/>
        <w:jc w:val="both"/>
        <w:rPr>
          <w:rFonts w:ascii="Bookman Old Style" w:hAnsi="Bookman Old Style"/>
          <w:szCs w:val="28"/>
        </w:rPr>
      </w:pPr>
      <w:r>
        <w:rPr>
          <w:rFonts w:ascii="Bookman Old Style" w:hAnsi="Bookman Old Style"/>
        </w:rPr>
        <w:t>Cependant, les défis pour le service</w:t>
      </w:r>
      <w:r w:rsidRPr="005114BF">
        <w:rPr>
          <w:rFonts w:ascii="Bookman Old Style" w:hAnsi="Bookman Old Style"/>
        </w:rPr>
        <w:t xml:space="preserve"> public djiboutien ne sont pas seulement liés au niveau de dépenses, mais concernent aussi et principalement l’impact de ces dépenses. </w:t>
      </w:r>
      <w:r>
        <w:rPr>
          <w:rFonts w:ascii="Bookman Old Style" w:hAnsi="Bookman Old Style"/>
          <w:szCs w:val="28"/>
        </w:rPr>
        <w:t xml:space="preserve">Pour </w:t>
      </w:r>
      <w:r>
        <w:rPr>
          <w:rFonts w:ascii="Bookman Old Style" w:hAnsi="Bookman Old Style"/>
          <w:szCs w:val="28"/>
          <w:lang w:val="fr-BE"/>
        </w:rPr>
        <w:t>les bailleurs de fonds,</w:t>
      </w:r>
      <w:r>
        <w:rPr>
          <w:rFonts w:ascii="Bookman Old Style" w:hAnsi="Bookman Old Style"/>
          <w:szCs w:val="28"/>
        </w:rPr>
        <w:t xml:space="preserve"> l</w:t>
      </w:r>
      <w:r w:rsidRPr="005114BF">
        <w:rPr>
          <w:rFonts w:ascii="Bookman Old Style" w:hAnsi="Bookman Old Style"/>
          <w:szCs w:val="28"/>
          <w:lang w:val="fr-BE"/>
        </w:rPr>
        <w:t xml:space="preserve">e bénéfice tiré d’un salaire « élevé »  </w:t>
      </w:r>
      <w:r>
        <w:rPr>
          <w:rFonts w:ascii="Bookman Old Style" w:hAnsi="Bookman Old Style"/>
          <w:szCs w:val="28"/>
          <w:lang w:val="fr-BE"/>
        </w:rPr>
        <w:t xml:space="preserve">ou d’un </w:t>
      </w:r>
      <w:r w:rsidRPr="005114BF">
        <w:rPr>
          <w:rFonts w:ascii="Bookman Old Style" w:hAnsi="Bookman Old Style"/>
          <w:szCs w:val="28"/>
          <w:lang w:val="fr-BE"/>
        </w:rPr>
        <w:t>effectif important da</w:t>
      </w:r>
      <w:r>
        <w:rPr>
          <w:rFonts w:ascii="Bookman Old Style" w:hAnsi="Bookman Old Style"/>
          <w:szCs w:val="28"/>
          <w:lang w:val="fr-BE"/>
        </w:rPr>
        <w:t>ns le secteur public reste faible</w:t>
      </w:r>
      <w:r w:rsidRPr="005114BF">
        <w:rPr>
          <w:rFonts w:ascii="Bookman Old Style" w:hAnsi="Bookman Old Style"/>
          <w:szCs w:val="28"/>
          <w:lang w:val="fr-BE"/>
        </w:rPr>
        <w:t xml:space="preserve"> à Djibouti</w:t>
      </w:r>
      <w:r>
        <w:rPr>
          <w:rFonts w:ascii="Bookman Old Style" w:hAnsi="Bookman Old Style"/>
          <w:szCs w:val="28"/>
          <w:lang w:val="fr-BE"/>
        </w:rPr>
        <w:t xml:space="preserve"> : </w:t>
      </w:r>
      <w:r w:rsidRPr="005114BF">
        <w:rPr>
          <w:rFonts w:ascii="Bookman Old Style" w:hAnsi="Bookman Old Style"/>
        </w:rPr>
        <w:t>« </w:t>
      </w:r>
      <w:r>
        <w:rPr>
          <w:rFonts w:ascii="Bookman Old Style" w:hAnsi="Bookman Old Style"/>
          <w:bCs/>
          <w:i/>
          <w:iCs/>
        </w:rPr>
        <w:t xml:space="preserve">à </w:t>
      </w:r>
      <w:r w:rsidRPr="000755D5">
        <w:rPr>
          <w:rFonts w:ascii="Bookman Old Style" w:hAnsi="Bookman Old Style"/>
          <w:bCs/>
          <w:i/>
          <w:iCs/>
        </w:rPr>
        <w:t>Djibouti les résultats en matière de prestation de services publics sont parmi les plus faibles</w:t>
      </w:r>
      <w:r w:rsidRPr="000755D5">
        <w:rPr>
          <w:rFonts w:ascii="Bookman Old Style" w:hAnsi="Bookman Old Style"/>
          <w:i/>
        </w:rPr>
        <w:t xml:space="preserve"> </w:t>
      </w:r>
      <w:r w:rsidRPr="000755D5">
        <w:rPr>
          <w:rFonts w:ascii="Bookman Old Style" w:hAnsi="Bookman Old Style"/>
          <w:bCs/>
          <w:i/>
          <w:iCs/>
        </w:rPr>
        <w:t>au monde, malgré son PIB relativement élevé et le montant important des subventions</w:t>
      </w:r>
      <w:r w:rsidRPr="000755D5">
        <w:rPr>
          <w:rFonts w:ascii="Bookman Old Style" w:hAnsi="Bookman Old Style"/>
          <w:i/>
        </w:rPr>
        <w:t xml:space="preserve"> </w:t>
      </w:r>
      <w:r>
        <w:rPr>
          <w:rFonts w:ascii="Bookman Old Style" w:hAnsi="Bookman Old Style"/>
          <w:bCs/>
          <w:i/>
          <w:iCs/>
        </w:rPr>
        <w:t>é</w:t>
      </w:r>
      <w:r w:rsidRPr="000755D5">
        <w:rPr>
          <w:rFonts w:ascii="Bookman Old Style" w:hAnsi="Bookman Old Style"/>
          <w:bCs/>
          <w:i/>
          <w:iCs/>
        </w:rPr>
        <w:t>trangères par habitant (environ 1</w:t>
      </w:r>
      <w:r>
        <w:rPr>
          <w:rFonts w:ascii="Bookman Old Style" w:hAnsi="Bookman Old Style"/>
          <w:bCs/>
          <w:i/>
          <w:iCs/>
        </w:rPr>
        <w:t xml:space="preserve"> </w:t>
      </w:r>
      <w:r w:rsidRPr="000755D5">
        <w:rPr>
          <w:rFonts w:ascii="Bookman Old Style" w:hAnsi="Bookman Old Style"/>
          <w:bCs/>
          <w:i/>
          <w:iCs/>
        </w:rPr>
        <w:t xml:space="preserve">000$ </w:t>
      </w:r>
      <w:r>
        <w:rPr>
          <w:rFonts w:ascii="Bookman Old Style" w:hAnsi="Bookman Old Style"/>
          <w:bCs/>
          <w:i/>
          <w:iCs/>
        </w:rPr>
        <w:t xml:space="preserve"> EU </w:t>
      </w:r>
      <w:r w:rsidRPr="000755D5">
        <w:rPr>
          <w:rFonts w:ascii="Bookman Old Style" w:hAnsi="Bookman Old Style"/>
          <w:bCs/>
          <w:i/>
          <w:iCs/>
        </w:rPr>
        <w:t>et 100 $</w:t>
      </w:r>
      <w:r>
        <w:rPr>
          <w:rFonts w:ascii="Bookman Old Style" w:hAnsi="Bookman Old Style"/>
          <w:bCs/>
          <w:i/>
          <w:iCs/>
        </w:rPr>
        <w:t xml:space="preserve"> EU</w:t>
      </w:r>
      <w:r w:rsidRPr="000755D5">
        <w:rPr>
          <w:rFonts w:ascii="Bookman Old Style" w:hAnsi="Bookman Old Style"/>
          <w:bCs/>
          <w:i/>
          <w:iCs/>
        </w:rPr>
        <w:t xml:space="preserve"> respectivemen</w:t>
      </w:r>
      <w:r w:rsidRPr="004C349B">
        <w:rPr>
          <w:rFonts w:ascii="Bookman Old Style" w:hAnsi="Bookman Old Style"/>
          <w:bCs/>
          <w:iCs/>
        </w:rPr>
        <w:t>t)</w:t>
      </w:r>
      <w:r>
        <w:rPr>
          <w:rFonts w:ascii="Bookman Old Style" w:hAnsi="Bookman Old Style"/>
          <w:bCs/>
          <w:iCs/>
        </w:rPr>
        <w:t xml:space="preserve"> </w:t>
      </w:r>
      <w:r w:rsidRPr="005114BF">
        <w:rPr>
          <w:rFonts w:ascii="Bookman Old Style" w:hAnsi="Bookman Old Style"/>
          <w:bCs/>
          <w:iCs/>
        </w:rPr>
        <w:t xml:space="preserve">(Banque  mondiale, 2006, p. 135). </w:t>
      </w:r>
      <w:r w:rsidRPr="005114BF">
        <w:rPr>
          <w:rFonts w:ascii="Bookman Old Style" w:hAnsi="Bookman Old Style"/>
        </w:rPr>
        <w:t>Le revenu relativement élevé par habitant de Djibouti</w:t>
      </w:r>
      <w:r>
        <w:rPr>
          <w:rFonts w:ascii="Bookman Old Style" w:hAnsi="Bookman Old Style"/>
        </w:rPr>
        <w:t xml:space="preserve"> cache souvent des niveaux de pauvreté, </w:t>
      </w:r>
      <w:r w:rsidRPr="005114BF">
        <w:rPr>
          <w:rFonts w:ascii="Bookman Old Style" w:hAnsi="Bookman Old Style"/>
        </w:rPr>
        <w:t xml:space="preserve">d’analphabétisme, de </w:t>
      </w:r>
      <w:r w:rsidRPr="005114BF">
        <w:rPr>
          <w:rFonts w:ascii="Bookman Old Style" w:hAnsi="Bookman Old Style"/>
        </w:rPr>
        <w:lastRenderedPageBreak/>
        <w:t>morbidité et de mortalité maternelle et infantile élevés</w:t>
      </w:r>
      <w:r w:rsidR="001F15DF">
        <w:rPr>
          <w:rFonts w:ascii="Bookman Old Style" w:hAnsi="Bookman Old Style"/>
        </w:rPr>
        <w:t xml:space="preserve"> comme le montre le tableau n°5</w:t>
      </w:r>
      <w:r w:rsidRPr="005114BF">
        <w:rPr>
          <w:rFonts w:ascii="Bookman Old Style" w:hAnsi="Bookman Old Style"/>
        </w:rPr>
        <w:t>.</w:t>
      </w:r>
      <w:r w:rsidRPr="005114BF">
        <w:rPr>
          <w:rFonts w:ascii="Bookman Old Style" w:hAnsi="Bookman Old Style"/>
          <w:szCs w:val="28"/>
        </w:rPr>
        <w:t xml:space="preserve"> </w:t>
      </w:r>
    </w:p>
    <w:p w:rsidR="003E60F7" w:rsidRDefault="003E60F7" w:rsidP="00F51197">
      <w:pPr>
        <w:spacing w:line="480" w:lineRule="auto"/>
        <w:ind w:firstLine="709"/>
        <w:jc w:val="both"/>
        <w:rPr>
          <w:rFonts w:ascii="Bookman Old Style" w:hAnsi="Bookman Old Style"/>
          <w:szCs w:val="28"/>
        </w:rPr>
      </w:pPr>
    </w:p>
    <w:p w:rsidR="003E60F7" w:rsidRDefault="003E60F7" w:rsidP="00F51197">
      <w:pPr>
        <w:spacing w:line="480" w:lineRule="auto"/>
        <w:ind w:firstLine="709"/>
        <w:jc w:val="both"/>
        <w:rPr>
          <w:rFonts w:ascii="Bookman Old Style" w:hAnsi="Bookman Old Style"/>
          <w:szCs w:val="28"/>
        </w:rPr>
      </w:pPr>
    </w:p>
    <w:p w:rsidR="003E60F7" w:rsidRPr="004731D0" w:rsidRDefault="003E60F7" w:rsidP="00F51197">
      <w:pPr>
        <w:pStyle w:val="Lgende"/>
        <w:keepNext/>
        <w:spacing w:line="480" w:lineRule="auto"/>
        <w:jc w:val="center"/>
        <w:rPr>
          <w:rFonts w:ascii="Bookman Old Style" w:hAnsi="Bookman Old Style"/>
        </w:rPr>
      </w:pPr>
      <w:bookmarkStart w:id="22" w:name="_Toc337258663"/>
      <w:r w:rsidRPr="004731D0">
        <w:rPr>
          <w:rFonts w:ascii="Bookman Old Style" w:hAnsi="Bookman Old Style"/>
        </w:rPr>
        <w:t>Tableau</w:t>
      </w:r>
      <w:r w:rsidR="001F15DF">
        <w:rPr>
          <w:rFonts w:ascii="Bookman Old Style" w:hAnsi="Bookman Old Style"/>
        </w:rPr>
        <w:t xml:space="preserve"> 5</w:t>
      </w:r>
      <w:r w:rsidRPr="004731D0">
        <w:rPr>
          <w:rFonts w:ascii="Bookman Old Style" w:hAnsi="Bookman Old Style"/>
        </w:rPr>
        <w:t> : Indicateurs sociaux sélectionnés</w:t>
      </w:r>
      <w:r>
        <w:rPr>
          <w:rFonts w:ascii="Bookman Old Style" w:hAnsi="Bookman Old Style"/>
        </w:rPr>
        <w:t xml:space="preserve"> de Djibouti et des autres pays de la région</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800"/>
        <w:gridCol w:w="2070"/>
        <w:gridCol w:w="1710"/>
      </w:tblGrid>
      <w:tr w:rsidR="003E60F7" w:rsidRPr="005114BF" w:rsidTr="00196209">
        <w:tc>
          <w:tcPr>
            <w:tcW w:w="3708" w:type="dxa"/>
            <w:shd w:val="pct12" w:color="auto" w:fill="DAEEF3"/>
          </w:tcPr>
          <w:p w:rsidR="003E60F7" w:rsidRPr="009E2DD1" w:rsidRDefault="003E60F7" w:rsidP="00F51197">
            <w:pPr>
              <w:spacing w:line="480" w:lineRule="auto"/>
              <w:rPr>
                <w:rFonts w:ascii="Bookman Old Style" w:hAnsi="Bookman Old Style"/>
              </w:rPr>
            </w:pPr>
          </w:p>
        </w:tc>
        <w:tc>
          <w:tcPr>
            <w:tcW w:w="1800" w:type="dxa"/>
            <w:shd w:val="pct12" w:color="auto" w:fill="DAEEF3"/>
          </w:tcPr>
          <w:p w:rsidR="003E60F7" w:rsidRPr="009E2DD1" w:rsidRDefault="003E60F7" w:rsidP="00F51197">
            <w:pPr>
              <w:spacing w:line="480" w:lineRule="auto"/>
              <w:jc w:val="both"/>
              <w:rPr>
                <w:rFonts w:ascii="Bookman Old Style" w:hAnsi="Bookman Old Style"/>
              </w:rPr>
            </w:pPr>
            <w:r w:rsidRPr="009E2DD1">
              <w:rPr>
                <w:rFonts w:ascii="Bookman Old Style" w:hAnsi="Bookman Old Style"/>
              </w:rPr>
              <w:t>Djibouti</w:t>
            </w:r>
          </w:p>
        </w:tc>
        <w:tc>
          <w:tcPr>
            <w:tcW w:w="2070" w:type="dxa"/>
            <w:shd w:val="pct12" w:color="auto" w:fill="DAEEF3"/>
          </w:tcPr>
          <w:p w:rsidR="003E60F7" w:rsidRPr="009E2DD1" w:rsidRDefault="003E60F7" w:rsidP="00F51197">
            <w:pPr>
              <w:spacing w:line="480" w:lineRule="auto"/>
              <w:jc w:val="both"/>
              <w:rPr>
                <w:rFonts w:ascii="Bookman Old Style" w:hAnsi="Bookman Old Style"/>
              </w:rPr>
            </w:pPr>
            <w:r w:rsidRPr="009E2DD1">
              <w:rPr>
                <w:rFonts w:ascii="Bookman Old Style" w:hAnsi="Bookman Old Style"/>
              </w:rPr>
              <w:t>Afrique subsaharienne</w:t>
            </w:r>
          </w:p>
          <w:p w:rsidR="003E60F7" w:rsidRPr="009E2DD1" w:rsidRDefault="003E60F7" w:rsidP="00F51197">
            <w:pPr>
              <w:spacing w:line="480" w:lineRule="auto"/>
              <w:jc w:val="both"/>
              <w:rPr>
                <w:rFonts w:ascii="Bookman Old Style" w:hAnsi="Bookman Old Style"/>
              </w:rPr>
            </w:pPr>
          </w:p>
          <w:p w:rsidR="003E60F7" w:rsidRPr="009E2DD1" w:rsidRDefault="003E60F7" w:rsidP="00F51197">
            <w:pPr>
              <w:spacing w:line="480" w:lineRule="auto"/>
              <w:jc w:val="both"/>
              <w:rPr>
                <w:rFonts w:ascii="Bookman Old Style" w:hAnsi="Bookman Old Style"/>
              </w:rPr>
            </w:pPr>
          </w:p>
        </w:tc>
        <w:tc>
          <w:tcPr>
            <w:tcW w:w="1710" w:type="dxa"/>
            <w:shd w:val="pct12" w:color="auto" w:fill="DAEEF3"/>
          </w:tcPr>
          <w:p w:rsidR="003E60F7" w:rsidRPr="009E2DD1" w:rsidRDefault="003E60F7" w:rsidP="00F51197">
            <w:pPr>
              <w:spacing w:line="480" w:lineRule="auto"/>
              <w:jc w:val="both"/>
              <w:rPr>
                <w:rFonts w:ascii="Bookman Old Style" w:hAnsi="Bookman Old Style"/>
              </w:rPr>
            </w:pPr>
            <w:r w:rsidRPr="009E2DD1">
              <w:rPr>
                <w:rFonts w:ascii="Bookman Old Style" w:hAnsi="Bookman Old Style"/>
              </w:rPr>
              <w:t>Yémen</w:t>
            </w:r>
          </w:p>
          <w:p w:rsidR="003E60F7" w:rsidRPr="009E2DD1" w:rsidRDefault="003E60F7" w:rsidP="00F51197">
            <w:pPr>
              <w:spacing w:line="480" w:lineRule="auto"/>
              <w:jc w:val="both"/>
              <w:rPr>
                <w:rFonts w:ascii="Bookman Old Style" w:hAnsi="Bookman Old Style"/>
              </w:rPr>
            </w:pPr>
          </w:p>
        </w:tc>
      </w:tr>
      <w:tr w:rsidR="003E60F7" w:rsidRPr="005114BF" w:rsidTr="00196209">
        <w:tc>
          <w:tcPr>
            <w:tcW w:w="3708" w:type="dxa"/>
          </w:tcPr>
          <w:p w:rsidR="003E60F7" w:rsidRPr="005114BF" w:rsidRDefault="003E60F7" w:rsidP="00F51197">
            <w:pPr>
              <w:spacing w:line="480" w:lineRule="auto"/>
              <w:rPr>
                <w:rFonts w:ascii="Bookman Old Style" w:hAnsi="Bookman Old Style"/>
              </w:rPr>
            </w:pPr>
            <w:r>
              <w:rPr>
                <w:rFonts w:ascii="Bookman Old Style" w:hAnsi="Bookman Old Style"/>
              </w:rPr>
              <w:t>Esperance de la vie à la naissance</w:t>
            </w:r>
          </w:p>
        </w:tc>
        <w:tc>
          <w:tcPr>
            <w:tcW w:w="1800" w:type="dxa"/>
          </w:tcPr>
          <w:p w:rsidR="003E60F7" w:rsidRPr="005114BF" w:rsidRDefault="003E60F7" w:rsidP="00F51197">
            <w:pPr>
              <w:spacing w:line="480" w:lineRule="auto"/>
              <w:rPr>
                <w:rFonts w:ascii="Bookman Old Style" w:hAnsi="Bookman Old Style"/>
              </w:rPr>
            </w:pPr>
            <w:r>
              <w:rPr>
                <w:rFonts w:ascii="Bookman Old Style" w:hAnsi="Bookman Old Style"/>
              </w:rPr>
              <w:t>50</w:t>
            </w:r>
          </w:p>
        </w:tc>
        <w:tc>
          <w:tcPr>
            <w:tcW w:w="2070" w:type="dxa"/>
          </w:tcPr>
          <w:p w:rsidR="003E60F7" w:rsidRPr="005114BF" w:rsidRDefault="003E60F7" w:rsidP="00F51197">
            <w:pPr>
              <w:spacing w:line="480" w:lineRule="auto"/>
              <w:rPr>
                <w:rFonts w:ascii="Bookman Old Style" w:hAnsi="Bookman Old Style"/>
              </w:rPr>
            </w:pPr>
            <w:r>
              <w:rPr>
                <w:rFonts w:ascii="Bookman Old Style" w:hAnsi="Bookman Old Style"/>
              </w:rPr>
              <w:t xml:space="preserve">50 </w:t>
            </w:r>
          </w:p>
          <w:p w:rsidR="003E60F7" w:rsidRPr="005114BF" w:rsidRDefault="003E60F7" w:rsidP="00F51197">
            <w:pPr>
              <w:spacing w:line="480" w:lineRule="auto"/>
              <w:rPr>
                <w:rFonts w:ascii="Bookman Old Style" w:hAnsi="Bookman Old Style"/>
              </w:rPr>
            </w:pPr>
          </w:p>
        </w:tc>
        <w:tc>
          <w:tcPr>
            <w:tcW w:w="1710" w:type="dxa"/>
          </w:tcPr>
          <w:p w:rsidR="003E60F7" w:rsidRPr="005114BF" w:rsidRDefault="003E60F7" w:rsidP="00F51197">
            <w:pPr>
              <w:spacing w:line="480" w:lineRule="auto"/>
              <w:rPr>
                <w:rFonts w:ascii="Bookman Old Style" w:hAnsi="Bookman Old Style"/>
              </w:rPr>
            </w:pPr>
            <w:r>
              <w:rPr>
                <w:rFonts w:ascii="Bookman Old Style" w:hAnsi="Bookman Old Style"/>
              </w:rPr>
              <w:t>56</w:t>
            </w:r>
          </w:p>
        </w:tc>
      </w:tr>
      <w:tr w:rsidR="003E60F7" w:rsidRPr="005114BF" w:rsidTr="00196209">
        <w:tc>
          <w:tcPr>
            <w:tcW w:w="3708" w:type="dxa"/>
          </w:tcPr>
          <w:p w:rsidR="003E60F7" w:rsidRPr="005114BF" w:rsidRDefault="003E60F7" w:rsidP="00F51197">
            <w:pPr>
              <w:spacing w:line="480" w:lineRule="auto"/>
              <w:rPr>
                <w:rFonts w:ascii="Bookman Old Style" w:hAnsi="Bookman Old Style"/>
              </w:rPr>
            </w:pPr>
            <w:r>
              <w:rPr>
                <w:rFonts w:ascii="Bookman Old Style" w:hAnsi="Bookman Old Style"/>
              </w:rPr>
              <w:t>Mortalité infantile pour 1 000 naissances vivantes</w:t>
            </w:r>
          </w:p>
        </w:tc>
        <w:tc>
          <w:tcPr>
            <w:tcW w:w="1800" w:type="dxa"/>
          </w:tcPr>
          <w:p w:rsidR="003E60F7" w:rsidRPr="005114BF" w:rsidRDefault="003E60F7" w:rsidP="00F51197">
            <w:pPr>
              <w:spacing w:line="480" w:lineRule="auto"/>
              <w:rPr>
                <w:rFonts w:ascii="Bookman Old Style" w:hAnsi="Bookman Old Style"/>
              </w:rPr>
            </w:pPr>
            <w:r>
              <w:rPr>
                <w:rFonts w:ascii="Bookman Old Style" w:hAnsi="Bookman Old Style"/>
              </w:rPr>
              <w:t>106</w:t>
            </w:r>
          </w:p>
        </w:tc>
        <w:tc>
          <w:tcPr>
            <w:tcW w:w="2070" w:type="dxa"/>
          </w:tcPr>
          <w:p w:rsidR="003E60F7" w:rsidRPr="005114BF" w:rsidRDefault="003E60F7" w:rsidP="00F51197">
            <w:pPr>
              <w:spacing w:line="480" w:lineRule="auto"/>
              <w:rPr>
                <w:rFonts w:ascii="Bookman Old Style" w:hAnsi="Bookman Old Style"/>
              </w:rPr>
            </w:pPr>
            <w:r>
              <w:rPr>
                <w:rFonts w:ascii="Bookman Old Style" w:hAnsi="Bookman Old Style"/>
              </w:rPr>
              <w:t>92</w:t>
            </w:r>
          </w:p>
        </w:tc>
        <w:tc>
          <w:tcPr>
            <w:tcW w:w="1710" w:type="dxa"/>
          </w:tcPr>
          <w:p w:rsidR="003E60F7" w:rsidRPr="005114BF" w:rsidRDefault="003E60F7" w:rsidP="00F51197">
            <w:pPr>
              <w:spacing w:line="480" w:lineRule="auto"/>
              <w:rPr>
                <w:rFonts w:ascii="Bookman Old Style" w:hAnsi="Bookman Old Style"/>
              </w:rPr>
            </w:pPr>
            <w:r>
              <w:rPr>
                <w:rFonts w:ascii="Bookman Old Style" w:hAnsi="Bookman Old Style"/>
              </w:rPr>
              <w:t>82</w:t>
            </w:r>
          </w:p>
        </w:tc>
      </w:tr>
      <w:tr w:rsidR="003E60F7" w:rsidRPr="005114BF" w:rsidTr="00196209">
        <w:tc>
          <w:tcPr>
            <w:tcW w:w="3708" w:type="dxa"/>
          </w:tcPr>
          <w:p w:rsidR="003E60F7" w:rsidRPr="005114BF" w:rsidRDefault="003E60F7" w:rsidP="00F51197">
            <w:pPr>
              <w:spacing w:line="480" w:lineRule="auto"/>
              <w:rPr>
                <w:rFonts w:ascii="Bookman Old Style" w:hAnsi="Bookman Old Style"/>
              </w:rPr>
            </w:pPr>
            <w:r>
              <w:rPr>
                <w:rFonts w:ascii="Bookman Old Style" w:hAnsi="Bookman Old Style"/>
              </w:rPr>
              <w:t>Scolarisation brutes à l’école primaire</w:t>
            </w:r>
          </w:p>
        </w:tc>
        <w:tc>
          <w:tcPr>
            <w:tcW w:w="1800" w:type="dxa"/>
          </w:tcPr>
          <w:p w:rsidR="003E60F7" w:rsidRPr="005114BF" w:rsidRDefault="003E60F7" w:rsidP="00F51197">
            <w:pPr>
              <w:spacing w:line="480" w:lineRule="auto"/>
              <w:rPr>
                <w:rFonts w:ascii="Bookman Old Style" w:hAnsi="Bookman Old Style"/>
              </w:rPr>
            </w:pPr>
            <w:r>
              <w:rPr>
                <w:rFonts w:ascii="Bookman Old Style" w:hAnsi="Bookman Old Style"/>
              </w:rPr>
              <w:t>39</w:t>
            </w:r>
          </w:p>
        </w:tc>
        <w:tc>
          <w:tcPr>
            <w:tcW w:w="2070" w:type="dxa"/>
          </w:tcPr>
          <w:p w:rsidR="003E60F7" w:rsidRPr="005114BF" w:rsidRDefault="003E60F7" w:rsidP="00F51197">
            <w:pPr>
              <w:spacing w:line="480" w:lineRule="auto"/>
              <w:rPr>
                <w:rFonts w:ascii="Bookman Old Style" w:hAnsi="Bookman Old Style"/>
              </w:rPr>
            </w:pPr>
            <w:r>
              <w:rPr>
                <w:rFonts w:ascii="Bookman Old Style" w:hAnsi="Bookman Old Style"/>
              </w:rPr>
              <w:t>78</w:t>
            </w:r>
          </w:p>
          <w:p w:rsidR="003E60F7" w:rsidRPr="005114BF" w:rsidRDefault="003E60F7" w:rsidP="00F51197">
            <w:pPr>
              <w:spacing w:line="480" w:lineRule="auto"/>
              <w:rPr>
                <w:rFonts w:ascii="Bookman Old Style" w:hAnsi="Bookman Old Style"/>
              </w:rPr>
            </w:pPr>
          </w:p>
        </w:tc>
        <w:tc>
          <w:tcPr>
            <w:tcW w:w="1710" w:type="dxa"/>
          </w:tcPr>
          <w:p w:rsidR="003E60F7" w:rsidRPr="005114BF" w:rsidRDefault="003E60F7" w:rsidP="00F51197">
            <w:pPr>
              <w:spacing w:line="480" w:lineRule="auto"/>
              <w:rPr>
                <w:rFonts w:ascii="Bookman Old Style" w:hAnsi="Bookman Old Style"/>
              </w:rPr>
            </w:pPr>
            <w:r>
              <w:rPr>
                <w:rFonts w:ascii="Bookman Old Style" w:hAnsi="Bookman Old Style"/>
              </w:rPr>
              <w:t>70</w:t>
            </w:r>
          </w:p>
        </w:tc>
      </w:tr>
      <w:tr w:rsidR="003E60F7" w:rsidRPr="005114BF" w:rsidTr="00196209">
        <w:tc>
          <w:tcPr>
            <w:tcW w:w="3708" w:type="dxa"/>
          </w:tcPr>
          <w:p w:rsidR="003E60F7" w:rsidRPr="005114BF" w:rsidRDefault="003E60F7" w:rsidP="00F51197">
            <w:pPr>
              <w:spacing w:line="480" w:lineRule="auto"/>
              <w:rPr>
                <w:rFonts w:ascii="Bookman Old Style" w:hAnsi="Bookman Old Style"/>
              </w:rPr>
            </w:pPr>
            <w:r>
              <w:rPr>
                <w:rFonts w:ascii="Bookman Old Style" w:hAnsi="Bookman Old Style"/>
              </w:rPr>
              <w:t>Mortalité à l’accouchement pour 100. 000</w:t>
            </w:r>
          </w:p>
        </w:tc>
        <w:tc>
          <w:tcPr>
            <w:tcW w:w="1800" w:type="dxa"/>
          </w:tcPr>
          <w:p w:rsidR="003E60F7" w:rsidRPr="005114BF" w:rsidRDefault="003E60F7" w:rsidP="00F51197">
            <w:pPr>
              <w:spacing w:line="480" w:lineRule="auto"/>
              <w:rPr>
                <w:rFonts w:ascii="Bookman Old Style" w:hAnsi="Bookman Old Style"/>
              </w:rPr>
            </w:pPr>
            <w:r>
              <w:rPr>
                <w:rFonts w:ascii="Bookman Old Style" w:hAnsi="Bookman Old Style"/>
              </w:rPr>
              <w:t>740</w:t>
            </w:r>
          </w:p>
        </w:tc>
        <w:tc>
          <w:tcPr>
            <w:tcW w:w="2070" w:type="dxa"/>
          </w:tcPr>
          <w:p w:rsidR="003E60F7" w:rsidRPr="005114BF" w:rsidRDefault="003E60F7" w:rsidP="00F51197">
            <w:pPr>
              <w:spacing w:line="480" w:lineRule="auto"/>
              <w:rPr>
                <w:rFonts w:ascii="Bookman Old Style" w:hAnsi="Bookman Old Style"/>
              </w:rPr>
            </w:pPr>
          </w:p>
        </w:tc>
        <w:tc>
          <w:tcPr>
            <w:tcW w:w="1710" w:type="dxa"/>
          </w:tcPr>
          <w:p w:rsidR="003E60F7" w:rsidRPr="005114BF" w:rsidRDefault="003E60F7" w:rsidP="00F51197">
            <w:pPr>
              <w:spacing w:line="480" w:lineRule="auto"/>
              <w:rPr>
                <w:rFonts w:ascii="Bookman Old Style" w:hAnsi="Bookman Old Style"/>
              </w:rPr>
            </w:pPr>
            <w:r>
              <w:rPr>
                <w:rFonts w:ascii="Bookman Old Style" w:hAnsi="Bookman Old Style"/>
              </w:rPr>
              <w:t>350</w:t>
            </w:r>
          </w:p>
        </w:tc>
      </w:tr>
    </w:tbl>
    <w:p w:rsidR="003E60F7" w:rsidRPr="009E2DD1" w:rsidRDefault="003E60F7" w:rsidP="00F51197">
      <w:pPr>
        <w:spacing w:line="480" w:lineRule="auto"/>
        <w:jc w:val="both"/>
        <w:rPr>
          <w:rFonts w:ascii="Bookman Old Style" w:hAnsi="Bookman Old Style"/>
          <w:sz w:val="22"/>
          <w:szCs w:val="22"/>
        </w:rPr>
      </w:pPr>
      <w:r w:rsidRPr="009E2DD1">
        <w:rPr>
          <w:rFonts w:ascii="Bookman Old Style" w:hAnsi="Bookman Old Style"/>
          <w:sz w:val="22"/>
          <w:szCs w:val="22"/>
        </w:rPr>
        <w:t>Source : Banque mondiale,  2006</w:t>
      </w:r>
    </w:p>
    <w:p w:rsidR="003E60F7" w:rsidRDefault="003E60F7" w:rsidP="00F51197">
      <w:pPr>
        <w:spacing w:line="480" w:lineRule="auto"/>
        <w:ind w:firstLine="709"/>
        <w:jc w:val="both"/>
        <w:rPr>
          <w:rFonts w:ascii="Bookman Old Style" w:hAnsi="Bookman Old Style"/>
          <w:szCs w:val="28"/>
        </w:rPr>
      </w:pPr>
    </w:p>
    <w:p w:rsidR="003E60F7" w:rsidRDefault="003E60F7" w:rsidP="00F51197">
      <w:pPr>
        <w:spacing w:line="480" w:lineRule="auto"/>
        <w:ind w:firstLine="706"/>
        <w:jc w:val="both"/>
        <w:rPr>
          <w:rFonts w:ascii="Bookman Old Style" w:hAnsi="Bookman Old Style"/>
          <w:szCs w:val="28"/>
        </w:rPr>
      </w:pPr>
      <w:r w:rsidRPr="005114BF">
        <w:rPr>
          <w:rFonts w:ascii="Bookman Old Style" w:hAnsi="Bookman Old Style"/>
        </w:rPr>
        <w:t>Le revenu national brut par hab</w:t>
      </w:r>
      <w:r>
        <w:rPr>
          <w:rFonts w:ascii="Bookman Old Style" w:hAnsi="Bookman Old Style"/>
        </w:rPr>
        <w:t xml:space="preserve">itant de Djibouti 1400 dollars américains </w:t>
      </w:r>
      <w:r w:rsidRPr="005114BF">
        <w:rPr>
          <w:rFonts w:ascii="Bookman Old Style" w:hAnsi="Bookman Old Style"/>
        </w:rPr>
        <w:t>est environ 2 fois plus élevé que la m</w:t>
      </w:r>
      <w:r>
        <w:rPr>
          <w:rFonts w:ascii="Bookman Old Style" w:hAnsi="Bookman Old Style"/>
        </w:rPr>
        <w:t xml:space="preserve">oyenne d’Afrique subsaharienne. Dans le classement de la Banque mondiale, </w:t>
      </w:r>
      <w:r w:rsidRPr="005114BF">
        <w:rPr>
          <w:rFonts w:ascii="Bookman Old Style" w:hAnsi="Bookman Old Style"/>
        </w:rPr>
        <w:t>Djibouti</w:t>
      </w:r>
      <w:r>
        <w:rPr>
          <w:rFonts w:ascii="Bookman Old Style" w:hAnsi="Bookman Old Style"/>
        </w:rPr>
        <w:t xml:space="preserve"> figure </w:t>
      </w:r>
      <w:r w:rsidRPr="005114BF">
        <w:rPr>
          <w:rFonts w:ascii="Bookman Old Style" w:hAnsi="Bookman Old Style"/>
        </w:rPr>
        <w:t xml:space="preserve"> </w:t>
      </w:r>
      <w:r w:rsidRPr="005114BF">
        <w:rPr>
          <w:rFonts w:ascii="Bookman Old Style" w:hAnsi="Bookman Old Style"/>
        </w:rPr>
        <w:lastRenderedPageBreak/>
        <w:t>dans la tranche inférieure des économies à revenu intermédiaire</w:t>
      </w:r>
      <w:r>
        <w:rPr>
          <w:rStyle w:val="Appelnotedebasdep"/>
          <w:rFonts w:ascii="Bookman Old Style" w:hAnsi="Bookman Old Style"/>
        </w:rPr>
        <w:footnoteReference w:id="8"/>
      </w:r>
      <w:r w:rsidRPr="005114BF">
        <w:rPr>
          <w:rFonts w:ascii="Bookman Old Style" w:hAnsi="Bookman Old Style"/>
        </w:rPr>
        <w:t xml:space="preserve">. </w:t>
      </w:r>
      <w:r>
        <w:rPr>
          <w:rFonts w:ascii="Bookman Old Style" w:hAnsi="Bookman Old Style"/>
        </w:rPr>
        <w:t>Le pays</w:t>
      </w:r>
      <w:r w:rsidRPr="005114BF">
        <w:rPr>
          <w:rFonts w:ascii="Bookman Old Style" w:hAnsi="Bookman Old Style"/>
        </w:rPr>
        <w:t xml:space="preserve"> présente</w:t>
      </w:r>
      <w:r>
        <w:rPr>
          <w:rFonts w:ascii="Bookman Old Style" w:hAnsi="Bookman Old Style"/>
        </w:rPr>
        <w:t xml:space="preserve"> cependant</w:t>
      </w:r>
      <w:r w:rsidRPr="005114BF">
        <w:rPr>
          <w:rFonts w:ascii="Bookman Old Style" w:hAnsi="Bookman Old Style"/>
        </w:rPr>
        <w:t xml:space="preserve"> des indicateurs sociaux en dessous des normes des pays en développement à revenu faible. </w:t>
      </w:r>
      <w:r w:rsidRPr="00AF2EDB">
        <w:rPr>
          <w:rFonts w:ascii="Bookman Old Style" w:hAnsi="Bookman Old Style"/>
        </w:rPr>
        <w:t>Sur l’Indice de Développement Humain du PNUD</w:t>
      </w:r>
      <w:r>
        <w:rPr>
          <w:rFonts w:ascii="Bookman Old Style" w:hAnsi="Bookman Old Style"/>
        </w:rPr>
        <w:t>, Djibouti occupe en 2010, le 16</w:t>
      </w:r>
      <w:r w:rsidRPr="00AF2EDB">
        <w:rPr>
          <w:rFonts w:ascii="Bookman Old Style" w:hAnsi="Bookman Old Style"/>
        </w:rPr>
        <w:t>9ème rang sur 177 pays. Le pays enregistre au</w:t>
      </w:r>
      <w:r>
        <w:rPr>
          <w:rFonts w:ascii="Bookman Old Style" w:hAnsi="Bookman Old Style"/>
        </w:rPr>
        <w:t xml:space="preserve">ssi des taux extrêmement élevés </w:t>
      </w:r>
      <w:r w:rsidRPr="00AF2EDB">
        <w:rPr>
          <w:rFonts w:ascii="Bookman Old Style" w:hAnsi="Bookman Old Style"/>
        </w:rPr>
        <w:t xml:space="preserve">d’analphabétisme adulte, de morbidité et de mortalité maternelle et infantile. La mortalité infantile est à 103‰, contre une moyenne de 92‰ pour l’Afrique subsaharienne, 82‰ pour le Yémen. </w:t>
      </w:r>
      <w:r>
        <w:rPr>
          <w:rFonts w:ascii="Bookman Old Style" w:hAnsi="Bookman Old Style"/>
        </w:rPr>
        <w:t xml:space="preserve"> Dans l’ensemble, l’espérance de vie de Djibouti est identique à celle de l’Afrique subsaharienne mais moindre que celle du Yémen 56 ans dont le PIB par habitant est nettement inférieur à celui de Djibouti. Les taux de scolarisation bruts à l’enregistrement primaire se situent à moins de la moitié de la moyenne pour l’Afrique subsaharienne (39 % de la population en âge scolaire par rapport à 78 % pour l’Afrique subsaharienne). </w:t>
      </w:r>
    </w:p>
    <w:p w:rsidR="003E60F7" w:rsidRDefault="003E60F7" w:rsidP="00F51197">
      <w:pPr>
        <w:spacing w:line="480" w:lineRule="auto"/>
        <w:ind w:firstLine="706"/>
        <w:jc w:val="both"/>
        <w:rPr>
          <w:rFonts w:ascii="Bookman Old Style" w:hAnsi="Bookman Old Style"/>
        </w:rPr>
      </w:pPr>
      <w:r>
        <w:rPr>
          <w:rFonts w:ascii="Bookman Old Style" w:hAnsi="Bookman Old Style"/>
        </w:rPr>
        <w:t>L</w:t>
      </w:r>
      <w:r w:rsidRPr="005114BF">
        <w:rPr>
          <w:rFonts w:ascii="Bookman Old Style" w:hAnsi="Bookman Old Style"/>
        </w:rPr>
        <w:t>e niveau agrégé de la dépense publique de Djibouti est élevé compte tenu de la taille du pays e</w:t>
      </w:r>
      <w:r>
        <w:rPr>
          <w:rFonts w:ascii="Bookman Old Style" w:hAnsi="Bookman Old Style"/>
        </w:rPr>
        <w:t xml:space="preserve">t en comparaison avec d’autres </w:t>
      </w:r>
      <w:r w:rsidRPr="005114BF">
        <w:rPr>
          <w:rFonts w:ascii="Bookman Old Style" w:hAnsi="Bookman Old Style"/>
        </w:rPr>
        <w:t xml:space="preserve">pays africains. </w:t>
      </w:r>
      <w:r w:rsidRPr="005114BF">
        <w:rPr>
          <w:rFonts w:ascii="Bookman Old Style" w:hAnsi="Bookman Old Style"/>
          <w:szCs w:val="28"/>
        </w:rPr>
        <w:t>A</w:t>
      </w:r>
      <w:r w:rsidRPr="005114BF">
        <w:rPr>
          <w:rFonts w:ascii="Bookman Old Style" w:hAnsi="Bookman Old Style"/>
          <w:szCs w:val="28"/>
          <w:lang w:val="fr-BE"/>
        </w:rPr>
        <w:t>u cours de la période 1990-2004</w:t>
      </w:r>
      <w:r w:rsidRPr="005114BF">
        <w:rPr>
          <w:rFonts w:ascii="Bookman Old Style" w:hAnsi="Bookman Old Style"/>
        </w:rPr>
        <w:t>,</w:t>
      </w:r>
      <w:r w:rsidRPr="005114BF">
        <w:rPr>
          <w:rFonts w:ascii="Bookman Old Style" w:hAnsi="Bookman Old Style"/>
          <w:szCs w:val="28"/>
          <w:lang w:val="fr-BE"/>
        </w:rPr>
        <w:t xml:space="preserve"> les dépenses publiques globales ont représenté en moyenne plus de 40 % du PIB</w:t>
      </w:r>
      <w:r>
        <w:rPr>
          <w:rFonts w:ascii="Bookman Old Style" w:hAnsi="Bookman Old Style"/>
        </w:rPr>
        <w:t xml:space="preserve"> (voir graphique 1)</w:t>
      </w:r>
      <w:r w:rsidRPr="005114BF">
        <w:rPr>
          <w:rFonts w:ascii="Bookman Old Style" w:hAnsi="Bookman Old Style"/>
          <w:szCs w:val="28"/>
          <w:lang w:val="fr-BE"/>
        </w:rPr>
        <w:t>.</w:t>
      </w:r>
      <w:r w:rsidRPr="005114BF">
        <w:rPr>
          <w:rFonts w:ascii="Bookman Old Style" w:hAnsi="Bookman Old Style"/>
        </w:rPr>
        <w:t xml:space="preserve"> Les indicateurs sociaux de Djibouti sont pourtant parmi les plus faibles du monde. Il existe donc une faible  interaction entre les dépenses publiques et les résultats dans les secteurs sociaux clés comme la santé ou l’éducatio</w:t>
      </w:r>
      <w:r>
        <w:rPr>
          <w:rFonts w:ascii="Bookman Old Style" w:hAnsi="Bookman Old Style"/>
        </w:rPr>
        <w:t>n (</w:t>
      </w:r>
      <w:r w:rsidRPr="005114BF">
        <w:rPr>
          <w:rFonts w:ascii="Bookman Old Style" w:hAnsi="Bookman Old Style"/>
          <w:lang w:val="fr-BE"/>
        </w:rPr>
        <w:t>Commission Economique des Nations Unies pour l’Afrique</w:t>
      </w:r>
      <w:r>
        <w:rPr>
          <w:rFonts w:ascii="Bookman Old Style" w:hAnsi="Bookman Old Style"/>
          <w:lang w:val="fr-BE"/>
        </w:rPr>
        <w:t xml:space="preserve">, </w:t>
      </w:r>
      <w:r w:rsidRPr="005114BF">
        <w:rPr>
          <w:rFonts w:ascii="Bookman Old Style" w:hAnsi="Bookman Old Style"/>
          <w:lang w:val="fr-BE"/>
        </w:rPr>
        <w:t>2007</w:t>
      </w:r>
      <w:r>
        <w:rPr>
          <w:rFonts w:ascii="Bookman Old Style" w:hAnsi="Bookman Old Style"/>
          <w:lang w:val="fr-BE"/>
        </w:rPr>
        <w:t>)</w:t>
      </w:r>
      <w:r w:rsidRPr="005114BF">
        <w:rPr>
          <w:rFonts w:ascii="Bookman Old Style" w:hAnsi="Bookman Old Style"/>
          <w:lang w:val="fr-BE"/>
        </w:rPr>
        <w:t xml:space="preserve">. Selon ce </w:t>
      </w:r>
      <w:r>
        <w:rPr>
          <w:rFonts w:ascii="Bookman Old Style" w:hAnsi="Bookman Old Style"/>
          <w:lang w:val="fr-BE"/>
        </w:rPr>
        <w:t>rapport</w:t>
      </w:r>
      <w:r w:rsidRPr="005114BF">
        <w:rPr>
          <w:rFonts w:ascii="Bookman Old Style" w:hAnsi="Bookman Old Style"/>
          <w:lang w:val="fr-BE"/>
        </w:rPr>
        <w:t> : « </w:t>
      </w:r>
      <w:r w:rsidRPr="000755D5">
        <w:rPr>
          <w:rFonts w:ascii="Bookman Old Style" w:hAnsi="Bookman Old Style"/>
          <w:lang w:val="fr-BE"/>
        </w:rPr>
        <w:t xml:space="preserve">à </w:t>
      </w:r>
      <w:r w:rsidRPr="000755D5">
        <w:rPr>
          <w:rFonts w:ascii="Bookman Old Style" w:hAnsi="Bookman Old Style"/>
          <w:i/>
          <w:lang w:val="fr-BE"/>
        </w:rPr>
        <w:t xml:space="preserve">priori, si l’on fait référence aux normes internationales, le niveau agrégé de la dépense publique de Djibouti est jugé élevé. On dénote cependant </w:t>
      </w:r>
      <w:r w:rsidRPr="000755D5">
        <w:rPr>
          <w:rFonts w:ascii="Bookman Old Style" w:hAnsi="Bookman Old Style"/>
          <w:i/>
          <w:lang w:val="fr-BE"/>
        </w:rPr>
        <w:lastRenderedPageBreak/>
        <w:t>de l’absence d’une approche de planification stratégique axée sur les résultats, ce qui explique en partie la faible interaction entre les dépenses publiques et les résultats atteints notamment dans les secteurs sociaux (éducation et santé)</w:t>
      </w:r>
      <w:r w:rsidRPr="005114BF">
        <w:rPr>
          <w:rFonts w:ascii="Bookman Old Style" w:hAnsi="Bookman Old Style"/>
          <w:i/>
          <w:lang w:val="fr-BE"/>
        </w:rPr>
        <w:t> »</w:t>
      </w:r>
      <w:r>
        <w:rPr>
          <w:rFonts w:ascii="Bookman Old Style" w:hAnsi="Bookman Old Style"/>
          <w:i/>
          <w:lang w:val="fr-BE"/>
        </w:rPr>
        <w:t>.</w:t>
      </w:r>
      <w:r w:rsidRPr="005114BF">
        <w:rPr>
          <w:rFonts w:ascii="Bookman Old Style" w:hAnsi="Bookman Old Style"/>
          <w:i/>
          <w:lang w:val="fr-BE"/>
        </w:rPr>
        <w:t xml:space="preserve">  </w:t>
      </w:r>
      <w:r w:rsidRPr="005114BF">
        <w:rPr>
          <w:rFonts w:ascii="Bookman Old Style" w:hAnsi="Bookman Old Style"/>
          <w:lang w:val="fr-BE"/>
        </w:rPr>
        <w:t>Autrement dit</w:t>
      </w:r>
      <w:r>
        <w:rPr>
          <w:rFonts w:ascii="Bookman Old Style" w:hAnsi="Bookman Old Style"/>
          <w:lang w:val="fr-BE"/>
        </w:rPr>
        <w:t>, malgré un niveau de dépenses publiques, Djibouti n’a</w:t>
      </w:r>
      <w:r w:rsidRPr="005114BF">
        <w:rPr>
          <w:rFonts w:ascii="Bookman Old Style" w:hAnsi="Bookman Old Style"/>
          <w:lang w:val="fr-BE"/>
        </w:rPr>
        <w:t xml:space="preserve"> pas de bons résultats en comparaison aux autres pays en développement.</w:t>
      </w:r>
      <w:r w:rsidRPr="005114BF">
        <w:rPr>
          <w:rFonts w:ascii="Bookman Old Style" w:hAnsi="Bookman Old Style"/>
        </w:rPr>
        <w:t xml:space="preserve"> </w:t>
      </w:r>
    </w:p>
    <w:p w:rsidR="003E60F7" w:rsidRDefault="003E60F7"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D76E4" w:rsidRDefault="003D76E4" w:rsidP="00F51197">
      <w:pPr>
        <w:spacing w:line="480" w:lineRule="auto"/>
        <w:ind w:firstLine="709"/>
        <w:jc w:val="both"/>
        <w:rPr>
          <w:rFonts w:ascii="Bookman Old Style" w:hAnsi="Bookman Old Style"/>
        </w:rPr>
      </w:pPr>
    </w:p>
    <w:p w:rsidR="003E60F7" w:rsidRPr="005114BF" w:rsidRDefault="003E60F7" w:rsidP="00F51197">
      <w:pPr>
        <w:spacing w:line="480" w:lineRule="auto"/>
        <w:jc w:val="both"/>
        <w:rPr>
          <w:rFonts w:ascii="Bookman Old Style" w:hAnsi="Bookman Old Style"/>
        </w:rPr>
      </w:pPr>
    </w:p>
    <w:p w:rsidR="003E60F7" w:rsidRPr="00B13465" w:rsidRDefault="003E60F7" w:rsidP="00F51197">
      <w:pPr>
        <w:pStyle w:val="Lgende"/>
        <w:spacing w:line="480" w:lineRule="auto"/>
        <w:jc w:val="center"/>
        <w:rPr>
          <w:rStyle w:val="lev"/>
          <w:rFonts w:ascii="Bookman Old Style" w:hAnsi="Bookman Old Style"/>
        </w:rPr>
      </w:pPr>
      <w:bookmarkStart w:id="23" w:name="_Toc337258925"/>
      <w:r w:rsidRPr="003D76E4">
        <w:rPr>
          <w:rStyle w:val="lev"/>
          <w:rFonts w:ascii="Bookman Old Style" w:hAnsi="Bookman Old Style"/>
          <w:b/>
        </w:rPr>
        <w:t xml:space="preserve"> Aperçu du niveau global des dépenses publiques de Djibouti entre 1990-2004</w:t>
      </w:r>
      <w:bookmarkEnd w:id="23"/>
    </w:p>
    <w:p w:rsidR="003E60F7" w:rsidRPr="005114BF" w:rsidRDefault="003E60F7" w:rsidP="00F51197">
      <w:pPr>
        <w:spacing w:line="480" w:lineRule="auto"/>
        <w:ind w:firstLine="706"/>
        <w:jc w:val="both"/>
        <w:rPr>
          <w:rFonts w:ascii="Bookman Old Style" w:hAnsi="Bookman Old Style"/>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5114BF" w:rsidRDefault="003E60F7" w:rsidP="00F51197">
      <w:pPr>
        <w:spacing w:line="480" w:lineRule="auto"/>
        <w:ind w:firstLine="706"/>
        <w:jc w:val="both"/>
        <w:rPr>
          <w:rFonts w:ascii="Bookman Old Style" w:hAnsi="Bookman Old Style"/>
          <w:szCs w:val="28"/>
        </w:rPr>
      </w:pPr>
    </w:p>
    <w:p w:rsidR="003E60F7" w:rsidRPr="009E2DD1" w:rsidRDefault="003E60F7" w:rsidP="00F51197">
      <w:pPr>
        <w:spacing w:line="480" w:lineRule="auto"/>
        <w:jc w:val="both"/>
        <w:rPr>
          <w:rFonts w:ascii="Bookman Old Style" w:hAnsi="Bookman Old Style"/>
          <w:sz w:val="22"/>
          <w:szCs w:val="22"/>
        </w:rPr>
      </w:pPr>
    </w:p>
    <w:p w:rsidR="003E60F7" w:rsidRPr="009E2DD1" w:rsidRDefault="003E60F7" w:rsidP="00F51197">
      <w:pPr>
        <w:spacing w:line="480" w:lineRule="auto"/>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-2963545</wp:posOffset>
            </wp:positionV>
            <wp:extent cx="6102985" cy="262890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lum contrast="6000"/>
                    </a:blip>
                    <a:srcRect/>
                    <a:stretch>
                      <a:fillRect/>
                    </a:stretch>
                  </pic:blipFill>
                  <pic:spPr bwMode="auto">
                    <a:xfrm>
                      <a:off x="0" y="0"/>
                      <a:ext cx="6102985" cy="2628900"/>
                    </a:xfrm>
                    <a:prstGeom prst="rect">
                      <a:avLst/>
                    </a:prstGeom>
                    <a:noFill/>
                    <a:ln w="9525">
                      <a:noFill/>
                      <a:miter lim="800000"/>
                      <a:headEnd/>
                      <a:tailEnd/>
                    </a:ln>
                  </pic:spPr>
                </pic:pic>
              </a:graphicData>
            </a:graphic>
          </wp:anchor>
        </w:drawing>
      </w:r>
      <w:r w:rsidRPr="009E2DD1">
        <w:rPr>
          <w:rFonts w:ascii="Bookman Old Style" w:hAnsi="Bookman Old Style"/>
          <w:sz w:val="22"/>
          <w:szCs w:val="22"/>
        </w:rPr>
        <w:t xml:space="preserve">Source : </w:t>
      </w:r>
      <w:r w:rsidRPr="009E2DD1">
        <w:rPr>
          <w:rFonts w:ascii="Bookman Old Style" w:hAnsi="Bookman Old Style"/>
          <w:sz w:val="22"/>
          <w:szCs w:val="22"/>
          <w:lang w:val="fr-BE"/>
        </w:rPr>
        <w:t xml:space="preserve">Commission Economique des Nations Unies pour l’Afrique, </w:t>
      </w:r>
      <w:r w:rsidRPr="009E2DD1">
        <w:rPr>
          <w:rFonts w:ascii="Bookman Old Style" w:hAnsi="Bookman Old Style"/>
          <w:sz w:val="22"/>
          <w:szCs w:val="22"/>
        </w:rPr>
        <w:t>Rapport sur la gouvernance, Djibouti, 2007.</w:t>
      </w:r>
    </w:p>
    <w:p w:rsidR="003E60F7" w:rsidRPr="009E2DD1" w:rsidRDefault="003E60F7" w:rsidP="00F51197">
      <w:pPr>
        <w:spacing w:line="480" w:lineRule="auto"/>
        <w:jc w:val="both"/>
        <w:rPr>
          <w:rFonts w:ascii="Bookman Old Style" w:hAnsi="Bookman Old Style"/>
          <w:sz w:val="22"/>
          <w:szCs w:val="22"/>
        </w:rPr>
      </w:pPr>
    </w:p>
    <w:p w:rsidR="003E60F7" w:rsidRPr="005114BF" w:rsidRDefault="003E60F7" w:rsidP="00F51197">
      <w:pPr>
        <w:spacing w:line="480" w:lineRule="auto"/>
        <w:ind w:firstLine="706"/>
        <w:jc w:val="center"/>
        <w:rPr>
          <w:rFonts w:ascii="Bookman Old Style" w:hAnsi="Bookman Old Style"/>
        </w:rPr>
      </w:pPr>
    </w:p>
    <w:p w:rsidR="003E60F7" w:rsidRPr="00FD2510" w:rsidRDefault="003E60F7" w:rsidP="00F51197">
      <w:pPr>
        <w:spacing w:line="480" w:lineRule="auto"/>
        <w:jc w:val="both"/>
        <w:rPr>
          <w:rFonts w:ascii="Bookman Old Style" w:hAnsi="Bookman Old Style"/>
        </w:rPr>
      </w:pPr>
    </w:p>
    <w:p w:rsidR="003E60F7" w:rsidRDefault="003E60F7" w:rsidP="00F51197">
      <w:pPr>
        <w:spacing w:line="480" w:lineRule="auto"/>
        <w:ind w:firstLine="709"/>
        <w:jc w:val="both"/>
        <w:rPr>
          <w:rFonts w:ascii="Bookman Old Style" w:hAnsi="Bookman Old Style"/>
          <w:b/>
          <w:sz w:val="20"/>
          <w:szCs w:val="20"/>
        </w:rPr>
      </w:pPr>
      <w:r>
        <w:rPr>
          <w:rFonts w:ascii="Bookman Old Style" w:hAnsi="Bookman Old Style"/>
        </w:rPr>
        <w:t xml:space="preserve"> Le volume optimal de la dépense publique est souvent fixé en fonction du contexte national. L’analyse</w:t>
      </w:r>
      <w:r w:rsidRPr="005114BF">
        <w:rPr>
          <w:rFonts w:ascii="Bookman Old Style" w:hAnsi="Bookman Old Style"/>
        </w:rPr>
        <w:t xml:space="preserve"> de la composition des dépenses globales de Djibouti de la période 1990-2004 laisse apparaîtr</w:t>
      </w:r>
      <w:r>
        <w:rPr>
          <w:rFonts w:ascii="Bookman Old Style" w:hAnsi="Bookman Old Style"/>
        </w:rPr>
        <w:t xml:space="preserve">e cependant un certain </w:t>
      </w:r>
      <w:r w:rsidRPr="005114BF">
        <w:rPr>
          <w:rFonts w:ascii="Bookman Old Style" w:hAnsi="Bookman Old Style"/>
        </w:rPr>
        <w:t xml:space="preserve"> déséquilibre. Une large part des dépenses globales est réservée aux salaires </w:t>
      </w:r>
      <w:r w:rsidRPr="005114BF">
        <w:rPr>
          <w:rFonts w:ascii="Bookman Old Style" w:hAnsi="Bookman Old Style"/>
        </w:rPr>
        <w:lastRenderedPageBreak/>
        <w:t>et aux traitements des fonctionnaires au détriment d’autres domaines. La question principale porte plutôt sur la redistribution des moye</w:t>
      </w:r>
      <w:r>
        <w:rPr>
          <w:rFonts w:ascii="Bookman Old Style" w:hAnsi="Bookman Old Style"/>
        </w:rPr>
        <w:t>ns publics au profit d’achat de</w:t>
      </w:r>
      <w:r w:rsidRPr="005114BF">
        <w:rPr>
          <w:rFonts w:ascii="Bookman Old Style" w:hAnsi="Bookman Old Style"/>
        </w:rPr>
        <w:t xml:space="preserve"> matériels</w:t>
      </w:r>
      <w:r>
        <w:rPr>
          <w:rFonts w:ascii="Bookman Old Style" w:hAnsi="Bookman Old Style"/>
        </w:rPr>
        <w:t xml:space="preserve"> didactiques pour l’école ou de</w:t>
      </w:r>
      <w:r w:rsidRPr="005114BF">
        <w:rPr>
          <w:rFonts w:ascii="Bookman Old Style" w:hAnsi="Bookman Old Style"/>
        </w:rPr>
        <w:t xml:space="preserve"> seringues </w:t>
      </w:r>
      <w:r>
        <w:rPr>
          <w:rFonts w:ascii="Bookman Old Style" w:hAnsi="Bookman Old Style"/>
        </w:rPr>
        <w:t>pour les hôpitaux</w:t>
      </w:r>
      <w:r w:rsidRPr="005114BF">
        <w:rPr>
          <w:rFonts w:ascii="Bookman Old Style" w:hAnsi="Bookman Old Style"/>
        </w:rPr>
        <w:t xml:space="preserve"> </w:t>
      </w:r>
      <w:r>
        <w:rPr>
          <w:rFonts w:ascii="Bookman Old Style" w:hAnsi="Bookman Old Style"/>
        </w:rPr>
        <w:t xml:space="preserve">publics ou  payer </w:t>
      </w:r>
      <w:r w:rsidRPr="005114BF">
        <w:rPr>
          <w:rFonts w:ascii="Bookman Old Style" w:hAnsi="Bookman Old Style"/>
        </w:rPr>
        <w:t xml:space="preserve">le salaire. Un problème d’allocation des ressources s’est ainsi ajouté </w:t>
      </w:r>
      <w:r>
        <w:rPr>
          <w:rFonts w:ascii="Bookman Old Style" w:hAnsi="Bookman Old Style"/>
        </w:rPr>
        <w:t xml:space="preserve">à celui </w:t>
      </w:r>
      <w:r w:rsidRPr="005114BF">
        <w:rPr>
          <w:rFonts w:ascii="Bookman Old Style" w:hAnsi="Bookman Old Style"/>
        </w:rPr>
        <w:t>de l’insuffisance des moyens budgétisés.</w:t>
      </w:r>
      <w:r>
        <w:rPr>
          <w:rFonts w:ascii="Bookman Old Style" w:hAnsi="Bookman Old Style"/>
        </w:rPr>
        <w:t xml:space="preserve"> </w:t>
      </w:r>
      <w:r w:rsidRPr="005114BF">
        <w:rPr>
          <w:rFonts w:ascii="Bookman Old Style" w:hAnsi="Bookman Old Style"/>
        </w:rPr>
        <w:t>Plus de 60 % des ressources intérieures disponibles financent les dépenses obligatoires (rubriques de dépenses dérivées des obligations législatives ou contractuelles sur lesquelles la branche exécutive</w:t>
      </w:r>
      <w:r>
        <w:rPr>
          <w:rFonts w:ascii="Bookman Old Style" w:hAnsi="Bookman Old Style"/>
        </w:rPr>
        <w:t xml:space="preserve"> n’a pratiquement aucun pouvoir)</w:t>
      </w:r>
      <w:r w:rsidRPr="005114BF">
        <w:rPr>
          <w:rFonts w:ascii="Bookman Old Style" w:hAnsi="Bookman Old Style"/>
        </w:rPr>
        <w:t xml:space="preserve">. Il s’agit notamment </w:t>
      </w:r>
      <w:r>
        <w:rPr>
          <w:rFonts w:ascii="Bookman Old Style" w:hAnsi="Bookman Old Style"/>
        </w:rPr>
        <w:t>les</w:t>
      </w:r>
      <w:r w:rsidRPr="005114BF">
        <w:rPr>
          <w:rFonts w:ascii="Bookman Old Style" w:hAnsi="Bookman Old Style"/>
        </w:rPr>
        <w:t xml:space="preserve"> traitemen</w:t>
      </w:r>
      <w:r>
        <w:rPr>
          <w:rFonts w:ascii="Bookman Old Style" w:hAnsi="Bookman Old Style"/>
        </w:rPr>
        <w:t>ts et salaires qui absorbent 52</w:t>
      </w:r>
      <w:r w:rsidRPr="005114BF">
        <w:rPr>
          <w:rFonts w:ascii="Bookman Old Style" w:hAnsi="Bookman Old Style"/>
        </w:rPr>
        <w:t>% des dép</w:t>
      </w:r>
      <w:r>
        <w:rPr>
          <w:rFonts w:ascii="Bookman Old Style" w:hAnsi="Bookman Old Style"/>
        </w:rPr>
        <w:t>enses totales, des transferts 8</w:t>
      </w:r>
      <w:r w:rsidRPr="005114BF">
        <w:rPr>
          <w:rFonts w:ascii="Bookman Old Style" w:hAnsi="Bookman Old Style"/>
        </w:rPr>
        <w:t>%,</w:t>
      </w:r>
      <w:r>
        <w:rPr>
          <w:rFonts w:ascii="Bookman Old Style" w:hAnsi="Bookman Old Style"/>
        </w:rPr>
        <w:t xml:space="preserve"> et du service de la dette 1 %</w:t>
      </w:r>
      <w:r w:rsidRPr="005114BF">
        <w:rPr>
          <w:rFonts w:ascii="Bookman Old Style" w:hAnsi="Bookman Old Style"/>
        </w:rPr>
        <w:t>. Contrairement à d’a</w:t>
      </w:r>
      <w:r>
        <w:rPr>
          <w:rFonts w:ascii="Bookman Old Style" w:hAnsi="Bookman Old Style"/>
        </w:rPr>
        <w:t>utres pays en développement, le paiement d’intérêt ne constitue</w:t>
      </w:r>
      <w:r w:rsidRPr="005114BF">
        <w:rPr>
          <w:rFonts w:ascii="Bookman Old Style" w:hAnsi="Bookman Old Style"/>
        </w:rPr>
        <w:t xml:space="preserve"> pas un fardeau trop lourd à Djibouti. Ceci s’explique par les conditions fortement libérales des prêts négociés avec les créanciers multilatéra</w:t>
      </w:r>
      <w:r>
        <w:rPr>
          <w:rFonts w:ascii="Bookman Old Style" w:hAnsi="Bookman Old Style"/>
        </w:rPr>
        <w:t>ux et bilatéraux.</w:t>
      </w:r>
      <w:r>
        <w:rPr>
          <w:rFonts w:ascii="Bookman Old Style" w:hAnsi="Bookman Old Style"/>
          <w:b/>
          <w:sz w:val="20"/>
          <w:szCs w:val="20"/>
        </w:rPr>
        <w:t xml:space="preserve"> </w:t>
      </w:r>
    </w:p>
    <w:p w:rsidR="003E60F7" w:rsidRDefault="003E60F7" w:rsidP="00F51197">
      <w:pPr>
        <w:spacing w:line="480" w:lineRule="auto"/>
        <w:ind w:firstLine="709"/>
        <w:jc w:val="both"/>
        <w:rPr>
          <w:rFonts w:ascii="Bookman Old Style" w:hAnsi="Bookman Old Style"/>
        </w:rPr>
      </w:pPr>
      <w:r w:rsidRPr="005114BF">
        <w:rPr>
          <w:rFonts w:ascii="Bookman Old Style" w:hAnsi="Bookman Old Style"/>
        </w:rPr>
        <w:t>Pour</w:t>
      </w:r>
      <w:r w:rsidRPr="005114BF">
        <w:rPr>
          <w:rFonts w:ascii="Bookman Old Style" w:hAnsi="Bookman Old Style"/>
          <w:bCs/>
          <w:i/>
          <w:iCs/>
        </w:rPr>
        <w:t xml:space="preserve"> </w:t>
      </w:r>
      <w:r>
        <w:rPr>
          <w:rFonts w:ascii="Bookman Old Style" w:hAnsi="Bookman Old Style"/>
        </w:rPr>
        <w:t>sauvegarder le paiement</w:t>
      </w:r>
      <w:r w:rsidRPr="005114BF">
        <w:rPr>
          <w:rFonts w:ascii="Bookman Old Style" w:hAnsi="Bookman Old Style"/>
        </w:rPr>
        <w:t xml:space="preserve"> de</w:t>
      </w:r>
      <w:r>
        <w:rPr>
          <w:rFonts w:ascii="Bookman Old Style" w:hAnsi="Bookman Old Style"/>
        </w:rPr>
        <w:t>s</w:t>
      </w:r>
      <w:r w:rsidRPr="005114BF">
        <w:rPr>
          <w:rFonts w:ascii="Bookman Old Style" w:hAnsi="Bookman Old Style"/>
        </w:rPr>
        <w:t xml:space="preserve"> salaire</w:t>
      </w:r>
      <w:r>
        <w:rPr>
          <w:rFonts w:ascii="Bookman Old Style" w:hAnsi="Bookman Old Style"/>
        </w:rPr>
        <w:t>s</w:t>
      </w:r>
      <w:r w:rsidRPr="005114BF">
        <w:rPr>
          <w:rFonts w:ascii="Bookman Old Style" w:hAnsi="Bookman Old Style"/>
        </w:rPr>
        <w:t>, les autorités doivent compresser d’autres dépenses</w:t>
      </w:r>
      <w:r w:rsidRPr="005114BF">
        <w:rPr>
          <w:rFonts w:ascii="Bookman Old Style" w:hAnsi="Bookman Old Style"/>
          <w:bCs/>
          <w:i/>
          <w:iCs/>
        </w:rPr>
        <w:t xml:space="preserve"> </w:t>
      </w:r>
      <w:r w:rsidRPr="005114BF">
        <w:rPr>
          <w:rFonts w:ascii="Bookman Old Style" w:hAnsi="Bookman Old Style"/>
        </w:rPr>
        <w:t xml:space="preserve">considérées comme prioritaires pour la réduction de la </w:t>
      </w:r>
      <w:r>
        <w:rPr>
          <w:rFonts w:ascii="Bookman Old Style" w:hAnsi="Bookman Old Style"/>
        </w:rPr>
        <w:t>pauvreté. Pour la Banque mondial, u</w:t>
      </w:r>
      <w:r w:rsidRPr="005114BF">
        <w:rPr>
          <w:rFonts w:ascii="Bookman Old Style" w:hAnsi="Bookman Old Style"/>
        </w:rPr>
        <w:t>ne réforme du secteur public visant à réduire la masse salariale publique pourrait contribuer à stimuler la croissance et la réduction de la pauvreté. « </w:t>
      </w:r>
      <w:r w:rsidRPr="00F761A0">
        <w:rPr>
          <w:rFonts w:ascii="Bookman Old Style" w:hAnsi="Bookman Old Style"/>
          <w:i/>
        </w:rPr>
        <w:t>Outre l’éviction de dépenses sociales, la masse salariale surdimensionnée a un effet d’éviction sur l’investissement productif aux infrastructures ce qui entrave la croissance et la compétitivité</w:t>
      </w:r>
      <w:r w:rsidRPr="00F761A0">
        <w:rPr>
          <w:rFonts w:ascii="Bookman Old Style" w:hAnsi="Bookman Old Style"/>
        </w:rPr>
        <w:t> »</w:t>
      </w:r>
      <w:r>
        <w:rPr>
          <w:rFonts w:ascii="Bookman Old Style" w:hAnsi="Bookman Old Style"/>
        </w:rPr>
        <w:t xml:space="preserve"> (Banque mondiale, 2006).</w:t>
      </w:r>
      <w:r w:rsidRPr="005114BF">
        <w:rPr>
          <w:rFonts w:ascii="Bookman Old Style" w:hAnsi="Bookman Old Style"/>
        </w:rPr>
        <w:t xml:space="preserve"> </w:t>
      </w:r>
    </w:p>
    <w:p w:rsidR="003E60F7" w:rsidRDefault="003E60F7" w:rsidP="00F51197">
      <w:pPr>
        <w:spacing w:line="480" w:lineRule="auto"/>
        <w:ind w:firstLine="709"/>
        <w:jc w:val="both"/>
        <w:rPr>
          <w:rFonts w:ascii="Bookman Old Style" w:hAnsi="Bookman Old Style"/>
        </w:rPr>
      </w:pPr>
      <w:r w:rsidRPr="005114BF">
        <w:rPr>
          <w:rFonts w:ascii="Bookman Old Style" w:hAnsi="Bookman Old Style"/>
        </w:rPr>
        <w:t>Le Gouvernement est pris dans un dilemme </w:t>
      </w:r>
      <w:r>
        <w:rPr>
          <w:rFonts w:ascii="Bookman Old Style" w:hAnsi="Bookman Old Style"/>
        </w:rPr>
        <w:t xml:space="preserve">à Djibouti </w:t>
      </w:r>
      <w:r w:rsidRPr="005114BF">
        <w:rPr>
          <w:rFonts w:ascii="Bookman Old Style" w:hAnsi="Bookman Old Style"/>
        </w:rPr>
        <w:t xml:space="preserve">: d’une part, il doit maintenir la stabilité macroéconomique et la pérennité budgétaire et réduire la masse salariale du secteur public pour garder la confiance des </w:t>
      </w:r>
      <w:r w:rsidRPr="005114BF">
        <w:rPr>
          <w:rFonts w:ascii="Bookman Old Style" w:hAnsi="Bookman Old Style"/>
        </w:rPr>
        <w:lastRenderedPageBreak/>
        <w:t>bailleurs</w:t>
      </w:r>
      <w:r>
        <w:rPr>
          <w:rFonts w:ascii="Bookman Old Style" w:hAnsi="Bookman Old Style"/>
        </w:rPr>
        <w:t xml:space="preserve"> de fonds</w:t>
      </w:r>
      <w:r w:rsidRPr="005114BF">
        <w:rPr>
          <w:rFonts w:ascii="Bookman Old Style" w:hAnsi="Bookman Old Style"/>
        </w:rPr>
        <w:t>, d’autre part, les pressions démographiques croissantes et les faibles niveaux actuels de la prestation des services impliquent une hausse substantielle des dépenses publiques en particulier dans les secteurs de la santé et de l’éducation</w:t>
      </w:r>
      <w:r>
        <w:rPr>
          <w:rFonts w:ascii="Bookman Old Style" w:hAnsi="Bookman Old Style"/>
        </w:rPr>
        <w:t>. Dans le cadre de réduction de pauvreté, et des objectifs du développement pour le millénaire, les autorités d</w:t>
      </w:r>
      <w:r w:rsidRPr="005114BF">
        <w:rPr>
          <w:rFonts w:ascii="Bookman Old Style" w:hAnsi="Bookman Old Style"/>
        </w:rPr>
        <w:t>jiboutiennes se sont engagées en 2002 à un ambitieux programme dont les principaux obje</w:t>
      </w:r>
      <w:r>
        <w:rPr>
          <w:rFonts w:ascii="Bookman Old Style" w:hAnsi="Bookman Old Style"/>
        </w:rPr>
        <w:t xml:space="preserve">ctifs sont les suivants : </w:t>
      </w:r>
    </w:p>
    <w:p w:rsidR="003E60F7" w:rsidRPr="00642838" w:rsidRDefault="003E60F7" w:rsidP="00F51197">
      <w:pPr>
        <w:spacing w:line="480" w:lineRule="auto"/>
        <w:ind w:left="360"/>
        <w:jc w:val="both"/>
        <w:rPr>
          <w:rFonts w:ascii="Bookman Old Style" w:hAnsi="Bookman Old Style"/>
        </w:rPr>
      </w:pPr>
      <w:r w:rsidRPr="00642838">
        <w:rPr>
          <w:rFonts w:ascii="Bookman Old Style" w:hAnsi="Bookman Old Style"/>
        </w:rPr>
        <w:t>-  </w:t>
      </w:r>
      <w:r>
        <w:rPr>
          <w:rFonts w:ascii="Bookman Old Style" w:hAnsi="Bookman Old Style"/>
        </w:rPr>
        <w:t>réduire l</w:t>
      </w:r>
      <w:r w:rsidRPr="00642838">
        <w:rPr>
          <w:rFonts w:ascii="Bookman Old Style" w:hAnsi="Bookman Old Style"/>
        </w:rPr>
        <w:t>’extrême pauvreté de 42 % en 2002 à  15 % en 2015 ;</w:t>
      </w:r>
    </w:p>
    <w:p w:rsidR="003E60F7" w:rsidRPr="00642838" w:rsidRDefault="003E60F7" w:rsidP="00F51197">
      <w:pPr>
        <w:spacing w:line="480" w:lineRule="auto"/>
        <w:ind w:left="360"/>
        <w:jc w:val="both"/>
        <w:rPr>
          <w:rFonts w:ascii="Bookman Old Style" w:hAnsi="Bookman Old Style"/>
        </w:rPr>
      </w:pPr>
      <w:r w:rsidRPr="00642838">
        <w:rPr>
          <w:rFonts w:ascii="Bookman Old Style" w:hAnsi="Bookman Old Style"/>
        </w:rPr>
        <w:t>- relever la croissance moyenne du PIB réel de 3 % en 2002 à 6 % en 2010 ; et réduire simultanément les inégalités dans la distribution des revenus de 2 % en moyenne par an au cours de la période 2003-2015 ;</w:t>
      </w:r>
    </w:p>
    <w:p w:rsidR="003E60F7" w:rsidRPr="00642838" w:rsidRDefault="003E60F7" w:rsidP="00F51197">
      <w:pPr>
        <w:spacing w:line="480" w:lineRule="auto"/>
        <w:ind w:left="360"/>
        <w:jc w:val="both"/>
        <w:rPr>
          <w:rFonts w:ascii="Bookman Old Style" w:hAnsi="Bookman Old Style"/>
        </w:rPr>
      </w:pPr>
      <w:r w:rsidRPr="00642838">
        <w:rPr>
          <w:rFonts w:ascii="Bookman Old Style" w:hAnsi="Bookman Old Style"/>
        </w:rPr>
        <w:t>- accroître les inscriptions brutes à l’enseignement primaire de 42 % en 2006 et atteindre la participation universel</w:t>
      </w:r>
      <w:r>
        <w:rPr>
          <w:rFonts w:ascii="Bookman Old Style" w:hAnsi="Bookman Old Style"/>
        </w:rPr>
        <w:t>le</w:t>
      </w:r>
      <w:r w:rsidRPr="00642838">
        <w:rPr>
          <w:rFonts w:ascii="Bookman Old Style" w:hAnsi="Bookman Old Style"/>
        </w:rPr>
        <w:t xml:space="preserve"> d’ici 2015 ; </w:t>
      </w:r>
    </w:p>
    <w:p w:rsidR="003E60F7" w:rsidRPr="00642838" w:rsidRDefault="003E60F7" w:rsidP="00F51197">
      <w:pPr>
        <w:spacing w:line="480" w:lineRule="auto"/>
        <w:ind w:left="360"/>
        <w:jc w:val="both"/>
        <w:rPr>
          <w:rFonts w:ascii="Bookman Old Style" w:hAnsi="Bookman Old Style"/>
        </w:rPr>
      </w:pPr>
      <w:r w:rsidRPr="00642838">
        <w:rPr>
          <w:rFonts w:ascii="Bookman Old Style" w:hAnsi="Bookman Old Style"/>
        </w:rPr>
        <w:t>- réduire le taux de mortalité infantile de 103 pour 1 000 en 2002 à 50 pour 1 000 en 2015 </w:t>
      </w:r>
    </w:p>
    <w:p w:rsidR="003E60F7" w:rsidRDefault="003E60F7" w:rsidP="00F51197">
      <w:pPr>
        <w:spacing w:line="480" w:lineRule="auto"/>
        <w:ind w:left="360"/>
        <w:jc w:val="both"/>
        <w:rPr>
          <w:rFonts w:ascii="Bookman Old Style" w:hAnsi="Bookman Old Style"/>
        </w:rPr>
      </w:pPr>
      <w:r w:rsidRPr="00642838">
        <w:rPr>
          <w:rFonts w:ascii="Bookman Old Style" w:hAnsi="Bookman Old Style"/>
        </w:rPr>
        <w:t>- réduire le taux de mortalité maternelle de 690 pour 100 000 naissances vivantes en 2002 à 400 en 2015 ;</w:t>
      </w:r>
    </w:p>
    <w:p w:rsidR="003E60F7" w:rsidRPr="00642838" w:rsidRDefault="003E60F7" w:rsidP="00F51197">
      <w:pPr>
        <w:spacing w:line="480" w:lineRule="auto"/>
        <w:ind w:left="360"/>
        <w:jc w:val="both"/>
        <w:rPr>
          <w:rFonts w:ascii="Bookman Old Style" w:hAnsi="Bookman Old Style"/>
        </w:rPr>
      </w:pPr>
      <w:r>
        <w:rPr>
          <w:rFonts w:ascii="Bookman Old Style" w:hAnsi="Bookman Old Style"/>
        </w:rPr>
        <w:t>- stabiliser le taux de prévalence du VIH/Sida autour de 3 %.</w:t>
      </w:r>
    </w:p>
    <w:p w:rsidR="003E60F7" w:rsidRPr="00642838" w:rsidRDefault="003E60F7" w:rsidP="00F51197">
      <w:pPr>
        <w:spacing w:line="480" w:lineRule="auto"/>
        <w:ind w:left="720"/>
        <w:jc w:val="both"/>
        <w:rPr>
          <w:rFonts w:ascii="Bookman Old Style" w:hAnsi="Bookman Old Style"/>
        </w:rPr>
      </w:pPr>
    </w:p>
    <w:p w:rsidR="003E60F7" w:rsidRDefault="003E60F7" w:rsidP="00F51197">
      <w:pPr>
        <w:spacing w:line="480" w:lineRule="auto"/>
        <w:jc w:val="both"/>
        <w:rPr>
          <w:rFonts w:ascii="Bookman Old Style" w:hAnsi="Bookman Old Style"/>
        </w:rPr>
      </w:pPr>
      <w:r>
        <w:rPr>
          <w:rFonts w:ascii="Bookman Old Style" w:hAnsi="Bookman Old Style"/>
        </w:rPr>
        <w:t xml:space="preserve">Compte tenu de l’effort à fournir aucun de ces objectifs ne sera atteint en 2015. En 2011, les besoins d’investissements additionnels pour atteindre les OMD ont été évalués à Djibouti à plus d’un milliard USD (INDS, 2011). Ce montant souligne l’ampleur des efforts qui restent à déployer par le Gouvernement djiboutien et les partenaires internationaux pour tendre  vers la réalisation des OMD. </w:t>
      </w:r>
      <w:r w:rsidRPr="007939AF">
        <w:rPr>
          <w:rFonts w:ascii="Bookman Old Style" w:hAnsi="Bookman Old Style"/>
        </w:rPr>
        <w:t xml:space="preserve">En tenant compte du niveau de départ très bas de la </w:t>
      </w:r>
      <w:r w:rsidRPr="007939AF">
        <w:rPr>
          <w:rFonts w:ascii="Bookman Old Style" w:hAnsi="Bookman Old Style"/>
        </w:rPr>
        <w:lastRenderedPageBreak/>
        <w:t>couverture à l’éducation et aux services de santé et de la croissance démographique, pour mat</w:t>
      </w:r>
      <w:r>
        <w:rPr>
          <w:rFonts w:ascii="Bookman Old Style" w:hAnsi="Bookman Old Style"/>
        </w:rPr>
        <w:t>érialiser ce programme il faut</w:t>
      </w:r>
      <w:r w:rsidRPr="007939AF">
        <w:rPr>
          <w:rFonts w:ascii="Bookman Old Style" w:hAnsi="Bookman Old Style"/>
        </w:rPr>
        <w:t xml:space="preserve"> recruter davantage de médecins et d’infirmiers et d’enseignants. Les options sont limitées pour faire face à ces nouveaux recrutements</w:t>
      </w:r>
      <w:r>
        <w:rPr>
          <w:rFonts w:ascii="Bookman Old Style" w:hAnsi="Bookman Old Style"/>
        </w:rPr>
        <w:t>.</w:t>
      </w:r>
      <w:r w:rsidRPr="007939AF">
        <w:rPr>
          <w:rFonts w:ascii="Bookman Old Style" w:hAnsi="Bookman Old Style"/>
        </w:rPr>
        <w:t xml:space="preserve"> </w:t>
      </w:r>
    </w:p>
    <w:p w:rsidR="003E60F7" w:rsidRDefault="003E60F7" w:rsidP="00F51197">
      <w:pPr>
        <w:spacing w:line="480" w:lineRule="auto"/>
        <w:jc w:val="both"/>
        <w:rPr>
          <w:rFonts w:ascii="Bookman Old Style" w:hAnsi="Bookman Old Style"/>
        </w:rPr>
      </w:pPr>
    </w:p>
    <w:p w:rsidR="003E60F7" w:rsidRPr="007668BB" w:rsidRDefault="003E60F7" w:rsidP="00F51197">
      <w:pPr>
        <w:spacing w:line="480" w:lineRule="auto"/>
        <w:ind w:firstLine="706"/>
        <w:jc w:val="both"/>
        <w:rPr>
          <w:rFonts w:ascii="Bookman Old Style" w:hAnsi="Bookman Old Style"/>
        </w:rPr>
      </w:pPr>
      <w:r w:rsidRPr="005114BF">
        <w:rPr>
          <w:rFonts w:ascii="Bookman Old Style" w:hAnsi="Bookman Old Style"/>
        </w:rPr>
        <w:t>Une forte dé</w:t>
      </w:r>
      <w:r>
        <w:rPr>
          <w:rFonts w:ascii="Bookman Old Style" w:hAnsi="Bookman Old Style"/>
        </w:rPr>
        <w:t xml:space="preserve">pense courante est corollaire à </w:t>
      </w:r>
      <w:r w:rsidRPr="005114BF">
        <w:rPr>
          <w:rFonts w:ascii="Bookman Old Style" w:hAnsi="Bookman Old Style"/>
        </w:rPr>
        <w:t xml:space="preserve">une faible dépense d’investissement. Les investissements publics à Djibouti sont d’ailleurs souvent programmés et financés selon une approche  résiduelle </w:t>
      </w:r>
      <w:r>
        <w:rPr>
          <w:rFonts w:ascii="Bookman Old Style" w:hAnsi="Bookman Old Style"/>
        </w:rPr>
        <w:t>de</w:t>
      </w:r>
      <w:r w:rsidRPr="005114BF">
        <w:rPr>
          <w:rFonts w:ascii="Bookman Old Style" w:hAnsi="Bookman Old Style"/>
        </w:rPr>
        <w:t xml:space="preserve"> la budgétisation plutôt que sur la base d’une stratégie d’investissement sectoriel et dépendent fortement de l’aide extérieure très volatile ces dernières années. Les dépenses d’équipement</w:t>
      </w:r>
      <w:r>
        <w:rPr>
          <w:rFonts w:ascii="Bookman Old Style" w:hAnsi="Bookman Old Style"/>
        </w:rPr>
        <w:t xml:space="preserve"> font partie</w:t>
      </w:r>
      <w:r w:rsidRPr="005114BF">
        <w:rPr>
          <w:rFonts w:ascii="Bookman Old Style" w:hAnsi="Bookman Old Style"/>
        </w:rPr>
        <w:t xml:space="preserve"> </w:t>
      </w:r>
      <w:r>
        <w:rPr>
          <w:rFonts w:ascii="Bookman Old Style" w:hAnsi="Bookman Old Style"/>
        </w:rPr>
        <w:t xml:space="preserve">aussi </w:t>
      </w:r>
      <w:r w:rsidRPr="005114BF">
        <w:rPr>
          <w:rFonts w:ascii="Bookman Old Style" w:hAnsi="Bookman Old Style"/>
        </w:rPr>
        <w:t xml:space="preserve">généralement de la catégorie de dépenses la plus touchée par des compressions des dépenses. </w:t>
      </w:r>
      <w:r>
        <w:rPr>
          <w:rFonts w:ascii="Bookman Old Style" w:hAnsi="Bookman Old Style"/>
          <w:bCs/>
          <w:iCs/>
        </w:rPr>
        <w:t>Les dépenses d’investissement</w:t>
      </w:r>
      <w:r w:rsidRPr="005114BF">
        <w:rPr>
          <w:rFonts w:ascii="Bookman Old Style" w:hAnsi="Bookman Old Style"/>
          <w:bCs/>
          <w:iCs/>
        </w:rPr>
        <w:t xml:space="preserve"> ont suivi une courbe descendante au cours de la plus grande partie des années 1990, principalement en raison d’une forte baisse des dépenses publiques d’équipement et des effets adverses de la hausse des arriérés intérieurs au secteur privé et</w:t>
      </w:r>
      <w:r>
        <w:rPr>
          <w:rFonts w:ascii="Bookman Old Style" w:hAnsi="Bookman Old Style"/>
          <w:bCs/>
          <w:iCs/>
        </w:rPr>
        <w:t xml:space="preserve"> aux entrep</w:t>
      </w:r>
      <w:r w:rsidR="007475F5">
        <w:rPr>
          <w:rFonts w:ascii="Bookman Old Style" w:hAnsi="Bookman Old Style"/>
          <w:bCs/>
          <w:iCs/>
        </w:rPr>
        <w:t>rises publiques</w:t>
      </w:r>
      <w:r>
        <w:rPr>
          <w:rFonts w:ascii="Bookman Old Style" w:hAnsi="Bookman Old Style"/>
          <w:bCs/>
          <w:iCs/>
        </w:rPr>
        <w:t>. L’érosion des dépenses gouvernementales en capital public résulte  aussi de la baisse sans précédent de l’aide extérieure principale source de financement des dépenses d’invest</w:t>
      </w:r>
      <w:r w:rsidR="007475F5">
        <w:rPr>
          <w:rFonts w:ascii="Bookman Old Style" w:hAnsi="Bookman Old Style"/>
          <w:bCs/>
          <w:iCs/>
        </w:rPr>
        <w:t>issement public (voir tableau</w:t>
      </w:r>
      <w:r>
        <w:rPr>
          <w:rFonts w:ascii="Bookman Old Style" w:hAnsi="Bookman Old Style"/>
          <w:bCs/>
          <w:iCs/>
        </w:rPr>
        <w:t xml:space="preserve">. </w:t>
      </w:r>
      <w:r w:rsidRPr="005114BF">
        <w:rPr>
          <w:rFonts w:ascii="Bookman Old Style" w:hAnsi="Bookman Old Style"/>
          <w:bCs/>
          <w:iCs/>
        </w:rPr>
        <w:t>Les flux annuels de l’aide extérieure fluctuent considérablement. Le budget réel de l’Etat est régulièrement moins important que celui envisagé dans les lois de finance en partie du fait que le financement étranger s’est avéré moindre que celui budgétisé.</w:t>
      </w:r>
      <w:r>
        <w:rPr>
          <w:rFonts w:ascii="Bookman Old Style" w:hAnsi="Bookman Old Style"/>
          <w:bCs/>
          <w:iCs/>
        </w:rPr>
        <w:t xml:space="preserve"> La</w:t>
      </w:r>
      <w:r w:rsidRPr="005114BF">
        <w:rPr>
          <w:rFonts w:ascii="Bookman Old Style" w:hAnsi="Bookman Old Style"/>
          <w:bCs/>
          <w:iCs/>
        </w:rPr>
        <w:t xml:space="preserve"> baisse de</w:t>
      </w:r>
      <w:r>
        <w:rPr>
          <w:rFonts w:ascii="Bookman Old Style" w:hAnsi="Bookman Old Style"/>
          <w:bCs/>
          <w:iCs/>
        </w:rPr>
        <w:t>s</w:t>
      </w:r>
      <w:r w:rsidRPr="005114BF">
        <w:rPr>
          <w:rFonts w:ascii="Bookman Old Style" w:hAnsi="Bookman Old Style"/>
          <w:bCs/>
          <w:iCs/>
        </w:rPr>
        <w:t xml:space="preserve"> dépenses d’investissement public peut avoir un impact négatif sur le potentiel de croissance et limiter les améliorations visées dans les indicateurs sociaux.</w:t>
      </w:r>
    </w:p>
    <w:p w:rsidR="003E60F7" w:rsidRDefault="003E60F7" w:rsidP="00F51197">
      <w:pPr>
        <w:spacing w:line="480" w:lineRule="auto"/>
        <w:ind w:firstLine="706"/>
        <w:jc w:val="both"/>
        <w:rPr>
          <w:rFonts w:ascii="Bookman Old Style" w:hAnsi="Bookman Old Style"/>
          <w:bCs/>
          <w:iCs/>
        </w:rPr>
      </w:pPr>
    </w:p>
    <w:p w:rsidR="003E60F7" w:rsidRPr="00C346D2" w:rsidRDefault="003E60F7" w:rsidP="00F51197">
      <w:pPr>
        <w:spacing w:line="480" w:lineRule="auto"/>
        <w:ind w:firstLine="706"/>
        <w:jc w:val="both"/>
        <w:rPr>
          <w:rFonts w:ascii="Bookman Old Style" w:hAnsi="Bookman Old Style"/>
        </w:rPr>
      </w:pPr>
      <w:r>
        <w:rPr>
          <w:rFonts w:ascii="Bookman Old Style" w:hAnsi="Bookman Old Style"/>
        </w:rPr>
        <w:t xml:space="preserve">  L</w:t>
      </w:r>
      <w:r w:rsidRPr="005114BF">
        <w:rPr>
          <w:rFonts w:ascii="Bookman Old Style" w:hAnsi="Bookman Old Style"/>
        </w:rPr>
        <w:t>es</w:t>
      </w:r>
      <w:r w:rsidRPr="005114BF">
        <w:rPr>
          <w:rFonts w:ascii="Bookman Old Style" w:hAnsi="Bookman Old Style"/>
          <w:bCs/>
          <w:iCs/>
        </w:rPr>
        <w:t xml:space="preserve"> traitements et s</w:t>
      </w:r>
      <w:r>
        <w:rPr>
          <w:rFonts w:ascii="Bookman Old Style" w:hAnsi="Bookman Old Style"/>
          <w:bCs/>
          <w:iCs/>
        </w:rPr>
        <w:t>alaires, et les transferts sont aussi</w:t>
      </w:r>
      <w:r w:rsidRPr="005114BF">
        <w:rPr>
          <w:rFonts w:ascii="Bookman Old Style" w:hAnsi="Bookman Old Style"/>
          <w:bCs/>
          <w:iCs/>
        </w:rPr>
        <w:t xml:space="preserve"> mieux protégés au cours du processus d’exécution du budget que les autres catégories de dépenses. Il est plus facile pour le Gouvernement par exemple d’interrompre des projets d’investissement pour les relancer lorsque les fonds </w:t>
      </w:r>
      <w:r>
        <w:rPr>
          <w:rFonts w:ascii="Bookman Old Style" w:hAnsi="Bookman Old Style"/>
          <w:bCs/>
          <w:iCs/>
        </w:rPr>
        <w:t>seron</w:t>
      </w:r>
      <w:r w:rsidRPr="005114BF">
        <w:rPr>
          <w:rFonts w:ascii="Bookman Old Style" w:hAnsi="Bookman Old Style"/>
          <w:bCs/>
          <w:iCs/>
        </w:rPr>
        <w:t xml:space="preserve">t disponibles. Des interruptions fréquentes ne sont pas réalisables pour les salaires. </w:t>
      </w:r>
    </w:p>
    <w:p w:rsidR="003E60F7" w:rsidRDefault="003E60F7" w:rsidP="00F51197">
      <w:pPr>
        <w:spacing w:line="480" w:lineRule="auto"/>
        <w:jc w:val="both"/>
        <w:rPr>
          <w:rFonts w:ascii="Bookman Old Style" w:hAnsi="Bookman Old Style"/>
          <w:bCs/>
          <w:iCs/>
        </w:rPr>
      </w:pPr>
    </w:p>
    <w:p w:rsidR="00126BBD" w:rsidRPr="00A04870" w:rsidRDefault="00126BBD" w:rsidP="00F51197">
      <w:pPr>
        <w:pStyle w:val="Titre4"/>
        <w:spacing w:line="480" w:lineRule="auto"/>
        <w:jc w:val="center"/>
        <w:rPr>
          <w:rFonts w:ascii="Bookman Old Style" w:hAnsi="Bookman Old Style"/>
          <w:sz w:val="24"/>
          <w:szCs w:val="24"/>
        </w:rPr>
      </w:pPr>
      <w:r>
        <w:t xml:space="preserve">1.3 </w:t>
      </w:r>
      <w:r>
        <w:rPr>
          <w:rFonts w:ascii="Bookman Old Style" w:hAnsi="Bookman Old Style"/>
          <w:sz w:val="24"/>
          <w:szCs w:val="24"/>
        </w:rPr>
        <w:t xml:space="preserve">Le nouveau management public une </w:t>
      </w:r>
      <w:r w:rsidRPr="00A04870">
        <w:rPr>
          <w:rFonts w:ascii="Bookman Old Style" w:hAnsi="Bookman Old Style"/>
          <w:sz w:val="24"/>
          <w:szCs w:val="24"/>
        </w:rPr>
        <w:t xml:space="preserve"> stratégie pour promouvoir un secteur privé atone à Djibouti</w:t>
      </w:r>
    </w:p>
    <w:p w:rsidR="00126BBD" w:rsidRPr="00B13465" w:rsidRDefault="00126BBD" w:rsidP="00F51197">
      <w:pPr>
        <w:spacing w:line="480" w:lineRule="auto"/>
      </w:pPr>
    </w:p>
    <w:p w:rsidR="00126BBD" w:rsidRPr="003C7A38" w:rsidRDefault="00126BBD" w:rsidP="00F51197">
      <w:pPr>
        <w:spacing w:line="480" w:lineRule="auto"/>
        <w:ind w:firstLine="706"/>
        <w:jc w:val="both"/>
        <w:rPr>
          <w:rFonts w:ascii="Bookman Old Style" w:hAnsi="Bookman Old Style"/>
          <w:szCs w:val="28"/>
        </w:rPr>
      </w:pPr>
      <w:r>
        <w:rPr>
          <w:rFonts w:ascii="Bookman Old Style" w:hAnsi="Bookman Old Style"/>
        </w:rPr>
        <w:t xml:space="preserve">Les politiques de marchéisation du secteur public sont aussi envisagées à Djibouti dans le cadre de la promotion du secteur privé. </w:t>
      </w:r>
      <w:r w:rsidRPr="005114BF">
        <w:rPr>
          <w:rFonts w:ascii="Bookman Old Style" w:hAnsi="Bookman Old Style"/>
          <w:szCs w:val="28"/>
        </w:rPr>
        <w:t xml:space="preserve">Djibouti se caractérise par une large politique d’ouverture économique, avec un commerce extérieur libéral et un système de change libre de toute restriction au niveau des capitaux et des devises. </w:t>
      </w:r>
      <w:r>
        <w:rPr>
          <w:rFonts w:ascii="Bookman Old Style" w:hAnsi="Bookman Old Style"/>
          <w:szCs w:val="28"/>
        </w:rPr>
        <w:t>L</w:t>
      </w:r>
      <w:r w:rsidRPr="005114BF">
        <w:rPr>
          <w:rFonts w:ascii="Bookman Old Style" w:hAnsi="Bookman Old Style"/>
          <w:szCs w:val="28"/>
        </w:rPr>
        <w:t>e régime commercial laisse peu de place</w:t>
      </w:r>
      <w:r>
        <w:rPr>
          <w:rFonts w:ascii="Bookman Old Style" w:hAnsi="Bookman Old Style"/>
          <w:szCs w:val="28"/>
        </w:rPr>
        <w:t xml:space="preserve"> à Djibouti</w:t>
      </w:r>
      <w:r w:rsidRPr="005114BF">
        <w:rPr>
          <w:rFonts w:ascii="Bookman Old Style" w:hAnsi="Bookman Old Style"/>
          <w:szCs w:val="28"/>
        </w:rPr>
        <w:t xml:space="preserve"> au protectionnisme tarifaire </w:t>
      </w:r>
      <w:r>
        <w:rPr>
          <w:rFonts w:ascii="Bookman Old Style" w:hAnsi="Bookman Old Style"/>
          <w:szCs w:val="28"/>
        </w:rPr>
        <w:t>et</w:t>
      </w:r>
      <w:r w:rsidRPr="005114BF">
        <w:rPr>
          <w:rFonts w:ascii="Bookman Old Style" w:hAnsi="Bookman Old Style"/>
          <w:szCs w:val="28"/>
        </w:rPr>
        <w:t xml:space="preserve"> aux obstacles quantitatifs, raison pour laquelle le pays a été membre fondateur de l’Organisat</w:t>
      </w:r>
      <w:r>
        <w:rPr>
          <w:rFonts w:ascii="Bookman Old Style" w:hAnsi="Bookman Old Style"/>
          <w:szCs w:val="28"/>
        </w:rPr>
        <w:t xml:space="preserve">ion mondiale du commerce (OMC). Le </w:t>
      </w:r>
      <w:r w:rsidRPr="005114BF">
        <w:rPr>
          <w:rFonts w:ascii="Bookman Old Style" w:hAnsi="Bookman Old Style"/>
          <w:szCs w:val="28"/>
        </w:rPr>
        <w:t xml:space="preserve">régime de change </w:t>
      </w:r>
      <w:r>
        <w:rPr>
          <w:rFonts w:ascii="Bookman Old Style" w:hAnsi="Bookman Old Style"/>
          <w:szCs w:val="28"/>
        </w:rPr>
        <w:t>se caractérise</w:t>
      </w:r>
      <w:r w:rsidRPr="005114BF">
        <w:rPr>
          <w:rFonts w:ascii="Bookman Old Style" w:hAnsi="Bookman Old Style"/>
          <w:szCs w:val="28"/>
        </w:rPr>
        <w:t xml:space="preserve"> </w:t>
      </w:r>
      <w:r>
        <w:rPr>
          <w:rFonts w:ascii="Bookman Old Style" w:hAnsi="Bookman Old Style"/>
          <w:szCs w:val="28"/>
        </w:rPr>
        <w:t xml:space="preserve">aussi à Djibouti </w:t>
      </w:r>
      <w:r w:rsidRPr="005114BF">
        <w:rPr>
          <w:rFonts w:ascii="Bookman Old Style" w:hAnsi="Bookman Old Style"/>
          <w:szCs w:val="28"/>
        </w:rPr>
        <w:t>par un haut degré de convertibilité de la monnaie nationale, ce dernier laissant une grande liberté aux mouvements internationaux de capitaux. Ces dimensions de l’ouverture</w:t>
      </w:r>
      <w:r>
        <w:rPr>
          <w:rFonts w:ascii="Bookman Old Style" w:hAnsi="Bookman Old Style"/>
          <w:szCs w:val="28"/>
        </w:rPr>
        <w:t>, trait dominant de l’économie d</w:t>
      </w:r>
      <w:r w:rsidRPr="005114BF">
        <w:rPr>
          <w:rFonts w:ascii="Bookman Old Style" w:hAnsi="Bookman Old Style"/>
          <w:szCs w:val="28"/>
        </w:rPr>
        <w:t>jiboutienne, sont mi</w:t>
      </w:r>
      <w:r>
        <w:rPr>
          <w:rFonts w:ascii="Bookman Old Style" w:hAnsi="Bookman Old Style"/>
          <w:szCs w:val="28"/>
        </w:rPr>
        <w:t xml:space="preserve">ses en avant par les autorités djiboutiennes </w:t>
      </w:r>
      <w:r w:rsidRPr="005114BF">
        <w:rPr>
          <w:rFonts w:ascii="Bookman Old Style" w:hAnsi="Bookman Old Style"/>
          <w:szCs w:val="28"/>
        </w:rPr>
        <w:t xml:space="preserve">aujourd’hui comme principal argument de promotion et </w:t>
      </w:r>
      <w:r w:rsidRPr="005114BF">
        <w:rPr>
          <w:rFonts w:ascii="Bookman Old Style" w:hAnsi="Bookman Old Style"/>
          <w:szCs w:val="28"/>
        </w:rPr>
        <w:lastRenderedPageBreak/>
        <w:t>d’attractivité du pays.</w:t>
      </w:r>
      <w:r w:rsidRPr="005114BF">
        <w:rPr>
          <w:rFonts w:ascii="Bookman Old Style" w:hAnsi="Bookman Old Style"/>
        </w:rPr>
        <w:t xml:space="preserve"> </w:t>
      </w:r>
      <w:r>
        <w:rPr>
          <w:rFonts w:ascii="Bookman Old Style" w:hAnsi="Bookman Old Style"/>
        </w:rPr>
        <w:t xml:space="preserve">L’importance économique régionale basée sur sa relative stabilité et ses politiques économiques d’ouverture ont conféré à Djibouti un avantage comparatif sur le plan du commerce extérieure (Banque mondiale, 2001). </w:t>
      </w:r>
      <w:r w:rsidRPr="005114BF">
        <w:rPr>
          <w:rFonts w:ascii="Bookman Old Style" w:hAnsi="Bookman Old Style"/>
        </w:rPr>
        <w:t>Djibouti présente également des avantages notables allant des infrastructures de transport, à sa position géographique stratég</w:t>
      </w:r>
      <w:r>
        <w:rPr>
          <w:rFonts w:ascii="Bookman Old Style" w:hAnsi="Bookman Old Style"/>
        </w:rPr>
        <w:t>ique à l’entrée de la Mer R</w:t>
      </w:r>
      <w:r w:rsidRPr="005114BF">
        <w:rPr>
          <w:rFonts w:ascii="Bookman Old Style" w:hAnsi="Bookman Old Style"/>
        </w:rPr>
        <w:t>ouge et de l’océan indien.</w:t>
      </w:r>
      <w:r w:rsidRPr="005114BF">
        <w:rPr>
          <w:rFonts w:ascii="Bookman Old Style" w:hAnsi="Bookman Old Style"/>
          <w:szCs w:val="28"/>
        </w:rPr>
        <w:t xml:space="preserve"> </w:t>
      </w:r>
      <w:r>
        <w:rPr>
          <w:rFonts w:ascii="Bookman Old Style" w:hAnsi="Bookman Old Style"/>
          <w:szCs w:val="28"/>
        </w:rPr>
        <w:t>Cependant,</w:t>
      </w:r>
      <w:r w:rsidRPr="005114BF">
        <w:rPr>
          <w:rFonts w:ascii="Bookman Old Style" w:hAnsi="Bookman Old Style"/>
          <w:szCs w:val="28"/>
        </w:rPr>
        <w:t xml:space="preserve"> deux constats s’imposent</w:t>
      </w:r>
      <w:r>
        <w:rPr>
          <w:rFonts w:ascii="Bookman Old Style" w:hAnsi="Bookman Old Style"/>
          <w:szCs w:val="28"/>
        </w:rPr>
        <w:t xml:space="preserve"> à Djibouti</w:t>
      </w:r>
      <w:r w:rsidRPr="005114BF">
        <w:rPr>
          <w:rFonts w:ascii="Bookman Old Style" w:hAnsi="Bookman Old Style"/>
          <w:szCs w:val="28"/>
        </w:rPr>
        <w:t>. D’une part, le secteur privé formel djiboutien est relativement faible et ne représente que 20 % de la valeur ajoutée</w:t>
      </w:r>
      <w:r w:rsidRPr="005114BF">
        <w:rPr>
          <w:rFonts w:ascii="Bookman Old Style" w:hAnsi="Bookman Old Style"/>
        </w:rPr>
        <w:t xml:space="preserve"> totale. </w:t>
      </w:r>
      <w:r>
        <w:rPr>
          <w:rFonts w:ascii="Bookman Old Style" w:hAnsi="Bookman Old Style"/>
        </w:rPr>
        <w:t xml:space="preserve">Le secteur public s’inscrit pour 56 % de la valeur ajoutée, suivi par le secteur informel (24 %). </w:t>
      </w:r>
      <w:r w:rsidRPr="005114BF">
        <w:rPr>
          <w:rFonts w:ascii="Bookman Old Style" w:hAnsi="Bookman Old Style"/>
        </w:rPr>
        <w:t>D’autre part, les investissements</w:t>
      </w:r>
      <w:r>
        <w:rPr>
          <w:rFonts w:ascii="Bookman Old Style" w:hAnsi="Bookman Old Style"/>
        </w:rPr>
        <w:t xml:space="preserve"> directs étrangers sont </w:t>
      </w:r>
      <w:r w:rsidRPr="005114BF">
        <w:rPr>
          <w:rFonts w:ascii="Bookman Old Style" w:hAnsi="Bookman Old Style"/>
        </w:rPr>
        <w:t>plus</w:t>
      </w:r>
      <w:r>
        <w:rPr>
          <w:rFonts w:ascii="Bookman Old Style" w:hAnsi="Bookman Old Style"/>
        </w:rPr>
        <w:t xml:space="preserve"> limités à Djibouti par rapport </w:t>
      </w:r>
      <w:r w:rsidRPr="005114BF">
        <w:rPr>
          <w:rFonts w:ascii="Bookman Old Style" w:hAnsi="Bookman Old Style"/>
        </w:rPr>
        <w:t>ceux généralement observés d</w:t>
      </w:r>
      <w:r>
        <w:rPr>
          <w:rFonts w:ascii="Bookman Old Style" w:hAnsi="Bookman Old Style"/>
        </w:rPr>
        <w:t xml:space="preserve">ans les pays en développement. </w:t>
      </w:r>
      <w:r w:rsidRPr="005114BF">
        <w:rPr>
          <w:rFonts w:ascii="Bookman Old Style" w:hAnsi="Bookman Old Style"/>
        </w:rPr>
        <w:t>Les investissements directs sont évalués annuellement à 600 millions de FDJ, soit 0,6 % du Produit Intérieur B</w:t>
      </w:r>
      <w:r>
        <w:rPr>
          <w:rFonts w:ascii="Bookman Old Style" w:hAnsi="Bookman Old Style"/>
        </w:rPr>
        <w:t>rut ou 5 à 6 dollars américains</w:t>
      </w:r>
      <w:r w:rsidRPr="005114BF">
        <w:rPr>
          <w:rFonts w:ascii="Bookman Old Style" w:hAnsi="Bookman Old Style"/>
        </w:rPr>
        <w:t xml:space="preserve"> par habitant (PNUD, 2004, p.9). C’est un flux beaucoup plus faible que celui observé dans les pays en développement. Selon la Conférence des Nations Unies pour </w:t>
      </w:r>
      <w:r>
        <w:rPr>
          <w:rFonts w:ascii="Bookman Old Style" w:hAnsi="Bookman Old Style"/>
        </w:rPr>
        <w:t>le Commerce et le Développement (CNUCED, 2003), en mo</w:t>
      </w:r>
      <w:r w:rsidRPr="005114BF">
        <w:rPr>
          <w:rFonts w:ascii="Bookman Old Style" w:hAnsi="Bookman Old Style"/>
        </w:rPr>
        <w:t>yenne, ces pays  auraient reçu 36 dollars par an et par habitant</w:t>
      </w:r>
      <w:r>
        <w:rPr>
          <w:rFonts w:ascii="Bookman Old Style" w:hAnsi="Bookman Old Style"/>
        </w:rPr>
        <w:t xml:space="preserve"> sur la période de 1992- 2002, </w:t>
      </w:r>
      <w:r w:rsidRPr="005114BF">
        <w:rPr>
          <w:rFonts w:ascii="Bookman Old Style" w:hAnsi="Bookman Old Style"/>
        </w:rPr>
        <w:t xml:space="preserve">soit 6 fois plus que Djibouti sur la même période. Même les pays enclavés se seraient montrés plus attractifs en percevant une moyenne de 13 dollars par tête sur la même période. Or, </w:t>
      </w:r>
      <w:r>
        <w:rPr>
          <w:rFonts w:ascii="Bookman Old Style" w:hAnsi="Bookman Old Style"/>
        </w:rPr>
        <w:t xml:space="preserve">du fait de </w:t>
      </w:r>
      <w:r w:rsidRPr="005114BF">
        <w:rPr>
          <w:rFonts w:ascii="Bookman Old Style" w:hAnsi="Bookman Old Style"/>
        </w:rPr>
        <w:t>l’enchérissement des coûts de transport, l’enclavement est connu pour être défavorable à l’installation d’ent</w:t>
      </w:r>
      <w:r>
        <w:rPr>
          <w:rFonts w:ascii="Bookman Old Style" w:hAnsi="Bookman Old Style"/>
        </w:rPr>
        <w:t>reprises étrangères notamment pour les productions</w:t>
      </w:r>
      <w:r w:rsidRPr="005114BF">
        <w:rPr>
          <w:rFonts w:ascii="Bookman Old Style" w:hAnsi="Bookman Old Style"/>
        </w:rPr>
        <w:t xml:space="preserve"> à fort contenu d’importations et destinées ultérieurement à l’exportation. </w:t>
      </w:r>
    </w:p>
    <w:p w:rsidR="00126BBD" w:rsidRDefault="00126BBD" w:rsidP="00F51197">
      <w:pPr>
        <w:spacing w:line="480" w:lineRule="auto"/>
        <w:ind w:firstLine="706"/>
        <w:jc w:val="both"/>
        <w:rPr>
          <w:rFonts w:ascii="Bookman Old Style" w:hAnsi="Bookman Old Style"/>
        </w:rPr>
      </w:pPr>
    </w:p>
    <w:p w:rsidR="00126BBD" w:rsidRDefault="00126BBD" w:rsidP="00F51197">
      <w:pPr>
        <w:spacing w:line="480" w:lineRule="auto"/>
        <w:ind w:firstLine="706"/>
        <w:jc w:val="both"/>
        <w:rPr>
          <w:rFonts w:ascii="Bookman Old Style" w:hAnsi="Bookman Old Style"/>
        </w:rPr>
      </w:pPr>
      <w:r>
        <w:rPr>
          <w:rFonts w:ascii="Bookman Old Style" w:hAnsi="Bookman Old Style"/>
        </w:rPr>
        <w:lastRenderedPageBreak/>
        <w:t>La responsabilité du faible développement du secteur privé est notamment attribuée à Djibouti par les bailleurs de fonds à l’intervention de l’Etat</w:t>
      </w:r>
      <w:r w:rsidRPr="000B58AC">
        <w:rPr>
          <w:rFonts w:ascii="Bookman Old Style" w:hAnsi="Bookman Old Style"/>
        </w:rPr>
        <w:t xml:space="preserve"> </w:t>
      </w:r>
      <w:r w:rsidRPr="005114BF">
        <w:rPr>
          <w:rFonts w:ascii="Bookman Old Style" w:hAnsi="Bookman Old Style"/>
        </w:rPr>
        <w:t>dans le jeu économique</w:t>
      </w:r>
      <w:r>
        <w:rPr>
          <w:rFonts w:ascii="Bookman Old Style" w:hAnsi="Bookman Old Style"/>
        </w:rPr>
        <w:t xml:space="preserve">. </w:t>
      </w:r>
      <w:r w:rsidRPr="00F36DF4">
        <w:rPr>
          <w:rFonts w:ascii="Bookman Old Style" w:hAnsi="Bookman Old Style"/>
        </w:rPr>
        <w:t xml:space="preserve">Le  poids économique </w:t>
      </w:r>
      <w:r>
        <w:rPr>
          <w:rFonts w:ascii="Bookman Old Style" w:hAnsi="Bookman Old Style"/>
        </w:rPr>
        <w:t>des entreprises</w:t>
      </w:r>
      <w:r w:rsidRPr="00F36DF4">
        <w:rPr>
          <w:rFonts w:ascii="Bookman Old Style" w:hAnsi="Bookman Old Style"/>
        </w:rPr>
        <w:t xml:space="preserve"> publiques reste important que ce soit dans le d</w:t>
      </w:r>
      <w:r>
        <w:rPr>
          <w:rFonts w:ascii="Bookman Old Style" w:hAnsi="Bookman Old Style"/>
        </w:rPr>
        <w:t>omaine de l’investissement ou de l’</w:t>
      </w:r>
      <w:r w:rsidRPr="00F36DF4">
        <w:rPr>
          <w:rFonts w:ascii="Bookman Old Style" w:hAnsi="Bookman Old Style"/>
        </w:rPr>
        <w:t>emploi. Par exemple en 2006, les cinq plus gr</w:t>
      </w:r>
      <w:r>
        <w:rPr>
          <w:rFonts w:ascii="Bookman Old Style" w:hAnsi="Bookman Old Style"/>
        </w:rPr>
        <w:t>andes entreprises à savoir, le p</w:t>
      </w:r>
      <w:r w:rsidRPr="00F36DF4">
        <w:rPr>
          <w:rFonts w:ascii="Bookman Old Style" w:hAnsi="Bookman Old Style"/>
        </w:rPr>
        <w:t>ort</w:t>
      </w:r>
      <w:r>
        <w:rPr>
          <w:rFonts w:ascii="Bookman Old Style" w:hAnsi="Bookman Old Style"/>
        </w:rPr>
        <w:t xml:space="preserve"> de Djibouti</w:t>
      </w:r>
      <w:r w:rsidRPr="00F36DF4">
        <w:rPr>
          <w:rFonts w:ascii="Bookman Old Style" w:hAnsi="Bookman Old Style"/>
        </w:rPr>
        <w:t xml:space="preserve">, l’Electricité de Djibouti, l’Office des Eaux, l’Aéroport </w:t>
      </w:r>
      <w:r>
        <w:rPr>
          <w:rFonts w:ascii="Bookman Old Style" w:hAnsi="Bookman Old Style"/>
        </w:rPr>
        <w:t xml:space="preserve">international de Djibouti </w:t>
      </w:r>
      <w:r w:rsidRPr="00F36DF4">
        <w:rPr>
          <w:rFonts w:ascii="Bookman Old Style" w:hAnsi="Bookman Old Style"/>
        </w:rPr>
        <w:t xml:space="preserve">et Djibouti télécoms </w:t>
      </w:r>
      <w:r>
        <w:rPr>
          <w:rFonts w:ascii="Bookman Old Style" w:hAnsi="Bookman Old Style"/>
        </w:rPr>
        <w:t xml:space="preserve">ont </w:t>
      </w:r>
      <w:r w:rsidRPr="00F36DF4">
        <w:rPr>
          <w:rFonts w:ascii="Bookman Old Style" w:hAnsi="Bookman Old Style"/>
        </w:rPr>
        <w:t xml:space="preserve">investi plus </w:t>
      </w:r>
      <w:r>
        <w:rPr>
          <w:rFonts w:ascii="Bookman Old Style" w:hAnsi="Bookman Old Style"/>
        </w:rPr>
        <w:t xml:space="preserve">de </w:t>
      </w:r>
      <w:r w:rsidRPr="00F36DF4">
        <w:rPr>
          <w:rFonts w:ascii="Bookman Old Style" w:hAnsi="Bookman Old Style"/>
        </w:rPr>
        <w:t xml:space="preserve">12 milliards de francs Djibouti, soit 47 % de l’ensemble des investissements </w:t>
      </w:r>
      <w:r>
        <w:rPr>
          <w:rFonts w:ascii="Bookman Old Style" w:hAnsi="Bookman Old Style"/>
        </w:rPr>
        <w:t>publics.  L</w:t>
      </w:r>
      <w:r w:rsidRPr="00F36DF4">
        <w:rPr>
          <w:rFonts w:ascii="Bookman Old Style" w:hAnsi="Bookman Old Style"/>
        </w:rPr>
        <w:t>a part des entreprises publiques dans l’emploi est également non négligeab</w:t>
      </w:r>
      <w:r>
        <w:rPr>
          <w:rFonts w:ascii="Bookman Old Style" w:hAnsi="Bookman Old Style"/>
        </w:rPr>
        <w:t xml:space="preserve">le à Djibouti puisque ces cinq </w:t>
      </w:r>
      <w:r w:rsidRPr="00F36DF4">
        <w:rPr>
          <w:rFonts w:ascii="Bookman Old Style" w:hAnsi="Bookman Old Style"/>
        </w:rPr>
        <w:t>entreprises ont également d</w:t>
      </w:r>
      <w:r>
        <w:rPr>
          <w:rFonts w:ascii="Bookman Old Style" w:hAnsi="Bookman Old Style"/>
        </w:rPr>
        <w:t xml:space="preserve">istribué en 2006, </w:t>
      </w:r>
      <w:r w:rsidRPr="00F36DF4">
        <w:rPr>
          <w:rFonts w:ascii="Bookman Old Style" w:hAnsi="Bookman Old Style"/>
        </w:rPr>
        <w:t>plus de 5 mill</w:t>
      </w:r>
      <w:r>
        <w:rPr>
          <w:rFonts w:ascii="Bookman Old Style" w:hAnsi="Bookman Old Style"/>
        </w:rPr>
        <w:t xml:space="preserve">iards de francs djiboutien en salaire, soit </w:t>
      </w:r>
      <w:r w:rsidRPr="00F36DF4">
        <w:rPr>
          <w:rFonts w:ascii="Bookman Old Style" w:hAnsi="Bookman Old Style"/>
        </w:rPr>
        <w:t xml:space="preserve"> 32 % du salaire distribué par le secteur public</w:t>
      </w:r>
      <w:r>
        <w:rPr>
          <w:rFonts w:ascii="Bookman Old Style" w:hAnsi="Bookman Old Style"/>
        </w:rPr>
        <w:t xml:space="preserve"> (Ministère de l’Economie et des Finances, 2006).</w:t>
      </w:r>
    </w:p>
    <w:p w:rsidR="00126BBD" w:rsidRDefault="00126BBD" w:rsidP="00F51197">
      <w:pPr>
        <w:spacing w:line="480" w:lineRule="auto"/>
        <w:ind w:firstLine="706"/>
        <w:jc w:val="both"/>
        <w:rPr>
          <w:rFonts w:ascii="Bookman Old Style" w:hAnsi="Bookman Old Style"/>
        </w:rPr>
      </w:pPr>
      <w:r>
        <w:rPr>
          <w:rFonts w:ascii="Bookman Old Style" w:hAnsi="Bookman Old Style"/>
        </w:rPr>
        <w:t>L’implication directe de l’Etat dans certains secteurs de l’économie à travers les entreprises publiques est cependant critiquée par les organisations financières internationales parce que  dans la logique de ces dernières, l’Etat occupe une place  qui revient « légitimement » au secteur privé.  Les monopoles publics ont été créés à Djibouti dans des secteurs où le secteur privé ne s’aventure généralement</w:t>
      </w:r>
      <w:r w:rsidRPr="00D52251">
        <w:rPr>
          <w:rFonts w:ascii="Bookman Old Style" w:hAnsi="Bookman Old Style"/>
        </w:rPr>
        <w:t xml:space="preserve"> </w:t>
      </w:r>
      <w:r>
        <w:rPr>
          <w:rFonts w:ascii="Bookman Old Style" w:hAnsi="Bookman Old Style"/>
        </w:rPr>
        <w:t xml:space="preserve">pas.  Pour des raisons diverses incluant un manque de confiance en leur pays, les élites djiboutiennes placent leurs avoirs à l’étranger où s’intéressent essentiellement aux activités commerciales qui demandent de faibles investissements et permettent des résultats rapides.  En outre, l’idée que le secteur privé avait un rôle fondamental à jouer dans le développement s’est imposée très tôt à Djibouti. En 1984, une politique de promotion du secteur privé est mise en place : un nouveau code d’investissement accordant de nombreux avantages </w:t>
      </w:r>
      <w:r>
        <w:rPr>
          <w:rFonts w:ascii="Bookman Old Style" w:hAnsi="Bookman Old Style"/>
        </w:rPr>
        <w:lastRenderedPageBreak/>
        <w:t xml:space="preserve">fiscaux aux investisseurs étrangers et nationaux est mise en place. D’autre part, contrairement à de nombreux pays en développement, aucune entreprise privée n’a été nationalisée par l’Etat à Djibouti. Pour la Banque mondiale, le secteur privé ne pouvait pas se développer dans un contexte était l’Etat est omniprésent et omnipotent. </w:t>
      </w:r>
      <w:r w:rsidRPr="005114BF">
        <w:rPr>
          <w:rFonts w:ascii="Bookman Old Style" w:hAnsi="Bookman Old Style"/>
        </w:rPr>
        <w:t xml:space="preserve">Son omniprésence, si elle a permis l’essor des entreprises publiques n’a pas </w:t>
      </w:r>
      <w:r>
        <w:rPr>
          <w:rFonts w:ascii="Bookman Old Style" w:hAnsi="Bookman Old Style"/>
        </w:rPr>
        <w:t>eu</w:t>
      </w:r>
      <w:r w:rsidRPr="005114BF">
        <w:rPr>
          <w:rFonts w:ascii="Bookman Old Style" w:hAnsi="Bookman Old Style"/>
        </w:rPr>
        <w:t xml:space="preserve"> que </w:t>
      </w:r>
      <w:r>
        <w:rPr>
          <w:rFonts w:ascii="Bookman Old Style" w:hAnsi="Bookman Old Style"/>
        </w:rPr>
        <w:t xml:space="preserve">des effets </w:t>
      </w:r>
      <w:r w:rsidRPr="005114BF">
        <w:rPr>
          <w:rFonts w:ascii="Bookman Old Style" w:hAnsi="Bookman Old Style"/>
        </w:rPr>
        <w:t>bénéfique</w:t>
      </w:r>
      <w:r>
        <w:rPr>
          <w:rFonts w:ascii="Bookman Old Style" w:hAnsi="Bookman Old Style"/>
        </w:rPr>
        <w:t xml:space="preserve">s pour l’économie nationale. </w:t>
      </w:r>
      <w:r w:rsidRPr="00C0701C">
        <w:rPr>
          <w:rFonts w:ascii="Bookman Old Style" w:hAnsi="Bookman Old Style"/>
        </w:rPr>
        <w:t>La</w:t>
      </w:r>
      <w:r w:rsidRPr="00F761A0">
        <w:rPr>
          <w:rFonts w:ascii="Bookman Old Style" w:hAnsi="Bookman Old Style"/>
          <w:i/>
        </w:rPr>
        <w:t xml:space="preserve"> </w:t>
      </w:r>
      <w:r w:rsidRPr="00C0701C">
        <w:rPr>
          <w:rFonts w:ascii="Bookman Old Style" w:hAnsi="Bookman Old Style"/>
        </w:rPr>
        <w:t>domination du secteur public sur certains espaces économiques a eu pour conséquence de bloquer le développement de l’entreprise privée et de freiner les échanges d’expériences en</w:t>
      </w:r>
      <w:r>
        <w:rPr>
          <w:rFonts w:ascii="Bookman Old Style" w:hAnsi="Bookman Old Style"/>
        </w:rPr>
        <w:t>tre divers acteurs économiques </w:t>
      </w:r>
      <w:r w:rsidRPr="005114BF">
        <w:rPr>
          <w:rFonts w:ascii="Bookman Old Style" w:hAnsi="Bookman Old Style"/>
        </w:rPr>
        <w:t>(Banque mondiale</w:t>
      </w:r>
      <w:r>
        <w:rPr>
          <w:rFonts w:ascii="Bookman Old Style" w:hAnsi="Bookman Old Style"/>
        </w:rPr>
        <w:t>, 2000, p. 144).</w:t>
      </w:r>
      <w:r>
        <w:rPr>
          <w:rFonts w:ascii="Bookman Old Style" w:hAnsi="Bookman Old Style"/>
          <w:i/>
        </w:rPr>
        <w:t xml:space="preserve"> </w:t>
      </w:r>
      <w:r w:rsidRPr="005114BF">
        <w:rPr>
          <w:rFonts w:ascii="Bookman Old Style" w:hAnsi="Bookman Old Style"/>
        </w:rPr>
        <w:t>Les investissements publics importants et l’aide e</w:t>
      </w:r>
      <w:r>
        <w:rPr>
          <w:rFonts w:ascii="Bookman Old Style" w:hAnsi="Bookman Old Style"/>
        </w:rPr>
        <w:t>xtérieure massive n’ont pas créé</w:t>
      </w:r>
      <w:r w:rsidRPr="005114BF">
        <w:rPr>
          <w:rFonts w:ascii="Bookman Old Style" w:hAnsi="Bookman Old Style"/>
        </w:rPr>
        <w:t xml:space="preserve"> l</w:t>
      </w:r>
      <w:r>
        <w:rPr>
          <w:rFonts w:ascii="Bookman Old Style" w:hAnsi="Bookman Old Style"/>
        </w:rPr>
        <w:t>a dynamique espérée et amélioré</w:t>
      </w:r>
      <w:r w:rsidRPr="005114BF">
        <w:rPr>
          <w:rFonts w:ascii="Bookman Old Style" w:hAnsi="Bookman Old Style"/>
        </w:rPr>
        <w:t xml:space="preserve"> la compétitivité du pays. Il</w:t>
      </w:r>
      <w:r>
        <w:rPr>
          <w:rFonts w:ascii="Bookman Old Style" w:hAnsi="Bookman Old Style"/>
        </w:rPr>
        <w:t>s</w:t>
      </w:r>
      <w:r w:rsidRPr="005114BF">
        <w:rPr>
          <w:rFonts w:ascii="Bookman Old Style" w:hAnsi="Bookman Old Style"/>
        </w:rPr>
        <w:t xml:space="preserve"> ont </w:t>
      </w:r>
      <w:r>
        <w:rPr>
          <w:rFonts w:ascii="Bookman Old Style" w:hAnsi="Bookman Old Style"/>
        </w:rPr>
        <w:t xml:space="preserve">même </w:t>
      </w:r>
      <w:r w:rsidRPr="005114BF">
        <w:rPr>
          <w:rFonts w:ascii="Bookman Old Style" w:hAnsi="Bookman Old Style"/>
        </w:rPr>
        <w:t>exercé un effet d’éviction sur le secteur privé dans le renchérissement des coûts de facteurs de production (coûts salariaux, coûts d’énergies, etc.)</w:t>
      </w:r>
      <w:r>
        <w:rPr>
          <w:rFonts w:ascii="Bookman Old Style" w:hAnsi="Bookman Old Style"/>
        </w:rPr>
        <w:t xml:space="preserve"> (Gombor, 2011, p. 212)</w:t>
      </w:r>
      <w:r w:rsidRPr="005114BF">
        <w:rPr>
          <w:rFonts w:ascii="Bookman Old Style" w:hAnsi="Bookman Old Style"/>
        </w:rPr>
        <w:t xml:space="preserve">. </w:t>
      </w:r>
      <w:r>
        <w:rPr>
          <w:rFonts w:ascii="Bookman Old Style" w:hAnsi="Bookman Old Style"/>
        </w:rPr>
        <w:t>La capacité d’attractivité d’une petite et pauvre économie est limitée. Cette contrainte serait encore aggravée selon ce dernier par « </w:t>
      </w:r>
      <w:r w:rsidRPr="0046562C">
        <w:rPr>
          <w:rFonts w:ascii="Bookman Old Style" w:hAnsi="Bookman Old Style"/>
          <w:i/>
        </w:rPr>
        <w:t>la croissance de la taille de l’Etat qui a affecté le dynamisme de secteur privé et maintenu l’économie dans un état de sous compétitivité</w:t>
      </w:r>
      <w:r>
        <w:rPr>
          <w:rFonts w:ascii="Bookman Old Style" w:hAnsi="Bookman Old Style"/>
        </w:rPr>
        <w:t>.</w:t>
      </w:r>
      <w:r w:rsidRPr="007376CA">
        <w:rPr>
          <w:rFonts w:ascii="Bookman Old Style" w:hAnsi="Bookman Old Style"/>
        </w:rPr>
        <w:t xml:space="preserve"> </w:t>
      </w:r>
      <w:r w:rsidRPr="005114BF">
        <w:rPr>
          <w:rFonts w:ascii="Bookman Old Style" w:hAnsi="Bookman Old Style"/>
        </w:rPr>
        <w:t>L’Etat</w:t>
      </w:r>
      <w:r>
        <w:rPr>
          <w:rFonts w:ascii="Bookman Old Style" w:hAnsi="Bookman Old Style"/>
        </w:rPr>
        <w:t xml:space="preserve"> djiboutien, employeur en dernier ressort depuis </w:t>
      </w:r>
      <w:r w:rsidRPr="005114BF">
        <w:rPr>
          <w:rFonts w:ascii="Bookman Old Style" w:hAnsi="Bookman Old Style"/>
        </w:rPr>
        <w:t>l’indépendance</w:t>
      </w:r>
      <w:r>
        <w:rPr>
          <w:rFonts w:ascii="Bookman Old Style" w:hAnsi="Bookman Old Style"/>
        </w:rPr>
        <w:t>,</w:t>
      </w:r>
      <w:r w:rsidRPr="005114BF">
        <w:rPr>
          <w:rFonts w:ascii="Bookman Old Style" w:hAnsi="Bookman Old Style"/>
        </w:rPr>
        <w:t xml:space="preserve"> doit donc </w:t>
      </w:r>
      <w:r>
        <w:rPr>
          <w:rFonts w:ascii="Bookman Old Style" w:hAnsi="Bookman Old Style"/>
        </w:rPr>
        <w:t xml:space="preserve">dans cette logique </w:t>
      </w:r>
      <w:r w:rsidRPr="005114BF">
        <w:rPr>
          <w:rFonts w:ascii="Bookman Old Style" w:hAnsi="Bookman Old Style"/>
        </w:rPr>
        <w:t>se dé</w:t>
      </w:r>
      <w:r>
        <w:rPr>
          <w:rFonts w:ascii="Bookman Old Style" w:hAnsi="Bookman Old Style"/>
        </w:rPr>
        <w:t>sen</w:t>
      </w:r>
      <w:r w:rsidRPr="005114BF">
        <w:rPr>
          <w:rFonts w:ascii="Bookman Old Style" w:hAnsi="Bookman Old Style"/>
        </w:rPr>
        <w:t xml:space="preserve">gager de la sphère </w:t>
      </w:r>
      <w:r>
        <w:rPr>
          <w:rFonts w:ascii="Bookman Old Style" w:hAnsi="Bookman Old Style"/>
        </w:rPr>
        <w:t>productive</w:t>
      </w:r>
      <w:r w:rsidRPr="005114BF">
        <w:rPr>
          <w:rFonts w:ascii="Bookman Old Style" w:hAnsi="Bookman Old Style"/>
        </w:rPr>
        <w:t xml:space="preserve"> en endossant à temps et de façon judicieuse le diagnostic de ses impasses, de ses dysfonc</w:t>
      </w:r>
      <w:r>
        <w:rPr>
          <w:rFonts w:ascii="Bookman Old Style" w:hAnsi="Bookman Old Style"/>
        </w:rPr>
        <w:t>tionnements et de ses limites.</w:t>
      </w:r>
    </w:p>
    <w:p w:rsidR="00126BBD" w:rsidRDefault="00126BBD" w:rsidP="00F51197">
      <w:pPr>
        <w:spacing w:line="480" w:lineRule="auto"/>
        <w:ind w:firstLine="709"/>
        <w:jc w:val="both"/>
        <w:rPr>
          <w:rFonts w:ascii="Bookman Old Style" w:hAnsi="Bookman Old Style"/>
          <w:szCs w:val="28"/>
        </w:rPr>
      </w:pPr>
      <w:r>
        <w:rPr>
          <w:rFonts w:ascii="Bookman Old Style" w:hAnsi="Bookman Old Style"/>
        </w:rPr>
        <w:t>Le secteur privé</w:t>
      </w:r>
      <w:r w:rsidRPr="00F36DF4">
        <w:rPr>
          <w:rFonts w:ascii="Bookman Old Style" w:hAnsi="Bookman Old Style"/>
        </w:rPr>
        <w:t xml:space="preserve"> ne pouvait pas se développer </w:t>
      </w:r>
      <w:r>
        <w:rPr>
          <w:rFonts w:ascii="Bookman Old Style" w:hAnsi="Bookman Old Style"/>
        </w:rPr>
        <w:t>aussi d</w:t>
      </w:r>
      <w:r w:rsidRPr="00F36DF4">
        <w:rPr>
          <w:rFonts w:ascii="Bookman Old Style" w:hAnsi="Bookman Old Style"/>
        </w:rPr>
        <w:t xml:space="preserve">ans la mesure </w:t>
      </w:r>
      <w:r>
        <w:rPr>
          <w:rFonts w:ascii="Bookman Old Style" w:hAnsi="Bookman Old Style"/>
        </w:rPr>
        <w:t>où l’Etat avait échoué dans la création d’</w:t>
      </w:r>
      <w:r w:rsidRPr="00F36DF4">
        <w:rPr>
          <w:rFonts w:ascii="Bookman Old Style" w:hAnsi="Bookman Old Style"/>
        </w:rPr>
        <w:t>un environnement qui lui est favorable</w:t>
      </w:r>
      <w:r>
        <w:rPr>
          <w:rFonts w:ascii="Bookman Old Style" w:hAnsi="Bookman Old Style"/>
        </w:rPr>
        <w:t>, (Mahamoud, 2008)</w:t>
      </w:r>
      <w:r w:rsidRPr="00F36DF4">
        <w:rPr>
          <w:rFonts w:ascii="Bookman Old Style" w:hAnsi="Bookman Old Style"/>
        </w:rPr>
        <w:t>.</w:t>
      </w:r>
      <w:r>
        <w:rPr>
          <w:rFonts w:ascii="Bookman Old Style" w:hAnsi="Bookman Old Style"/>
        </w:rPr>
        <w:t xml:space="preserve"> En effet, certaines composantes du cadre économique </w:t>
      </w:r>
      <w:r>
        <w:rPr>
          <w:rFonts w:ascii="Bookman Old Style" w:hAnsi="Bookman Old Style"/>
        </w:rPr>
        <w:lastRenderedPageBreak/>
        <w:t xml:space="preserve">djiboutien (coûts de facteurs de production, coûts de certains services rendus par l’Etat par le biais des entreprises publiques, difficultés pour certaines entreprises de recouvrir leurs créances, etc.) ne sont  pas adaptées au développement de la libre entreprise. Les démarches administratives pour enregistrer une nouvelle société sont fastidieuses et couteuses à Djibouti : il faut accomplir au moins 11 procédures pour créer une nouvelle entreprise à Djibouti contre 8 pour les pays de la région et 5 pour le pays de l’OCDE. Il faut aussi compter 37 jours contre 20 jours pour les pays de la région et 12 jours dans le pays de l’OCDE (Banque mondiale, Doing Business de 2012). </w:t>
      </w:r>
      <w:r w:rsidRPr="006D477F">
        <w:rPr>
          <w:rFonts w:ascii="Bookman Old Style" w:hAnsi="Bookman Old Style"/>
          <w:lang w:val="fr-BE" w:eastAsia="ja-JP"/>
        </w:rPr>
        <w:t>Le cadre juridique djiboutien serait un frein au développement du secteur privé. Le dysfonctionnement de la</w:t>
      </w:r>
      <w:r>
        <w:rPr>
          <w:rFonts w:ascii="Bookman Old Style" w:hAnsi="Bookman Old Style"/>
          <w:lang w:val="fr-BE" w:eastAsia="ja-JP"/>
        </w:rPr>
        <w:t xml:space="preserve"> justice fait que l’exécution des</w:t>
      </w:r>
      <w:r w:rsidRPr="006D477F">
        <w:rPr>
          <w:rFonts w:ascii="Bookman Old Style" w:hAnsi="Bookman Old Style"/>
          <w:lang w:val="fr-BE" w:eastAsia="ja-JP"/>
        </w:rPr>
        <w:t xml:space="preserve"> contrat</w:t>
      </w:r>
      <w:r>
        <w:rPr>
          <w:rFonts w:ascii="Bookman Old Style" w:hAnsi="Bookman Old Style"/>
          <w:lang w:val="fr-BE" w:eastAsia="ja-JP"/>
        </w:rPr>
        <w:t>s est cou</w:t>
      </w:r>
      <w:r w:rsidRPr="006D477F">
        <w:rPr>
          <w:rFonts w:ascii="Bookman Old Style" w:hAnsi="Bookman Old Style"/>
          <w:lang w:val="fr-BE" w:eastAsia="ja-JP"/>
        </w:rPr>
        <w:t>teuse à Djibouti</w:t>
      </w:r>
      <w:r>
        <w:rPr>
          <w:rFonts w:ascii="Bookman Old Style" w:hAnsi="Bookman Old Style"/>
          <w:lang w:val="fr-BE" w:eastAsia="ja-JP"/>
        </w:rPr>
        <w:t xml:space="preserve">. </w:t>
      </w:r>
      <w:r w:rsidRPr="005114BF">
        <w:rPr>
          <w:rFonts w:ascii="Bookman Old Style" w:hAnsi="Bookman Old Style"/>
          <w:lang w:val="fr-BE" w:eastAsia="ja-JP"/>
        </w:rPr>
        <w:t xml:space="preserve">La crédibilité du travail </w:t>
      </w:r>
      <w:r>
        <w:rPr>
          <w:rFonts w:ascii="Bookman Old Style" w:hAnsi="Bookman Old Style"/>
          <w:lang w:val="fr-BE" w:eastAsia="ja-JP"/>
        </w:rPr>
        <w:t xml:space="preserve">des magistrats </w:t>
      </w:r>
      <w:r w:rsidRPr="005114BF">
        <w:rPr>
          <w:rFonts w:ascii="Bookman Old Style" w:hAnsi="Bookman Old Style"/>
          <w:lang w:val="fr-BE" w:eastAsia="ja-JP"/>
        </w:rPr>
        <w:t xml:space="preserve">est affectée </w:t>
      </w:r>
      <w:r>
        <w:rPr>
          <w:rFonts w:ascii="Bookman Old Style" w:hAnsi="Bookman Old Style"/>
          <w:lang w:val="fr-BE" w:eastAsia="ja-JP"/>
        </w:rPr>
        <w:t xml:space="preserve">par </w:t>
      </w:r>
      <w:r w:rsidRPr="005114BF">
        <w:rPr>
          <w:rFonts w:ascii="Bookman Old Style" w:hAnsi="Bookman Old Style"/>
          <w:lang w:val="fr-BE" w:eastAsia="ja-JP"/>
        </w:rPr>
        <w:t xml:space="preserve">la lenteur des procédures et les dépassements de délais légaux. </w:t>
      </w:r>
      <w:r>
        <w:rPr>
          <w:rFonts w:ascii="Bookman Old Style" w:hAnsi="Bookman Old Style"/>
          <w:lang w:val="fr-BE" w:eastAsia="ja-JP"/>
        </w:rPr>
        <w:t>I</w:t>
      </w:r>
      <w:r w:rsidRPr="005114BF">
        <w:rPr>
          <w:rFonts w:ascii="Bookman Old Style" w:hAnsi="Bookman Old Style"/>
          <w:lang w:val="fr-BE" w:eastAsia="ja-JP"/>
        </w:rPr>
        <w:t>l faut compter en moyenne 4 ans pour qu’une affaire trouve un dénouement à Djibouti. Pour évalue</w:t>
      </w:r>
      <w:r>
        <w:rPr>
          <w:rFonts w:ascii="Bookman Old Style" w:hAnsi="Bookman Old Style"/>
          <w:lang w:val="fr-BE" w:eastAsia="ja-JP"/>
        </w:rPr>
        <w:t xml:space="preserve">r la complexité de l’exécution </w:t>
      </w:r>
      <w:r w:rsidRPr="005114BF">
        <w:rPr>
          <w:rFonts w:ascii="Bookman Old Style" w:hAnsi="Bookman Old Style"/>
          <w:lang w:val="fr-BE" w:eastAsia="ja-JP"/>
        </w:rPr>
        <w:t>d’un contrat en suivant l’évolution d’un litige et en relevant la durée et le coût nécessaires entre le dépôt de la plainte et le rè</w:t>
      </w:r>
      <w:r>
        <w:rPr>
          <w:rFonts w:ascii="Bookman Old Style" w:hAnsi="Bookman Old Style"/>
          <w:lang w:val="fr-BE" w:eastAsia="ja-JP"/>
        </w:rPr>
        <w:t xml:space="preserve">glement du créancier, les données de la Banque mondiale de 2012 </w:t>
      </w:r>
      <w:r w:rsidRPr="005114BF">
        <w:rPr>
          <w:rFonts w:ascii="Bookman Old Style" w:hAnsi="Bookman Old Style"/>
          <w:lang w:val="fr-BE" w:eastAsia="ja-JP"/>
        </w:rPr>
        <w:t xml:space="preserve">« Doing Business » montre que l’agent économique doit compter à Djibouti </w:t>
      </w:r>
      <w:r>
        <w:rPr>
          <w:rFonts w:ascii="Bookman Old Style" w:hAnsi="Bookman Old Style"/>
          <w:lang w:val="fr-BE" w:eastAsia="ja-JP"/>
        </w:rPr>
        <w:t xml:space="preserve">environ 1 225 jours contre une </w:t>
      </w:r>
      <w:r w:rsidRPr="005114BF">
        <w:rPr>
          <w:rFonts w:ascii="Bookman Old Style" w:hAnsi="Bookman Old Style"/>
          <w:lang w:val="fr-BE" w:eastAsia="ja-JP"/>
        </w:rPr>
        <w:t>m</w:t>
      </w:r>
      <w:r>
        <w:rPr>
          <w:rFonts w:ascii="Bookman Old Style" w:hAnsi="Bookman Old Style"/>
          <w:lang w:val="fr-BE" w:eastAsia="ja-JP"/>
        </w:rPr>
        <w:t>oyenne 658</w:t>
      </w:r>
      <w:r w:rsidRPr="005114BF">
        <w:rPr>
          <w:rFonts w:ascii="Bookman Old Style" w:hAnsi="Bookman Old Style"/>
          <w:lang w:val="fr-BE" w:eastAsia="ja-JP"/>
        </w:rPr>
        <w:t xml:space="preserve"> jours pour</w:t>
      </w:r>
      <w:r>
        <w:rPr>
          <w:rFonts w:ascii="Bookman Old Style" w:hAnsi="Bookman Old Style"/>
          <w:lang w:val="fr-BE" w:eastAsia="ja-JP"/>
        </w:rPr>
        <w:t xml:space="preserve"> les pays de la région 518 jours</w:t>
      </w:r>
      <w:r w:rsidRPr="005114BF">
        <w:rPr>
          <w:rFonts w:ascii="Bookman Old Style" w:hAnsi="Bookman Old Style"/>
          <w:lang w:val="fr-BE" w:eastAsia="ja-JP"/>
        </w:rPr>
        <w:t xml:space="preserve"> pour les pays de l’OCDE. Quant au coût, il peut aller jusqu’à 34 % de la dette de </w:t>
      </w:r>
      <w:r>
        <w:rPr>
          <w:rFonts w:ascii="Bookman Old Style" w:hAnsi="Bookman Old Style"/>
          <w:lang w:val="fr-BE" w:eastAsia="ja-JP"/>
        </w:rPr>
        <w:t xml:space="preserve">l’entreprise contre 23,6 </w:t>
      </w:r>
      <w:r w:rsidRPr="005114BF">
        <w:rPr>
          <w:rFonts w:ascii="Bookman Old Style" w:hAnsi="Bookman Old Style"/>
          <w:lang w:val="fr-BE" w:eastAsia="ja-JP"/>
        </w:rPr>
        <w:t>% pour les</w:t>
      </w:r>
      <w:r>
        <w:rPr>
          <w:rFonts w:ascii="Bookman Old Style" w:hAnsi="Bookman Old Style"/>
          <w:lang w:val="fr-BE" w:eastAsia="ja-JP"/>
        </w:rPr>
        <w:t xml:space="preserve"> pays de la région et environ 19</w:t>
      </w:r>
      <w:r w:rsidRPr="005114BF">
        <w:rPr>
          <w:rFonts w:ascii="Bookman Old Style" w:hAnsi="Bookman Old Style"/>
          <w:lang w:val="fr-BE" w:eastAsia="ja-JP"/>
        </w:rPr>
        <w:t xml:space="preserve"> % pour les pays de l’OCDE.</w:t>
      </w:r>
      <w:r w:rsidRPr="005114BF">
        <w:rPr>
          <w:rFonts w:ascii="Bookman Old Style" w:hAnsi="Bookman Old Style"/>
          <w:szCs w:val="28"/>
        </w:rPr>
        <w:t xml:space="preserve"> </w:t>
      </w:r>
    </w:p>
    <w:p w:rsidR="00126BBD" w:rsidRPr="002C387F" w:rsidRDefault="00126BBD" w:rsidP="00F51197">
      <w:pPr>
        <w:spacing w:line="480" w:lineRule="auto"/>
        <w:ind w:firstLine="709"/>
        <w:jc w:val="both"/>
        <w:rPr>
          <w:rFonts w:ascii="Bookman Old Style" w:hAnsi="Bookman Old Style"/>
          <w:szCs w:val="28"/>
        </w:rPr>
      </w:pPr>
      <w:r>
        <w:rPr>
          <w:rFonts w:ascii="Bookman Old Style" w:hAnsi="Bookman Old Style"/>
          <w:szCs w:val="28"/>
        </w:rPr>
        <w:t xml:space="preserve">Le secteur </w:t>
      </w:r>
      <w:r>
        <w:rPr>
          <w:rFonts w:ascii="Bookman Old Style" w:hAnsi="Bookman Old Style"/>
          <w:lang w:val="fr-BE" w:eastAsia="ja-JP"/>
        </w:rPr>
        <w:t xml:space="preserve">privé djiboutien peut </w:t>
      </w:r>
      <w:r w:rsidRPr="005114BF">
        <w:rPr>
          <w:rFonts w:ascii="Bookman Old Style" w:hAnsi="Bookman Old Style"/>
          <w:lang w:val="fr-BE" w:eastAsia="ja-JP"/>
        </w:rPr>
        <w:t>aujourd’hui substituer une « j</w:t>
      </w:r>
      <w:r>
        <w:rPr>
          <w:rFonts w:ascii="Bookman Old Style" w:hAnsi="Bookman Old Style"/>
          <w:lang w:val="fr-BE" w:eastAsia="ja-JP"/>
        </w:rPr>
        <w:t>ustice</w:t>
      </w:r>
      <w:r w:rsidRPr="005114BF">
        <w:rPr>
          <w:rFonts w:ascii="Bookman Old Style" w:hAnsi="Bookman Old Style"/>
          <w:lang w:val="fr-BE" w:eastAsia="ja-JP"/>
        </w:rPr>
        <w:t xml:space="preserve"> publique défaillante » à des mécanismes efficaces d’arbitrage avec la création à Djibouti du Centre international </w:t>
      </w:r>
      <w:r>
        <w:rPr>
          <w:rFonts w:ascii="Bookman Old Style" w:hAnsi="Bookman Old Style"/>
          <w:lang w:val="fr-BE" w:eastAsia="ja-JP"/>
        </w:rPr>
        <w:t>des services arbitraux, CISA et</w:t>
      </w:r>
      <w:r w:rsidRPr="005114BF">
        <w:rPr>
          <w:rFonts w:ascii="Bookman Old Style" w:hAnsi="Bookman Old Style"/>
          <w:lang w:val="fr-BE" w:eastAsia="ja-JP"/>
        </w:rPr>
        <w:t xml:space="preserve"> le Centre </w:t>
      </w:r>
      <w:r w:rsidRPr="005114BF">
        <w:rPr>
          <w:rFonts w:ascii="Bookman Old Style" w:hAnsi="Bookman Old Style"/>
          <w:lang w:val="fr-BE" w:eastAsia="ja-JP"/>
        </w:rPr>
        <w:lastRenderedPageBreak/>
        <w:t>de Médiation au sein de la Chambre Internationale de Commerce et de l’Industrie de Djibouti. L’arbitrage est une procédure contentieu</w:t>
      </w:r>
      <w:r>
        <w:rPr>
          <w:rFonts w:ascii="Bookman Old Style" w:hAnsi="Bookman Old Style"/>
          <w:lang w:val="fr-BE" w:eastAsia="ja-JP"/>
        </w:rPr>
        <w:t>se de règlement de litiges par o</w:t>
      </w:r>
      <w:r w:rsidRPr="005114BF">
        <w:rPr>
          <w:rFonts w:ascii="Bookman Old Style" w:hAnsi="Bookman Old Style"/>
          <w:lang w:val="fr-BE" w:eastAsia="ja-JP"/>
        </w:rPr>
        <w:t>pposition à la médiation qui est une procédure à l’amiable.</w:t>
      </w:r>
    </w:p>
    <w:p w:rsidR="00126BBD" w:rsidRDefault="00126BBD" w:rsidP="00F51197">
      <w:pPr>
        <w:spacing w:line="480" w:lineRule="auto"/>
        <w:ind w:firstLine="706"/>
        <w:jc w:val="both"/>
        <w:rPr>
          <w:rFonts w:ascii="Bookman Old Style" w:hAnsi="Bookman Old Style"/>
          <w:szCs w:val="28"/>
        </w:rPr>
      </w:pPr>
      <w:r>
        <w:rPr>
          <w:rFonts w:ascii="Bookman Old Style" w:hAnsi="Bookman Old Style"/>
        </w:rPr>
        <w:t xml:space="preserve"> A cela s’ajoute l’absence d’un cadre financier capable de soutenir le développement des entreprises privées.</w:t>
      </w:r>
      <w:r w:rsidRPr="00722448">
        <w:rPr>
          <w:rFonts w:ascii="Bookman Old Style" w:hAnsi="Bookman Old Style"/>
          <w:szCs w:val="28"/>
        </w:rPr>
        <w:t xml:space="preserve"> </w:t>
      </w:r>
      <w:r w:rsidRPr="005114BF">
        <w:rPr>
          <w:rFonts w:ascii="Bookman Old Style" w:hAnsi="Bookman Old Style"/>
          <w:szCs w:val="28"/>
        </w:rPr>
        <w:t xml:space="preserve">Le faible développement du secteur privé dans l’économie djiboutienne trouve aussi une explication logique dans les difficultés d’accès aux crédits </w:t>
      </w:r>
      <w:r>
        <w:rPr>
          <w:rFonts w:ascii="Bookman Old Style" w:hAnsi="Bookman Old Style"/>
          <w:szCs w:val="28"/>
        </w:rPr>
        <w:t xml:space="preserve">pour </w:t>
      </w:r>
      <w:r w:rsidRPr="005114BF">
        <w:rPr>
          <w:rFonts w:ascii="Bookman Old Style" w:hAnsi="Bookman Old Style"/>
          <w:szCs w:val="28"/>
        </w:rPr>
        <w:t>les</w:t>
      </w:r>
      <w:r>
        <w:rPr>
          <w:rFonts w:ascii="Bookman Old Style" w:hAnsi="Bookman Old Style"/>
          <w:szCs w:val="28"/>
        </w:rPr>
        <w:t xml:space="preserve"> petites et moyennes entreprises. En matière </w:t>
      </w:r>
      <w:r w:rsidRPr="005114BF">
        <w:rPr>
          <w:rFonts w:ascii="Bookman Old Style" w:hAnsi="Bookman Old Style"/>
          <w:szCs w:val="28"/>
        </w:rPr>
        <w:t>de financement d’investissement, le secteur bancaire joue un rôle insignifiant à Djibouti. Le coût du capital est excessivement cher</w:t>
      </w:r>
      <w:r w:rsidRPr="005114BF">
        <w:rPr>
          <w:rStyle w:val="Appelnotedebasdep"/>
          <w:rFonts w:ascii="Bookman Old Style" w:hAnsi="Bookman Old Style"/>
          <w:szCs w:val="28"/>
        </w:rPr>
        <w:footnoteReference w:id="9"/>
      </w:r>
      <w:r w:rsidRPr="005114BF">
        <w:rPr>
          <w:rFonts w:ascii="Bookman Old Style" w:hAnsi="Bookman Old Style"/>
          <w:szCs w:val="28"/>
        </w:rPr>
        <w:t>. Les deux principales banques commerciales : la Banque pour le Crédit et l’Industrie Mer Rouge à capitaux détenus majoritairement par la BNP Paribas</w:t>
      </w:r>
      <w:r>
        <w:rPr>
          <w:rFonts w:ascii="Bookman Old Style" w:hAnsi="Bookman Old Style"/>
          <w:szCs w:val="28"/>
        </w:rPr>
        <w:t xml:space="preserve"> Fortis et la B</w:t>
      </w:r>
      <w:r w:rsidRPr="005114BF">
        <w:rPr>
          <w:rFonts w:ascii="Bookman Old Style" w:hAnsi="Bookman Old Style"/>
          <w:szCs w:val="28"/>
        </w:rPr>
        <w:t xml:space="preserve">anque Indosuez Crédit Agricole Mer Rouge, filiale du Crédit Agricole de France poursuivent une politique de prêt conservatrice qui vise à minimiser les risques. </w:t>
      </w:r>
    </w:p>
    <w:p w:rsidR="00126BBD" w:rsidRDefault="00126BBD" w:rsidP="00F51197">
      <w:pPr>
        <w:spacing w:line="480" w:lineRule="auto"/>
        <w:jc w:val="both"/>
        <w:rPr>
          <w:rFonts w:ascii="Bookman Old Style" w:hAnsi="Bookman Old Style"/>
        </w:rPr>
      </w:pPr>
    </w:p>
    <w:p w:rsidR="00126BBD" w:rsidRPr="00C35C0E" w:rsidRDefault="00126BBD" w:rsidP="00F51197">
      <w:pPr>
        <w:spacing w:line="480" w:lineRule="auto"/>
        <w:ind w:firstLine="709"/>
        <w:jc w:val="both"/>
        <w:rPr>
          <w:rFonts w:ascii="Bookman Old Style" w:hAnsi="Bookman Old Style"/>
        </w:rPr>
      </w:pPr>
      <w:r w:rsidRPr="00027D93">
        <w:rPr>
          <w:rFonts w:ascii="Bookman Old Style" w:hAnsi="Bookman Old Style"/>
        </w:rPr>
        <w:t xml:space="preserve"> </w:t>
      </w:r>
      <w:r w:rsidRPr="005114BF">
        <w:rPr>
          <w:rFonts w:ascii="Bookman Old Style" w:hAnsi="Bookman Old Style"/>
        </w:rPr>
        <w:t>Les coûts de production (capital, main-d’œuvre, et services d’utilité publique) restent particulièrement élevés à Djibouti et peuvent dissuader l’investissement local et étranger</w:t>
      </w:r>
      <w:r>
        <w:rPr>
          <w:rFonts w:ascii="Bookman Old Style" w:hAnsi="Bookman Old Style"/>
        </w:rPr>
        <w:t xml:space="preserve">. Les salaires les plus élevés s’observent </w:t>
      </w:r>
      <w:r>
        <w:rPr>
          <w:rFonts w:ascii="Bookman Old Style" w:hAnsi="Bookman Old Style"/>
        </w:rPr>
        <w:lastRenderedPageBreak/>
        <w:t>dans le secteur public, mais par la politique d’embauche des diplômés, le secteur privé a eu tendance à suivre les traitements du secteur public.</w:t>
      </w:r>
      <w:r w:rsidRPr="005114BF">
        <w:rPr>
          <w:rFonts w:ascii="Bookman Old Style" w:hAnsi="Bookman Old Style"/>
        </w:rPr>
        <w:t xml:space="preserve"> </w:t>
      </w:r>
      <w:r>
        <w:rPr>
          <w:rFonts w:ascii="Bookman Old Style" w:hAnsi="Bookman Old Style"/>
        </w:rPr>
        <w:t xml:space="preserve">Les </w:t>
      </w:r>
      <w:r w:rsidRPr="005114BF">
        <w:rPr>
          <w:rFonts w:ascii="Bookman Old Style" w:hAnsi="Bookman Old Style"/>
        </w:rPr>
        <w:t>salaires « élevés»  érigés par le  secte</w:t>
      </w:r>
      <w:r>
        <w:rPr>
          <w:rFonts w:ascii="Bookman Old Style" w:hAnsi="Bookman Old Style"/>
        </w:rPr>
        <w:t xml:space="preserve">ur public </w:t>
      </w:r>
      <w:r w:rsidRPr="005114BF">
        <w:rPr>
          <w:rFonts w:ascii="Bookman Old Style" w:hAnsi="Bookman Old Style"/>
        </w:rPr>
        <w:t xml:space="preserve">qui servent de référence aux salaires du secteur privé seraient </w:t>
      </w:r>
      <w:r>
        <w:rPr>
          <w:rFonts w:ascii="Bookman Old Style" w:hAnsi="Bookman Old Style"/>
        </w:rPr>
        <w:t>donc</w:t>
      </w:r>
      <w:r w:rsidRPr="005114BF">
        <w:rPr>
          <w:rFonts w:ascii="Bookman Old Style" w:hAnsi="Bookman Old Style"/>
        </w:rPr>
        <w:t xml:space="preserve"> un obstacle à la compétitivité du pays. </w:t>
      </w:r>
      <w:r w:rsidRPr="005114BF">
        <w:rPr>
          <w:rFonts w:ascii="Bookman Old Style" w:hAnsi="Bookman Old Style"/>
          <w:szCs w:val="28"/>
          <w:lang w:val="fr-BE"/>
        </w:rPr>
        <w:t>Le travail agit directement sur la compétitivité d’une économie. Il participe de la formation des coûts de production à la fois par la rémunération, et par la qualité du facteur, c'est-à-dire la productivité. Djibouti a un système productif centré sur les services dont le développement est loin d’être indépendant de l’efficacité du travail. Le besoin de compétitivité est plus fort dans les services portuaires dans la mesure où les possibilités de transit peuvent se redistribuer sur la région. Surtout, le développement de certains segments comme les activités de transbordement escalées le long des grandes routes maritimes mondiales est très directement lié au coût de l’escale</w:t>
      </w:r>
      <w:r>
        <w:rPr>
          <w:rStyle w:val="Appelnotedebasdep"/>
          <w:rFonts w:ascii="Bookman Old Style" w:hAnsi="Bookman Old Style"/>
          <w:szCs w:val="28"/>
          <w:lang w:val="fr-BE"/>
        </w:rPr>
        <w:footnoteReference w:id="10"/>
      </w:r>
      <w:r>
        <w:rPr>
          <w:rFonts w:ascii="Bookman Old Style" w:hAnsi="Bookman Old Style"/>
          <w:szCs w:val="28"/>
          <w:lang w:val="fr-BE"/>
        </w:rPr>
        <w:t>.</w:t>
      </w:r>
      <w:r w:rsidRPr="005114BF">
        <w:rPr>
          <w:rFonts w:ascii="Bookman Old Style" w:hAnsi="Bookman Old Style"/>
          <w:szCs w:val="28"/>
          <w:lang w:val="fr-BE"/>
        </w:rPr>
        <w:t xml:space="preserve"> </w:t>
      </w:r>
    </w:p>
    <w:p w:rsidR="00126BBD" w:rsidRDefault="00126BBD" w:rsidP="00F51197">
      <w:pPr>
        <w:spacing w:line="480" w:lineRule="auto"/>
        <w:ind w:firstLine="706"/>
        <w:jc w:val="both"/>
        <w:rPr>
          <w:rFonts w:ascii="Bookman Old Style" w:hAnsi="Bookman Old Style"/>
          <w:lang w:val="fr-BE"/>
        </w:rPr>
      </w:pPr>
      <w:r w:rsidRPr="00C35C0E">
        <w:rPr>
          <w:rFonts w:ascii="Bookman Old Style" w:hAnsi="Bookman Old Style"/>
          <w:szCs w:val="28"/>
          <w:lang w:val="fr-BE"/>
        </w:rPr>
        <w:t>Le surcoût du travail pénaliserait également l’emploi car plus d’un actif djiboutien sur deux est au chômage.</w:t>
      </w:r>
      <w:r w:rsidRPr="00C35C0E">
        <w:rPr>
          <w:rFonts w:ascii="Bookman Old Style" w:hAnsi="Bookman Old Style"/>
        </w:rPr>
        <w:t xml:space="preserve"> « </w:t>
      </w:r>
      <w:r w:rsidRPr="00C35C0E">
        <w:rPr>
          <w:rFonts w:ascii="Bookman Old Style" w:hAnsi="Bookman Old Style"/>
          <w:i/>
          <w:szCs w:val="28"/>
          <w:lang w:val="fr-BE"/>
        </w:rPr>
        <w:t>Le secteur moderne fonctionne sur une base étroite d’emplois avec des salaires qui ne sont pas en relation avec la productivité du facteur travail. Des mécanismes de rationnement en résultent avec des salaires dont l’élément de rente, c'est-à-dire l’écart entre la rémunération et la productivité, est protégé par les règles et conventions du milieu urbain. Ce mode de fonctionnement du marché du travail formel est donc caractérisé par des rigidités qui font barrage aux créations d’emplois</w:t>
      </w:r>
      <w:r w:rsidRPr="00C35C0E">
        <w:rPr>
          <w:rFonts w:ascii="Bookman Old Style" w:hAnsi="Bookman Old Style"/>
          <w:b/>
          <w:szCs w:val="28"/>
          <w:lang w:val="fr-BE"/>
        </w:rPr>
        <w:t> </w:t>
      </w:r>
      <w:r w:rsidRPr="00C35C0E">
        <w:rPr>
          <w:rFonts w:ascii="Bookman Old Style" w:hAnsi="Bookman Old Style"/>
          <w:szCs w:val="28"/>
          <w:lang w:val="fr-BE"/>
        </w:rPr>
        <w:t>» (PNUD, 2004, p. 33</w:t>
      </w:r>
      <w:r w:rsidRPr="005114BF">
        <w:rPr>
          <w:rFonts w:ascii="Bookman Old Style" w:hAnsi="Bookman Old Style"/>
          <w:szCs w:val="28"/>
          <w:lang w:val="fr-BE"/>
        </w:rPr>
        <w:t>).</w:t>
      </w:r>
      <w:r w:rsidRPr="005114BF">
        <w:rPr>
          <w:rFonts w:ascii="Bookman Old Style" w:hAnsi="Bookman Old Style"/>
        </w:rPr>
        <w:t xml:space="preserve"> Les salaires élevés du transport contribuent au fait que le trafic routier entre Djibouti et l’Ethiopie est principalement pris en charge </w:t>
      </w:r>
      <w:r w:rsidRPr="005114BF">
        <w:rPr>
          <w:rFonts w:ascii="Bookman Old Style" w:hAnsi="Bookman Old Style"/>
        </w:rPr>
        <w:lastRenderedPageBreak/>
        <w:t xml:space="preserve">par des entreprises éthiopiennes, qui paient des salaires moins élevés aux chauffeurs </w:t>
      </w:r>
      <w:r>
        <w:rPr>
          <w:rFonts w:ascii="Bookman Old Style" w:hAnsi="Bookman Old Style"/>
        </w:rPr>
        <w:t>que ceux versés aux chauffeurs d</w:t>
      </w:r>
      <w:r w:rsidRPr="005114BF">
        <w:rPr>
          <w:rFonts w:ascii="Bookman Old Style" w:hAnsi="Bookman Old Style"/>
        </w:rPr>
        <w:t>jiboutiens. En raison de l’écart de coût du travail avec l’Ethiop</w:t>
      </w:r>
      <w:r>
        <w:rPr>
          <w:rFonts w:ascii="Bookman Old Style" w:hAnsi="Bookman Old Style"/>
        </w:rPr>
        <w:t>ie, les transporteurs routiers d</w:t>
      </w:r>
      <w:r w:rsidRPr="005114BF">
        <w:rPr>
          <w:rFonts w:ascii="Bookman Old Style" w:hAnsi="Bookman Old Style"/>
        </w:rPr>
        <w:t>jiboutiens ne sont pas compétitifs. Le secteur est pourtant très intéressant dans la mesure où beaucoup d’emplois, directs et indirects sont associés à cette activité. L’essentiel du trafic de transit utilisant le port de Djibouti et à destination ou en provenance de l’Ethiopie est acheminé</w:t>
      </w:r>
      <w:r>
        <w:rPr>
          <w:rFonts w:ascii="Bookman Old Style" w:hAnsi="Bookman Old Style"/>
        </w:rPr>
        <w:t xml:space="preserve"> par la route</w:t>
      </w:r>
      <w:r w:rsidRPr="005114BF">
        <w:rPr>
          <w:rFonts w:ascii="Bookman Old Style" w:hAnsi="Bookman Old Style"/>
          <w:szCs w:val="28"/>
          <w:lang w:val="fr-BE"/>
        </w:rPr>
        <w:t>.</w:t>
      </w:r>
      <w:r w:rsidRPr="0047479F">
        <w:rPr>
          <w:rFonts w:ascii="Bookman Old Style" w:hAnsi="Bookman Old Style"/>
        </w:rPr>
        <w:t xml:space="preserve"> </w:t>
      </w:r>
      <w:r>
        <w:rPr>
          <w:rFonts w:ascii="Bookman Old Style" w:hAnsi="Bookman Old Style"/>
        </w:rPr>
        <w:t xml:space="preserve">En moyenne, plus de 2 000 </w:t>
      </w:r>
      <w:r w:rsidRPr="005114BF">
        <w:rPr>
          <w:rFonts w:ascii="Bookman Old Style" w:hAnsi="Bookman Old Style"/>
        </w:rPr>
        <w:t>camions lourdement chargés emprunte</w:t>
      </w:r>
      <w:r>
        <w:rPr>
          <w:rFonts w:ascii="Bookman Old Style" w:hAnsi="Bookman Old Style"/>
        </w:rPr>
        <w:t>nt chaque jour le corridor Sud</w:t>
      </w:r>
      <w:r w:rsidRPr="005114BF">
        <w:rPr>
          <w:rFonts w:ascii="Bookman Old Style" w:hAnsi="Bookman Old Style"/>
        </w:rPr>
        <w:t xml:space="preserve"> du pays</w:t>
      </w:r>
      <w:r>
        <w:rPr>
          <w:rFonts w:ascii="Bookman Old Style" w:hAnsi="Bookman Old Style"/>
        </w:rPr>
        <w:t xml:space="preserve"> (</w:t>
      </w:r>
      <w:r w:rsidRPr="00F355AC">
        <w:rPr>
          <w:rFonts w:ascii="Bookman Old Style" w:hAnsi="Bookman Old Style"/>
        </w:rPr>
        <w:t>Fon</w:t>
      </w:r>
      <w:r>
        <w:rPr>
          <w:rFonts w:ascii="Bookman Old Style" w:hAnsi="Bookman Old Style"/>
        </w:rPr>
        <w:t>ds de Développement Routier, 2010)</w:t>
      </w:r>
      <w:r w:rsidRPr="005114BF">
        <w:rPr>
          <w:rFonts w:ascii="Bookman Old Style" w:hAnsi="Bookman Old Style"/>
        </w:rPr>
        <w:t>.</w:t>
      </w:r>
      <w:r w:rsidRPr="005114BF">
        <w:rPr>
          <w:rFonts w:ascii="Bookman Old Style" w:hAnsi="Bookman Old Style"/>
          <w:lang w:val="fr-BE"/>
        </w:rPr>
        <w:t xml:space="preserve"> </w:t>
      </w:r>
    </w:p>
    <w:p w:rsidR="00126BBD" w:rsidRPr="00027D93" w:rsidRDefault="00126BBD" w:rsidP="00F51197">
      <w:pPr>
        <w:spacing w:line="480" w:lineRule="auto"/>
        <w:ind w:firstLine="706"/>
        <w:jc w:val="both"/>
        <w:rPr>
          <w:rFonts w:ascii="Bookman Old Style" w:hAnsi="Bookman Old Style"/>
          <w:szCs w:val="28"/>
          <w:lang w:val="fr-BE"/>
        </w:rPr>
      </w:pPr>
    </w:p>
    <w:p w:rsidR="003E60F7" w:rsidRDefault="003E60F7" w:rsidP="00F51197">
      <w:pPr>
        <w:spacing w:line="480" w:lineRule="auto"/>
        <w:ind w:firstLine="709"/>
        <w:jc w:val="both"/>
      </w:pPr>
    </w:p>
    <w:p w:rsidR="00196209" w:rsidRDefault="00196209" w:rsidP="00F51197">
      <w:pPr>
        <w:spacing w:line="480" w:lineRule="auto"/>
        <w:ind w:firstLine="709"/>
        <w:jc w:val="both"/>
      </w:pPr>
    </w:p>
    <w:p w:rsidR="00196209" w:rsidRDefault="00196209" w:rsidP="00F51197">
      <w:pPr>
        <w:spacing w:line="480" w:lineRule="auto"/>
        <w:ind w:firstLine="709"/>
        <w:jc w:val="both"/>
      </w:pPr>
    </w:p>
    <w:p w:rsidR="00196209" w:rsidRDefault="00196209" w:rsidP="00F51197">
      <w:pPr>
        <w:spacing w:line="480" w:lineRule="auto"/>
        <w:ind w:firstLine="709"/>
        <w:jc w:val="both"/>
        <w:rPr>
          <w:rFonts w:ascii="Bookman Old Style" w:hAnsi="Bookman Old Style"/>
          <w:b/>
          <w:sz w:val="28"/>
          <w:szCs w:val="28"/>
        </w:rPr>
      </w:pPr>
      <w:r w:rsidRPr="00196209">
        <w:rPr>
          <w:rFonts w:ascii="Bookman Old Style" w:hAnsi="Bookman Old Style"/>
          <w:b/>
          <w:sz w:val="28"/>
          <w:szCs w:val="28"/>
        </w:rPr>
        <w:t>Chapitre 2 : les impacts du nouveau management public</w:t>
      </w:r>
    </w:p>
    <w:p w:rsidR="00196209" w:rsidRPr="00196209" w:rsidRDefault="00196209" w:rsidP="00F51197">
      <w:pPr>
        <w:spacing w:line="480" w:lineRule="auto"/>
        <w:rPr>
          <w:rFonts w:ascii="Bookman Old Style" w:hAnsi="Bookman Old Style"/>
          <w:sz w:val="28"/>
          <w:szCs w:val="28"/>
        </w:rPr>
      </w:pPr>
    </w:p>
    <w:p w:rsidR="00196209" w:rsidRPr="007B2D32" w:rsidRDefault="009329D6" w:rsidP="00F51197">
      <w:pPr>
        <w:spacing w:line="480" w:lineRule="auto"/>
        <w:jc w:val="both"/>
        <w:rPr>
          <w:rFonts w:ascii="Bookman Old Style" w:hAnsi="Bookman Old Style"/>
          <w:sz w:val="22"/>
          <w:szCs w:val="22"/>
        </w:rPr>
      </w:pPr>
      <w:r>
        <w:rPr>
          <w:rFonts w:ascii="Bookman Old Style" w:hAnsi="Bookman Old Style"/>
        </w:rPr>
        <w:t xml:space="preserve">Le nouveau management public </w:t>
      </w:r>
      <w:r w:rsidRPr="00C93404">
        <w:rPr>
          <w:rFonts w:ascii="Bookman Old Style" w:hAnsi="Bookman Old Style"/>
        </w:rPr>
        <w:t>n’obéit pas à u</w:t>
      </w:r>
      <w:r>
        <w:rPr>
          <w:rFonts w:ascii="Bookman Old Style" w:hAnsi="Bookman Old Style"/>
        </w:rPr>
        <w:t xml:space="preserve">n schéma unique. Il prend plusieurs formes. </w:t>
      </w:r>
      <w:r w:rsidRPr="00C93404">
        <w:rPr>
          <w:rFonts w:ascii="Bookman Old Style" w:hAnsi="Bookman Old Style"/>
        </w:rPr>
        <w:t>La privatisation des entreprises publiques est la plu</w:t>
      </w:r>
      <w:r>
        <w:rPr>
          <w:rFonts w:ascii="Bookman Old Style" w:hAnsi="Bookman Old Style"/>
        </w:rPr>
        <w:t xml:space="preserve">s visible, la plus commentée </w:t>
      </w:r>
      <w:r w:rsidRPr="00C93404">
        <w:rPr>
          <w:rFonts w:ascii="Bookman Old Style" w:hAnsi="Bookman Old Style"/>
        </w:rPr>
        <w:t xml:space="preserve">et concerne aujourd’hui l’ensemble de la planète, pays développés et pays en développement confondus. Mais </w:t>
      </w:r>
      <w:r>
        <w:rPr>
          <w:rFonts w:ascii="Bookman Old Style" w:hAnsi="Bookman Old Style"/>
        </w:rPr>
        <w:t>le nouveau management</w:t>
      </w:r>
      <w:r w:rsidRPr="00C93404">
        <w:rPr>
          <w:rFonts w:ascii="Bookman Old Style" w:hAnsi="Bookman Old Style"/>
        </w:rPr>
        <w:t xml:space="preserve"> n’implique pas nécessairement le transfert intégral de la propriété et du contrôle d’une organisation publique vers le secteur privé. L’externalisation des activités du service public constitue également une formule importante de recours aux entreprises privées. </w:t>
      </w:r>
      <w:r w:rsidR="007B2D32">
        <w:rPr>
          <w:rFonts w:ascii="Bookman Old Style" w:hAnsi="Bookman Old Style"/>
        </w:rPr>
        <w:t>Les</w:t>
      </w:r>
      <w:r w:rsidR="007B2D32" w:rsidRPr="00854DE2">
        <w:rPr>
          <w:rFonts w:ascii="Bookman Old Style" w:hAnsi="Bookman Old Style"/>
        </w:rPr>
        <w:t xml:space="preserve"> entités publiques recourent à des techniques managériales qui viennent du secteur privé. Il s’agit tout en gardant la propriété au niveau du secteur public, de faire en </w:t>
      </w:r>
      <w:r w:rsidR="007B2D32" w:rsidRPr="00854DE2">
        <w:rPr>
          <w:rFonts w:ascii="Bookman Old Style" w:hAnsi="Bookman Old Style"/>
        </w:rPr>
        <w:lastRenderedPageBreak/>
        <w:t>sorte que les entités publiques adoptent des règles de fonctionn</w:t>
      </w:r>
      <w:r w:rsidR="007B2D32">
        <w:rPr>
          <w:rFonts w:ascii="Bookman Old Style" w:hAnsi="Bookman Old Style"/>
        </w:rPr>
        <w:t xml:space="preserve">ement issues du secteur privé. </w:t>
      </w:r>
      <w:r w:rsidR="007B2D32" w:rsidRPr="009369D5">
        <w:rPr>
          <w:rFonts w:ascii="Bookman Old Style" w:hAnsi="Bookman Old Style"/>
        </w:rPr>
        <w:t>Le tableau suivant permet de synt</w:t>
      </w:r>
      <w:r w:rsidR="007B2D32">
        <w:rPr>
          <w:rFonts w:ascii="Bookman Old Style" w:hAnsi="Bookman Old Style"/>
        </w:rPr>
        <w:t xml:space="preserve">hétiser l’ensemble des politiques du nouveau management public : </w:t>
      </w:r>
    </w:p>
    <w:p w:rsidR="00196209" w:rsidRPr="005114BF" w:rsidRDefault="00196209" w:rsidP="00F51197">
      <w:pPr>
        <w:spacing w:line="480" w:lineRule="auto"/>
        <w:jc w:val="both"/>
        <w:rPr>
          <w:rFonts w:ascii="Bookman Old Style" w:hAnsi="Bookman Old Style"/>
        </w:rPr>
      </w:pPr>
    </w:p>
    <w:p w:rsidR="00196209" w:rsidRPr="000B086F" w:rsidRDefault="00196209" w:rsidP="00F51197">
      <w:pPr>
        <w:pStyle w:val="Lgende"/>
        <w:spacing w:line="480" w:lineRule="auto"/>
        <w:jc w:val="center"/>
        <w:rPr>
          <w:rFonts w:ascii="Bookman Old Style" w:hAnsi="Bookman Old Style"/>
        </w:rPr>
      </w:pPr>
      <w:bookmarkStart w:id="24" w:name="_Toc337258664"/>
      <w:r w:rsidRPr="000B086F">
        <w:rPr>
          <w:rFonts w:ascii="Bookman Old Style" w:hAnsi="Bookman Old Style"/>
        </w:rPr>
        <w:t xml:space="preserve">Tableau </w:t>
      </w:r>
      <w:r>
        <w:rPr>
          <w:rFonts w:ascii="Bookman Old Style" w:hAnsi="Bookman Old Style"/>
        </w:rPr>
        <w:t>5 : Les</w:t>
      </w:r>
      <w:r w:rsidRPr="000B086F">
        <w:rPr>
          <w:rFonts w:ascii="Bookman Old Style" w:hAnsi="Bookman Old Style"/>
        </w:rPr>
        <w:t xml:space="preserve"> formes </w:t>
      </w:r>
      <w:r>
        <w:rPr>
          <w:rFonts w:ascii="Bookman Old Style" w:hAnsi="Bookman Old Style"/>
        </w:rPr>
        <w:t>du nouveau management</w:t>
      </w:r>
      <w:r w:rsidRPr="000B086F">
        <w:rPr>
          <w:rFonts w:ascii="Bookman Old Style" w:hAnsi="Bookman Old Style"/>
        </w:rPr>
        <w:t xml:space="preserve"> </w:t>
      </w:r>
      <w:r>
        <w:rPr>
          <w:rFonts w:ascii="Bookman Old Style" w:hAnsi="Bookman Old Style"/>
        </w:rPr>
        <w:t>du secteur public</w:t>
      </w:r>
      <w:r w:rsidRPr="000B086F">
        <w:rPr>
          <w:rFonts w:ascii="Bookman Old Style" w:hAnsi="Bookman Old Style"/>
        </w:rPr>
        <w:t xml:space="preserve"> djiboutien</w:t>
      </w:r>
      <w:bookmarkEnd w:id="24"/>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3330"/>
        <w:gridCol w:w="3240"/>
      </w:tblGrid>
      <w:tr w:rsidR="00196209" w:rsidRPr="00847EFC" w:rsidTr="00196209">
        <w:tc>
          <w:tcPr>
            <w:tcW w:w="3764" w:type="dxa"/>
            <w:shd w:val="pct12" w:color="auto" w:fill="DAEEF3"/>
          </w:tcPr>
          <w:p w:rsidR="00196209" w:rsidRPr="00847EFC" w:rsidRDefault="00196209" w:rsidP="00F51197">
            <w:pPr>
              <w:spacing w:line="480" w:lineRule="auto"/>
              <w:jc w:val="both"/>
              <w:rPr>
                <w:rFonts w:ascii="Bookman Old Style" w:hAnsi="Bookman Old Style"/>
              </w:rPr>
            </w:pPr>
            <w:r w:rsidRPr="00847EFC">
              <w:rPr>
                <w:rFonts w:ascii="Bookman Old Style" w:hAnsi="Bookman Old Style"/>
              </w:rPr>
              <w:t>Formes</w:t>
            </w:r>
          </w:p>
        </w:tc>
        <w:tc>
          <w:tcPr>
            <w:tcW w:w="3330" w:type="dxa"/>
            <w:shd w:val="pct12" w:color="auto" w:fill="DAEEF3"/>
          </w:tcPr>
          <w:p w:rsidR="00196209" w:rsidRPr="00847EFC" w:rsidRDefault="00196209" w:rsidP="00F51197">
            <w:pPr>
              <w:spacing w:line="480" w:lineRule="auto"/>
              <w:jc w:val="both"/>
              <w:rPr>
                <w:rFonts w:ascii="Bookman Old Style" w:hAnsi="Bookman Old Style"/>
              </w:rPr>
            </w:pPr>
            <w:r w:rsidRPr="00847EFC">
              <w:rPr>
                <w:rFonts w:ascii="Bookman Old Style" w:hAnsi="Bookman Old Style"/>
              </w:rPr>
              <w:t>Conséquences au niveau de la propriété</w:t>
            </w:r>
          </w:p>
        </w:tc>
        <w:tc>
          <w:tcPr>
            <w:tcW w:w="3240" w:type="dxa"/>
            <w:shd w:val="pct12" w:color="auto" w:fill="DAEEF3"/>
          </w:tcPr>
          <w:p w:rsidR="00196209" w:rsidRPr="00847EFC" w:rsidRDefault="00196209" w:rsidP="00F51197">
            <w:pPr>
              <w:spacing w:line="480" w:lineRule="auto"/>
              <w:jc w:val="both"/>
              <w:rPr>
                <w:rFonts w:ascii="Bookman Old Style" w:hAnsi="Bookman Old Style"/>
              </w:rPr>
            </w:pPr>
            <w:r w:rsidRPr="00847EFC">
              <w:rPr>
                <w:rFonts w:ascii="Bookman Old Style" w:hAnsi="Bookman Old Style"/>
              </w:rPr>
              <w:t>Secteurs concernés</w:t>
            </w:r>
          </w:p>
        </w:tc>
      </w:tr>
      <w:tr w:rsidR="00196209" w:rsidRPr="00791518" w:rsidTr="00196209">
        <w:tc>
          <w:tcPr>
            <w:tcW w:w="3764" w:type="dxa"/>
          </w:tcPr>
          <w:p w:rsidR="00196209" w:rsidRPr="00791518" w:rsidRDefault="00196209" w:rsidP="00F51197">
            <w:pPr>
              <w:spacing w:line="480" w:lineRule="auto"/>
              <w:jc w:val="both"/>
              <w:rPr>
                <w:rFonts w:ascii="Bookman Old Style" w:hAnsi="Bookman Old Style"/>
              </w:rPr>
            </w:pPr>
            <w:r w:rsidRPr="00791518">
              <w:rPr>
                <w:rFonts w:ascii="Bookman Old Style" w:hAnsi="Bookman Old Style"/>
              </w:rPr>
              <w:t xml:space="preserve">Privatisation </w:t>
            </w:r>
          </w:p>
          <w:p w:rsidR="00196209" w:rsidRPr="00791518" w:rsidRDefault="00196209" w:rsidP="00F51197">
            <w:pPr>
              <w:spacing w:line="480" w:lineRule="auto"/>
              <w:jc w:val="both"/>
              <w:rPr>
                <w:rFonts w:ascii="Bookman Old Style" w:hAnsi="Bookman Old Style"/>
              </w:rPr>
            </w:pPr>
          </w:p>
        </w:tc>
        <w:tc>
          <w:tcPr>
            <w:tcW w:w="3330" w:type="dxa"/>
          </w:tcPr>
          <w:p w:rsidR="00196209" w:rsidRPr="000B430F" w:rsidRDefault="00196209" w:rsidP="00F51197">
            <w:pPr>
              <w:spacing w:line="480" w:lineRule="auto"/>
              <w:jc w:val="both"/>
              <w:rPr>
                <w:rFonts w:ascii="Bookman Old Style" w:hAnsi="Bookman Old Style"/>
              </w:rPr>
            </w:pPr>
            <w:r w:rsidRPr="000B430F">
              <w:rPr>
                <w:rFonts w:ascii="Bookman Old Style" w:hAnsi="Bookman Old Style"/>
              </w:rPr>
              <w:t>Passage</w:t>
            </w:r>
            <w:r>
              <w:rPr>
                <w:rFonts w:ascii="Bookman Old Style" w:hAnsi="Bookman Old Style"/>
              </w:rPr>
              <w:t xml:space="preserve"> du public au privé</w:t>
            </w:r>
          </w:p>
        </w:tc>
        <w:tc>
          <w:tcPr>
            <w:tcW w:w="3240" w:type="dxa"/>
          </w:tcPr>
          <w:p w:rsidR="00196209" w:rsidRPr="00791518" w:rsidRDefault="00196209" w:rsidP="00F51197">
            <w:pPr>
              <w:spacing w:line="480" w:lineRule="auto"/>
              <w:jc w:val="both"/>
              <w:rPr>
                <w:rFonts w:ascii="Bookman Old Style" w:hAnsi="Bookman Old Style"/>
              </w:rPr>
            </w:pPr>
            <w:r w:rsidRPr="00791518">
              <w:rPr>
                <w:rFonts w:ascii="Bookman Old Style" w:hAnsi="Bookman Old Style"/>
              </w:rPr>
              <w:t>- Santé : Pharmacie de l’Indépendance</w:t>
            </w:r>
          </w:p>
          <w:p w:rsidR="00196209" w:rsidRPr="00791518" w:rsidRDefault="00196209" w:rsidP="00F51197">
            <w:pPr>
              <w:spacing w:line="480" w:lineRule="auto"/>
              <w:jc w:val="both"/>
              <w:rPr>
                <w:rFonts w:ascii="Bookman Old Style" w:hAnsi="Bookman Old Style"/>
              </w:rPr>
            </w:pPr>
            <w:r>
              <w:rPr>
                <w:rFonts w:ascii="Bookman Old Style" w:hAnsi="Bookman Old Style"/>
              </w:rPr>
              <w:t xml:space="preserve">- </w:t>
            </w:r>
            <w:r w:rsidRPr="00791518">
              <w:rPr>
                <w:rFonts w:ascii="Bookman Old Style" w:hAnsi="Bookman Old Style"/>
              </w:rPr>
              <w:t>hôtellerie : hôtel Sheraton</w:t>
            </w:r>
          </w:p>
          <w:p w:rsidR="00196209" w:rsidRPr="00791518" w:rsidRDefault="00196209" w:rsidP="00F51197">
            <w:pPr>
              <w:spacing w:line="480" w:lineRule="auto"/>
              <w:jc w:val="both"/>
              <w:rPr>
                <w:rFonts w:ascii="Bookman Old Style" w:hAnsi="Bookman Old Style"/>
              </w:rPr>
            </w:pPr>
          </w:p>
        </w:tc>
      </w:tr>
      <w:tr w:rsidR="00196209" w:rsidRPr="00791518" w:rsidTr="00196209">
        <w:tc>
          <w:tcPr>
            <w:tcW w:w="3764" w:type="dxa"/>
          </w:tcPr>
          <w:p w:rsidR="00196209" w:rsidRPr="00791518" w:rsidRDefault="00196209" w:rsidP="00F51197">
            <w:pPr>
              <w:spacing w:line="480" w:lineRule="auto"/>
              <w:jc w:val="both"/>
              <w:rPr>
                <w:rFonts w:ascii="Bookman Old Style" w:hAnsi="Bookman Old Style"/>
              </w:rPr>
            </w:pPr>
            <w:r w:rsidRPr="00791518">
              <w:rPr>
                <w:rFonts w:ascii="Bookman Old Style" w:hAnsi="Bookman Old Style"/>
              </w:rPr>
              <w:t xml:space="preserve">Externalisation </w:t>
            </w:r>
          </w:p>
        </w:tc>
        <w:tc>
          <w:tcPr>
            <w:tcW w:w="3330" w:type="dxa"/>
          </w:tcPr>
          <w:p w:rsidR="00196209" w:rsidRPr="00791518" w:rsidRDefault="00196209" w:rsidP="00F51197">
            <w:pPr>
              <w:spacing w:line="480" w:lineRule="auto"/>
              <w:jc w:val="both"/>
              <w:rPr>
                <w:rFonts w:ascii="Bookman Old Style" w:hAnsi="Bookman Old Style"/>
              </w:rPr>
            </w:pPr>
            <w:r>
              <w:rPr>
                <w:rFonts w:ascii="Bookman Old Style" w:hAnsi="Bookman Old Style"/>
              </w:rPr>
              <w:t xml:space="preserve">La gestion est d’une organisation publique est </w:t>
            </w:r>
            <w:r w:rsidR="00840CF5">
              <w:rPr>
                <w:rFonts w:ascii="Bookman Old Style" w:hAnsi="Bookman Old Style"/>
              </w:rPr>
              <w:t>transféré</w:t>
            </w:r>
            <w:r>
              <w:rPr>
                <w:rFonts w:ascii="Bookman Old Style" w:hAnsi="Bookman Old Style"/>
              </w:rPr>
              <w:t xml:space="preserve"> </w:t>
            </w:r>
            <w:r w:rsidR="00840CF5">
              <w:rPr>
                <w:rFonts w:ascii="Bookman Old Style" w:hAnsi="Bookman Old Style"/>
              </w:rPr>
              <w:t>au secteur privé</w:t>
            </w:r>
          </w:p>
        </w:tc>
        <w:tc>
          <w:tcPr>
            <w:tcW w:w="3240" w:type="dxa"/>
          </w:tcPr>
          <w:p w:rsidR="00196209" w:rsidRPr="00791518" w:rsidRDefault="00196209" w:rsidP="00F51197">
            <w:pPr>
              <w:spacing w:line="480" w:lineRule="auto"/>
              <w:jc w:val="both"/>
              <w:rPr>
                <w:rFonts w:ascii="Bookman Old Style" w:hAnsi="Bookman Old Style"/>
              </w:rPr>
            </w:pPr>
            <w:r w:rsidRPr="00791518">
              <w:rPr>
                <w:rFonts w:ascii="Bookman Old Style" w:hAnsi="Bookman Old Style"/>
              </w:rPr>
              <w:t>Port de Djibouti, Aéroport, Port de pêche</w:t>
            </w:r>
          </w:p>
          <w:p w:rsidR="00196209" w:rsidRPr="00791518" w:rsidRDefault="00196209" w:rsidP="00F51197">
            <w:pPr>
              <w:spacing w:line="480" w:lineRule="auto"/>
              <w:jc w:val="both"/>
              <w:rPr>
                <w:rFonts w:ascii="Bookman Old Style" w:hAnsi="Bookman Old Style"/>
              </w:rPr>
            </w:pPr>
          </w:p>
          <w:p w:rsidR="00196209" w:rsidRPr="00791518" w:rsidRDefault="00196209" w:rsidP="00F51197">
            <w:pPr>
              <w:spacing w:line="480" w:lineRule="auto"/>
              <w:jc w:val="both"/>
              <w:rPr>
                <w:rFonts w:ascii="Bookman Old Style" w:hAnsi="Bookman Old Style"/>
              </w:rPr>
            </w:pPr>
          </w:p>
        </w:tc>
      </w:tr>
      <w:tr w:rsidR="00196209" w:rsidRPr="00791518" w:rsidTr="00196209">
        <w:trPr>
          <w:trHeight w:val="2555"/>
        </w:trPr>
        <w:tc>
          <w:tcPr>
            <w:tcW w:w="3764" w:type="dxa"/>
          </w:tcPr>
          <w:p w:rsidR="00196209" w:rsidRPr="00791518" w:rsidRDefault="00196209" w:rsidP="00F51197">
            <w:pPr>
              <w:spacing w:line="480" w:lineRule="auto"/>
              <w:jc w:val="both"/>
              <w:rPr>
                <w:rFonts w:ascii="Bookman Old Style" w:hAnsi="Bookman Old Style"/>
              </w:rPr>
            </w:pPr>
            <w:r>
              <w:rPr>
                <w:rFonts w:ascii="Bookman Old Style" w:hAnsi="Bookman Old Style"/>
              </w:rPr>
              <w:t xml:space="preserve"> </w:t>
            </w:r>
            <w:r w:rsidR="00840CF5">
              <w:rPr>
                <w:rFonts w:ascii="Bookman Old Style" w:hAnsi="Bookman Old Style"/>
              </w:rPr>
              <w:t xml:space="preserve">L’organisme Public est géré par l’Etat </w:t>
            </w:r>
          </w:p>
        </w:tc>
        <w:tc>
          <w:tcPr>
            <w:tcW w:w="3330" w:type="dxa"/>
          </w:tcPr>
          <w:p w:rsidR="00196209" w:rsidRPr="00791518" w:rsidRDefault="00840CF5" w:rsidP="00F51197">
            <w:pPr>
              <w:spacing w:line="480" w:lineRule="auto"/>
              <w:jc w:val="both"/>
              <w:rPr>
                <w:rFonts w:ascii="Bookman Old Style" w:hAnsi="Bookman Old Style"/>
              </w:rPr>
            </w:pPr>
            <w:r>
              <w:rPr>
                <w:rFonts w:ascii="Bookman Old Style" w:hAnsi="Bookman Old Style"/>
              </w:rPr>
              <w:t>mais davantage de fonctionnement selon la règle du marché</w:t>
            </w:r>
          </w:p>
        </w:tc>
        <w:tc>
          <w:tcPr>
            <w:tcW w:w="3240" w:type="dxa"/>
          </w:tcPr>
          <w:p w:rsidR="00196209" w:rsidRPr="00791518" w:rsidRDefault="00196209" w:rsidP="00F51197">
            <w:pPr>
              <w:spacing w:line="480" w:lineRule="auto"/>
              <w:jc w:val="both"/>
              <w:rPr>
                <w:rFonts w:ascii="Bookman Old Style" w:hAnsi="Bookman Old Style"/>
              </w:rPr>
            </w:pPr>
            <w:r w:rsidRPr="00791518">
              <w:rPr>
                <w:rFonts w:ascii="Bookman Old Style" w:hAnsi="Bookman Old Style"/>
              </w:rPr>
              <w:t>Etablissements publics de soins</w:t>
            </w:r>
            <w:r w:rsidR="00840CF5">
              <w:rPr>
                <w:rFonts w:ascii="Bookman Old Style" w:hAnsi="Bookman Old Style"/>
              </w:rPr>
              <w:t>, la CERD</w:t>
            </w:r>
          </w:p>
        </w:tc>
      </w:tr>
    </w:tbl>
    <w:p w:rsidR="00196209" w:rsidRDefault="00196209" w:rsidP="00F51197">
      <w:pPr>
        <w:spacing w:line="480" w:lineRule="auto"/>
        <w:jc w:val="both"/>
        <w:rPr>
          <w:rFonts w:ascii="Bookman Old Style" w:hAnsi="Bookman Old Style"/>
        </w:rPr>
      </w:pPr>
    </w:p>
    <w:p w:rsidR="00840CF5" w:rsidRPr="00840CF5" w:rsidRDefault="00840CF5" w:rsidP="00F51197">
      <w:pPr>
        <w:spacing w:line="480" w:lineRule="auto"/>
        <w:jc w:val="both"/>
        <w:rPr>
          <w:rFonts w:ascii="Bookman Old Style" w:hAnsi="Bookman Old Style"/>
          <w:sz w:val="28"/>
          <w:szCs w:val="28"/>
        </w:rPr>
      </w:pPr>
    </w:p>
    <w:p w:rsidR="00840CF5" w:rsidRDefault="00840CF5" w:rsidP="00F51197">
      <w:pPr>
        <w:pStyle w:val="Titre3"/>
        <w:spacing w:line="480" w:lineRule="auto"/>
        <w:jc w:val="both"/>
        <w:rPr>
          <w:rFonts w:ascii="Bookman Old Style" w:hAnsi="Bookman Old Style"/>
          <w:sz w:val="28"/>
          <w:szCs w:val="28"/>
        </w:rPr>
      </w:pPr>
      <w:r w:rsidRPr="00840CF5">
        <w:rPr>
          <w:rFonts w:ascii="Bookman Old Style" w:hAnsi="Bookman Old Style"/>
          <w:sz w:val="28"/>
          <w:szCs w:val="28"/>
        </w:rPr>
        <w:lastRenderedPageBreak/>
        <w:t>2.1 La mise en œuvre limitée de la privatisation des entreprises publiques  à Djibouti</w:t>
      </w:r>
    </w:p>
    <w:p w:rsidR="00840CF5" w:rsidRDefault="00840CF5" w:rsidP="00F51197">
      <w:pPr>
        <w:spacing w:line="480" w:lineRule="auto"/>
      </w:pPr>
    </w:p>
    <w:p w:rsidR="00840CF5" w:rsidRPr="00840CF5" w:rsidRDefault="00840CF5" w:rsidP="00F51197">
      <w:pPr>
        <w:spacing w:line="480" w:lineRule="auto"/>
      </w:pPr>
    </w:p>
    <w:p w:rsidR="00650C95" w:rsidRDefault="007B2D32" w:rsidP="00F51197">
      <w:pPr>
        <w:spacing w:line="480" w:lineRule="auto"/>
        <w:ind w:firstLine="709"/>
        <w:jc w:val="both"/>
        <w:rPr>
          <w:rFonts w:ascii="Bookman Old Style" w:hAnsi="Bookman Old Style"/>
        </w:rPr>
      </w:pPr>
      <w:r w:rsidRPr="00C93404">
        <w:rPr>
          <w:rFonts w:ascii="Bookman Old Style" w:hAnsi="Bookman Old Style"/>
        </w:rPr>
        <w:t>A travers les différentes définitions proposées dans la littérature, la privat</w:t>
      </w:r>
      <w:r>
        <w:rPr>
          <w:rFonts w:ascii="Bookman Old Style" w:hAnsi="Bookman Old Style"/>
        </w:rPr>
        <w:t xml:space="preserve">isation est </w:t>
      </w:r>
      <w:r w:rsidRPr="00C93404">
        <w:rPr>
          <w:rFonts w:ascii="Bookman Old Style" w:hAnsi="Bookman Old Style"/>
        </w:rPr>
        <w:t xml:space="preserve">étroitement liée à la notion de transfert du contrôle de l’entreprise du secteur </w:t>
      </w:r>
      <w:r>
        <w:rPr>
          <w:rFonts w:ascii="Bookman Old Style" w:hAnsi="Bookman Old Style"/>
        </w:rPr>
        <w:t xml:space="preserve">public vers le secteur privé. </w:t>
      </w:r>
      <w:r w:rsidRPr="00C93404">
        <w:rPr>
          <w:rFonts w:ascii="Bookman Old Style" w:hAnsi="Bookman Old Style"/>
        </w:rPr>
        <w:t>Les objecti</w:t>
      </w:r>
      <w:r>
        <w:rPr>
          <w:rFonts w:ascii="Bookman Old Style" w:hAnsi="Bookman Old Style"/>
        </w:rPr>
        <w:t>fs de la privatisation diffèrent</w:t>
      </w:r>
      <w:r w:rsidRPr="00C93404">
        <w:rPr>
          <w:rFonts w:ascii="Bookman Old Style" w:hAnsi="Bookman Old Style"/>
        </w:rPr>
        <w:t xml:space="preserve"> d’un pays à l’autre, selon, le contexte qui lui est propre. Au-delà des partic</w:t>
      </w:r>
      <w:r>
        <w:rPr>
          <w:rFonts w:ascii="Bookman Old Style" w:hAnsi="Bookman Old Style"/>
        </w:rPr>
        <w:t>ularités nationales, deux</w:t>
      </w:r>
      <w:r w:rsidRPr="00C93404">
        <w:rPr>
          <w:rFonts w:ascii="Bookman Old Style" w:hAnsi="Bookman Old Style"/>
        </w:rPr>
        <w:t xml:space="preserve"> objectifs principaux </w:t>
      </w:r>
      <w:r>
        <w:rPr>
          <w:rFonts w:ascii="Bookman Old Style" w:hAnsi="Bookman Old Style"/>
        </w:rPr>
        <w:t xml:space="preserve"> sont souvent assignés à </w:t>
      </w:r>
      <w:r w:rsidRPr="00C93404">
        <w:rPr>
          <w:rFonts w:ascii="Bookman Old Style" w:hAnsi="Bookman Old Style"/>
        </w:rPr>
        <w:t>la privatisation</w:t>
      </w:r>
      <w:r>
        <w:rPr>
          <w:rFonts w:ascii="Bookman Old Style" w:hAnsi="Bookman Old Style"/>
        </w:rPr>
        <w:t xml:space="preserve">. Premièrement, la privatisation </w:t>
      </w:r>
      <w:r w:rsidRPr="00C93404">
        <w:rPr>
          <w:rFonts w:ascii="Bookman Old Style" w:hAnsi="Bookman Old Style"/>
        </w:rPr>
        <w:t xml:space="preserve"> se justifie par l’efficacité supérieure supposée des opérations productives réalisées dans les cadres des entreprises devenues privées. La propriété privée repose sur un principe économique simple : la recherche du profit conduit le chef d’entreprise tout d’abord à répondre aux désirs des consommateurs, ensuite à stimuler le progrès technologique, enfin à rechercher une plus grande efficacité et à réduire les coûts des unités produites.</w:t>
      </w:r>
      <w:r w:rsidR="00650C95" w:rsidRPr="00650C95">
        <w:rPr>
          <w:rFonts w:ascii="Bookman Old Style" w:hAnsi="Bookman Old Style"/>
        </w:rPr>
        <w:t xml:space="preserve"> </w:t>
      </w:r>
    </w:p>
    <w:p w:rsidR="00650C95" w:rsidRDefault="00650C95" w:rsidP="00F51197">
      <w:pPr>
        <w:spacing w:line="480" w:lineRule="auto"/>
        <w:ind w:firstLine="709"/>
        <w:jc w:val="both"/>
        <w:rPr>
          <w:rFonts w:ascii="Bookman Old Style" w:hAnsi="Bookman Old Style"/>
        </w:rPr>
      </w:pPr>
      <w:r w:rsidRPr="00C93404">
        <w:rPr>
          <w:rFonts w:ascii="Bookman Old Style" w:hAnsi="Bookman Old Style"/>
        </w:rPr>
        <w:t>Deuxièmement, la politique de privatisation s’analyse comme l’une des réponses aux problèmes structurels des déficits budgétaires de nombreux pays. L’assainissement des finances publiques con</w:t>
      </w:r>
      <w:r>
        <w:rPr>
          <w:rFonts w:ascii="Bookman Old Style" w:hAnsi="Bookman Old Style"/>
        </w:rPr>
        <w:t>stitue l’un des objectifs les plus pat</w:t>
      </w:r>
      <w:r w:rsidRPr="00FE0430">
        <w:rPr>
          <w:rFonts w:ascii="Bookman Old Style" w:hAnsi="Bookman Old Style"/>
        </w:rPr>
        <w:t>ents des privatisations</w:t>
      </w:r>
      <w:r>
        <w:rPr>
          <w:rFonts w:ascii="Bookman Old Style" w:hAnsi="Bookman Old Style"/>
        </w:rPr>
        <w:t xml:space="preserve">. </w:t>
      </w:r>
      <w:r w:rsidRPr="00C93404">
        <w:rPr>
          <w:rFonts w:ascii="Bookman Old Style" w:hAnsi="Bookman Old Style"/>
        </w:rPr>
        <w:t>La cess</w:t>
      </w:r>
      <w:r>
        <w:rPr>
          <w:rFonts w:ascii="Bookman Old Style" w:hAnsi="Bookman Old Style"/>
        </w:rPr>
        <w:t xml:space="preserve">ion exerce un effet direct sur </w:t>
      </w:r>
      <w:r w:rsidRPr="00C93404">
        <w:rPr>
          <w:rFonts w:ascii="Bookman Old Style" w:hAnsi="Bookman Old Style"/>
        </w:rPr>
        <w:t>la situatio</w:t>
      </w:r>
      <w:r>
        <w:rPr>
          <w:rFonts w:ascii="Bookman Old Style" w:hAnsi="Bookman Old Style"/>
        </w:rPr>
        <w:t xml:space="preserve">n financière de l’Etat. Par le </w:t>
      </w:r>
      <w:r w:rsidRPr="00C93404">
        <w:rPr>
          <w:rFonts w:ascii="Bookman Old Style" w:hAnsi="Bookman Old Style"/>
        </w:rPr>
        <w:t>transfert au secteur privé de ses participations dans les entreprises, l’Etat se libère des obligations de financement à l’égard de ces dernières, notamment à travers des dotations budgétai</w:t>
      </w:r>
      <w:r>
        <w:rPr>
          <w:rFonts w:ascii="Bookman Old Style" w:hAnsi="Bookman Old Style"/>
        </w:rPr>
        <w:t xml:space="preserve">res sous forme de subventions. En ce sens la privatisation, en </w:t>
      </w:r>
      <w:r>
        <w:rPr>
          <w:rFonts w:ascii="Bookman Old Style" w:hAnsi="Bookman Old Style"/>
        </w:rPr>
        <w:lastRenderedPageBreak/>
        <w:t xml:space="preserve">diminuant </w:t>
      </w:r>
      <w:r w:rsidRPr="00C93404">
        <w:rPr>
          <w:rFonts w:ascii="Bookman Old Style" w:hAnsi="Bookman Old Style"/>
        </w:rPr>
        <w:t xml:space="preserve">certaines dépenses budgétaires, a un effet positif sur l’équilibre </w:t>
      </w:r>
      <w:r>
        <w:rPr>
          <w:rFonts w:ascii="Bookman Old Style" w:hAnsi="Bookman Old Style"/>
        </w:rPr>
        <w:t>des finances publiques. En outre</w:t>
      </w:r>
      <w:r w:rsidRPr="00C93404">
        <w:rPr>
          <w:rFonts w:ascii="Bookman Old Style" w:hAnsi="Bookman Old Style"/>
        </w:rPr>
        <w:t xml:space="preserve"> en raison des contraintes budgétaires de l’Etat dans la plupart des pays, les subventions accordées aux entreprises publiques devenaient de plus en plus faibles et ne correspondaient plus aux besoins de financement de ces dernières, ce qui p</w:t>
      </w:r>
      <w:r>
        <w:rPr>
          <w:rFonts w:ascii="Bookman Old Style" w:hAnsi="Bookman Old Style"/>
        </w:rPr>
        <w:t>eut constituer un handicap pour</w:t>
      </w:r>
      <w:r w:rsidRPr="00C93404">
        <w:rPr>
          <w:rFonts w:ascii="Bookman Old Style" w:hAnsi="Bookman Old Style"/>
        </w:rPr>
        <w:t xml:space="preserve"> leur développement et leur position concurrentielle. Une fois privatisées, ces entreprises pourront rechercher le financement nécess</w:t>
      </w:r>
      <w:r>
        <w:rPr>
          <w:rFonts w:ascii="Bookman Old Style" w:hAnsi="Bookman Old Style"/>
        </w:rPr>
        <w:t>aire en recourant directement au</w:t>
      </w:r>
      <w:r w:rsidRPr="00C93404">
        <w:rPr>
          <w:rFonts w:ascii="Bookman Old Style" w:hAnsi="Bookman Old Style"/>
        </w:rPr>
        <w:t xml:space="preserve"> marché des capitaux. Cela suppose notamment qu’elles affichent une situation financière saine et attractive, ce qui nécessite dans certains cas une restructuration financière importante préalablement à leur privatisation. </w:t>
      </w:r>
    </w:p>
    <w:p w:rsidR="00840CF5" w:rsidRDefault="00840CF5" w:rsidP="00F51197">
      <w:pPr>
        <w:spacing w:line="480" w:lineRule="auto"/>
        <w:ind w:firstLine="709"/>
        <w:jc w:val="both"/>
        <w:rPr>
          <w:rFonts w:ascii="Bookman Old Style" w:hAnsi="Bookman Old Style"/>
        </w:rPr>
      </w:pPr>
      <w:r>
        <w:rPr>
          <w:rFonts w:ascii="Bookman Old Style" w:hAnsi="Bookman Old Style"/>
          <w:lang w:val="fr-BE" w:eastAsia="ja-JP"/>
        </w:rPr>
        <w:t>Encore faut</w:t>
      </w:r>
      <w:r w:rsidRPr="008F6D99">
        <w:rPr>
          <w:rFonts w:ascii="Bookman Old Style" w:hAnsi="Bookman Old Style"/>
          <w:lang w:val="fr-BE" w:eastAsia="ja-JP"/>
        </w:rPr>
        <w:t xml:space="preserve">-il trouver des candidats pour reprendre les entités à privatiser. </w:t>
      </w:r>
      <w:r>
        <w:rPr>
          <w:rFonts w:ascii="Bookman Old Style" w:hAnsi="Bookman Old Style"/>
          <w:szCs w:val="28"/>
        </w:rPr>
        <w:t xml:space="preserve">Dans les pays en développement, </w:t>
      </w:r>
      <w:r>
        <w:rPr>
          <w:rFonts w:ascii="Bookman Old Style" w:hAnsi="Bookman Old Style"/>
          <w:lang w:val="fr-BE" w:eastAsia="ja-JP"/>
        </w:rPr>
        <w:t xml:space="preserve">on a </w:t>
      </w:r>
      <w:r w:rsidRPr="005114BF">
        <w:rPr>
          <w:rFonts w:ascii="Bookman Old Style" w:hAnsi="Bookman Old Style"/>
          <w:szCs w:val="28"/>
        </w:rPr>
        <w:t xml:space="preserve">trop tendance à penser qu’il </w:t>
      </w:r>
      <w:r>
        <w:rPr>
          <w:rFonts w:ascii="Bookman Old Style" w:hAnsi="Bookman Old Style"/>
          <w:szCs w:val="28"/>
        </w:rPr>
        <w:t xml:space="preserve">suffit de privatiser </w:t>
      </w:r>
      <w:r w:rsidRPr="005114BF">
        <w:rPr>
          <w:rFonts w:ascii="Bookman Old Style" w:hAnsi="Bookman Old Style"/>
          <w:szCs w:val="28"/>
        </w:rPr>
        <w:t xml:space="preserve">pour que les investisseurs </w:t>
      </w:r>
      <w:r>
        <w:rPr>
          <w:rFonts w:ascii="Bookman Old Style" w:hAnsi="Bookman Old Style"/>
          <w:szCs w:val="28"/>
        </w:rPr>
        <w:t xml:space="preserve">étrangers </w:t>
      </w:r>
      <w:r w:rsidRPr="005114BF">
        <w:rPr>
          <w:rFonts w:ascii="Bookman Old Style" w:hAnsi="Bookman Old Style"/>
          <w:szCs w:val="28"/>
        </w:rPr>
        <w:t xml:space="preserve">arrivent massivement. </w:t>
      </w:r>
      <w:r w:rsidRPr="005114BF">
        <w:rPr>
          <w:rFonts w:ascii="Bookman Old Style" w:hAnsi="Bookman Old Style"/>
        </w:rPr>
        <w:t xml:space="preserve">Les investisseurs qui acceptent de venir </w:t>
      </w:r>
      <w:r>
        <w:rPr>
          <w:rFonts w:ascii="Bookman Old Style" w:hAnsi="Bookman Old Style"/>
        </w:rPr>
        <w:t xml:space="preserve">dans un pays en développement </w:t>
      </w:r>
      <w:r w:rsidRPr="005114BF">
        <w:rPr>
          <w:rFonts w:ascii="Bookman Old Style" w:hAnsi="Bookman Old Style"/>
        </w:rPr>
        <w:t xml:space="preserve">font un choix stratégique fondamental (produire à moindre coût, </w:t>
      </w:r>
      <w:r>
        <w:rPr>
          <w:rFonts w:ascii="Bookman Old Style" w:hAnsi="Bookman Old Style"/>
        </w:rPr>
        <w:t xml:space="preserve">profiter du </w:t>
      </w:r>
      <w:r w:rsidRPr="005114BF">
        <w:rPr>
          <w:rFonts w:ascii="Bookman Old Style" w:hAnsi="Bookman Old Style"/>
        </w:rPr>
        <w:t xml:space="preserve">potentiel de croissance des marchés du pays d’accueil, </w:t>
      </w:r>
      <w:r>
        <w:rPr>
          <w:rFonts w:ascii="Bookman Old Style" w:hAnsi="Bookman Old Style"/>
        </w:rPr>
        <w:t xml:space="preserve">de </w:t>
      </w:r>
      <w:r w:rsidRPr="005114BF">
        <w:rPr>
          <w:rFonts w:ascii="Bookman Old Style" w:hAnsi="Bookman Old Style"/>
        </w:rPr>
        <w:t>l’existence des compéte</w:t>
      </w:r>
      <w:r>
        <w:rPr>
          <w:rFonts w:ascii="Bookman Old Style" w:hAnsi="Bookman Old Style"/>
        </w:rPr>
        <w:t>nces particulières en prenant en compte le</w:t>
      </w:r>
      <w:r w:rsidRPr="005114BF">
        <w:rPr>
          <w:rFonts w:ascii="Bookman Old Style" w:hAnsi="Bookman Old Style"/>
        </w:rPr>
        <w:t xml:space="preserve"> degré d’exposition des risques en tous genres, etc.).</w:t>
      </w:r>
      <w:r>
        <w:rPr>
          <w:rFonts w:ascii="Bookman Old Style" w:hAnsi="Bookman Old Style"/>
        </w:rPr>
        <w:t xml:space="preserve"> </w:t>
      </w:r>
    </w:p>
    <w:p w:rsidR="00840CF5" w:rsidRDefault="00840CF5" w:rsidP="00F51197">
      <w:pPr>
        <w:spacing w:line="480" w:lineRule="auto"/>
        <w:ind w:firstLine="706"/>
        <w:jc w:val="both"/>
        <w:rPr>
          <w:rFonts w:ascii="Bookman Old Style" w:hAnsi="Bookman Old Style"/>
        </w:rPr>
      </w:pPr>
      <w:r>
        <w:rPr>
          <w:rFonts w:ascii="Bookman Old Style" w:hAnsi="Bookman Old Style"/>
          <w:lang w:val="fr-BE" w:eastAsia="ja-JP"/>
        </w:rPr>
        <w:t xml:space="preserve">A Djibouti, l’objectif du Gouvernement était d’abord d’améliorer la performance globale de ces entreprises publiques en les rendant plus rentables. </w:t>
      </w:r>
      <w:r>
        <w:rPr>
          <w:rFonts w:ascii="Bookman Old Style" w:hAnsi="Bookman Old Style"/>
        </w:rPr>
        <w:t xml:space="preserve">Plusieurs des grandes entreprises publiques, en particulier les services de l’eau et de l’électricité, se caractérisent par la faible qualité de leur service, avec des interruptions occasionnelles de services et une situation financière en détérioration. Pour redresser la situation de ces </w:t>
      </w:r>
      <w:r>
        <w:rPr>
          <w:rFonts w:ascii="Bookman Old Style" w:hAnsi="Bookman Old Style"/>
        </w:rPr>
        <w:lastRenderedPageBreak/>
        <w:t>entreprises, le Gouvernement a mis en œuvre un programme de privatisation. Plusieurs textes réglementaires ont été élaborés entre 1998 et 1999. Il s’agit notamment :</w:t>
      </w:r>
    </w:p>
    <w:p w:rsidR="00840CF5" w:rsidRDefault="00840CF5" w:rsidP="00F51197">
      <w:pPr>
        <w:numPr>
          <w:ilvl w:val="0"/>
          <w:numId w:val="1"/>
        </w:numPr>
        <w:spacing w:line="480" w:lineRule="auto"/>
        <w:jc w:val="both"/>
        <w:rPr>
          <w:rFonts w:ascii="Bookman Old Style" w:hAnsi="Bookman Old Style"/>
        </w:rPr>
      </w:pPr>
      <w:r>
        <w:rPr>
          <w:rFonts w:ascii="Bookman Old Style" w:hAnsi="Bookman Old Style"/>
        </w:rPr>
        <w:t>de la loi du 11 mars 1998 portant sur la réforme des sociétés d’Etat et des établissements publics à caractère industriel et commercial,</w:t>
      </w:r>
    </w:p>
    <w:p w:rsidR="00840CF5" w:rsidRPr="00513060" w:rsidRDefault="00840CF5" w:rsidP="00F51197">
      <w:pPr>
        <w:numPr>
          <w:ilvl w:val="0"/>
          <w:numId w:val="1"/>
        </w:numPr>
        <w:spacing w:line="480" w:lineRule="auto"/>
        <w:jc w:val="both"/>
        <w:rPr>
          <w:rFonts w:ascii="Bookman Old Style" w:hAnsi="Bookman Old Style"/>
        </w:rPr>
      </w:pPr>
      <w:r>
        <w:rPr>
          <w:rFonts w:ascii="Bookman Old Style" w:hAnsi="Bookman Old Style"/>
        </w:rPr>
        <w:t xml:space="preserve"> la loi du 21 janvier 1998 portant sur la définition et la gestion des établissements publics à caractère indu</w:t>
      </w:r>
      <w:r w:rsidR="00B72665">
        <w:rPr>
          <w:rFonts w:ascii="Bookman Old Style" w:hAnsi="Bookman Old Style"/>
        </w:rPr>
        <w:t xml:space="preserve">striel et commercial, ainsi que </w:t>
      </w:r>
      <w:r>
        <w:rPr>
          <w:rFonts w:ascii="Bookman Old Style" w:hAnsi="Bookman Old Style"/>
        </w:rPr>
        <w:t>- le décret du 08 juin 1999 portant sur la réforme des sociétés d’économie mixte et des établissements publics à caractère industriel et commercial.</w:t>
      </w:r>
    </w:p>
    <w:p w:rsidR="00840CF5" w:rsidRPr="00DF4E1F" w:rsidRDefault="00840CF5" w:rsidP="00F51197">
      <w:pPr>
        <w:spacing w:line="480" w:lineRule="auto"/>
        <w:jc w:val="both"/>
        <w:rPr>
          <w:rFonts w:ascii="Bookman Old Style" w:hAnsi="Bookman Old Style"/>
        </w:rPr>
      </w:pPr>
      <w:r w:rsidRPr="00DF4E1F">
        <w:rPr>
          <w:rFonts w:ascii="Bookman Old Style" w:hAnsi="Bookman Old Style"/>
          <w:lang w:val="fr-BE" w:eastAsia="ja-JP"/>
        </w:rPr>
        <w:t xml:space="preserve">Ce programme de privatisation visait, en second lieu, la recherche d’avantages macroéconomiques. </w:t>
      </w:r>
      <w:r w:rsidRPr="00DF4E1F">
        <w:rPr>
          <w:rFonts w:ascii="Bookman Old Style" w:hAnsi="Bookman Old Style"/>
        </w:rPr>
        <w:t xml:space="preserve">Le transfert de certaines organisations publiques au secteur privé est sensé contribuer au développement économique par l’amélioration des activités et des services de ces sociétés, par la modernisation des méthodes de travail et par les répercussions positives attendues sur les conditions de travail et le niveau de vie des travailleurs. La participation du privé dans certains services publics tels que l’énergie, l’eau, les transports ou les télécommunications devait répondre aux besoins de la population et des acteurs économiques en particulier. </w:t>
      </w:r>
      <w:r w:rsidRPr="00DF4E1F">
        <w:rPr>
          <w:rFonts w:ascii="Bookman Old Style" w:hAnsi="Bookman Old Style"/>
          <w:lang w:val="fr-BE" w:eastAsia="ja-JP"/>
        </w:rPr>
        <w:t xml:space="preserve">Les services publics marchands </w:t>
      </w:r>
      <w:r w:rsidRPr="00DF4E1F">
        <w:rPr>
          <w:rFonts w:ascii="Bookman Old Style" w:hAnsi="Bookman Old Style"/>
        </w:rPr>
        <w:t xml:space="preserve">restent particulièrement chers à Djibouti. L’électricité est sans doute le facteur le plus handicapant pour les entreprises. </w:t>
      </w:r>
      <w:r w:rsidRPr="00DF4E1F">
        <w:rPr>
          <w:rFonts w:ascii="Bookman Old Style" w:hAnsi="Bookman Old Style"/>
          <w:lang w:val="fr-BE" w:eastAsia="ja-JP"/>
        </w:rPr>
        <w:t xml:space="preserve">La stratégie du Gouvernement repose sur le désengagement de l’Etat et  l’implication du secteur privé dans la gestion et le financement des services publics. Une telle stratégie devrait avoir à terme deux  impacts bénéfiques : l’amélioration de la productivité dans ce secteur grâce à une </w:t>
      </w:r>
      <w:r w:rsidRPr="00DF4E1F">
        <w:rPr>
          <w:rFonts w:ascii="Bookman Old Style" w:hAnsi="Bookman Old Style"/>
          <w:lang w:val="fr-BE" w:eastAsia="ja-JP"/>
        </w:rPr>
        <w:lastRenderedPageBreak/>
        <w:t>meilleure gestion et au transfert de technologie et de savoir-faire, et à une libération de ressources publiques limitées et la réduction de l’endettement public global à travers le recours au financement privé (Hassan, 2004, p. 32).</w:t>
      </w:r>
      <w:r w:rsidRPr="00DF4E1F">
        <w:rPr>
          <w:rFonts w:ascii="Bookman Old Style" w:hAnsi="Bookman Old Style"/>
        </w:rPr>
        <w:t xml:space="preserve"> Le transfert des organisations publiques vers le secteur privé devait </w:t>
      </w:r>
      <w:r>
        <w:rPr>
          <w:rFonts w:ascii="Bookman Old Style" w:hAnsi="Bookman Old Style"/>
        </w:rPr>
        <w:t xml:space="preserve">aussi </w:t>
      </w:r>
      <w:r w:rsidRPr="00DF4E1F">
        <w:rPr>
          <w:rFonts w:ascii="Bookman Old Style" w:hAnsi="Bookman Old Style"/>
        </w:rPr>
        <w:t xml:space="preserve">contribuer à diminuer la charge financière que constituent ces sociétés pour le budget de l’Etat. </w:t>
      </w:r>
    </w:p>
    <w:p w:rsidR="00650C95" w:rsidRDefault="00840CF5" w:rsidP="00F51197">
      <w:pPr>
        <w:spacing w:line="480" w:lineRule="auto"/>
        <w:ind w:firstLine="706"/>
        <w:jc w:val="both"/>
        <w:rPr>
          <w:rFonts w:ascii="Bookman Old Style" w:hAnsi="Bookman Old Style"/>
          <w:szCs w:val="28"/>
        </w:rPr>
      </w:pPr>
      <w:r w:rsidRPr="005114BF">
        <w:rPr>
          <w:rFonts w:ascii="Bookman Old Style" w:hAnsi="Bookman Old Style"/>
          <w:szCs w:val="28"/>
        </w:rPr>
        <w:t>Par la privatisation</w:t>
      </w:r>
      <w:r>
        <w:rPr>
          <w:rFonts w:ascii="Bookman Old Style" w:hAnsi="Bookman Old Style"/>
          <w:szCs w:val="28"/>
        </w:rPr>
        <w:t xml:space="preserve"> des entreprises publiques, le G</w:t>
      </w:r>
      <w:r w:rsidRPr="005114BF">
        <w:rPr>
          <w:rFonts w:ascii="Bookman Old Style" w:hAnsi="Bookman Old Style"/>
          <w:szCs w:val="28"/>
        </w:rPr>
        <w:t>ouvernement djiboutien misait également sur le développement du sect</w:t>
      </w:r>
      <w:r>
        <w:rPr>
          <w:rFonts w:ascii="Bookman Old Style" w:hAnsi="Bookman Old Style"/>
          <w:szCs w:val="28"/>
        </w:rPr>
        <w:t>eur privé et notamment pour attirer l</w:t>
      </w:r>
      <w:r w:rsidRPr="005114BF">
        <w:rPr>
          <w:rFonts w:ascii="Bookman Old Style" w:hAnsi="Bookman Old Style"/>
          <w:szCs w:val="28"/>
        </w:rPr>
        <w:t xml:space="preserve">es investisseurs étrangers sensés </w:t>
      </w:r>
      <w:r w:rsidR="00650C95" w:rsidRPr="005114BF">
        <w:rPr>
          <w:rFonts w:ascii="Bookman Old Style" w:hAnsi="Bookman Old Style"/>
          <w:szCs w:val="28"/>
        </w:rPr>
        <w:t>apport</w:t>
      </w:r>
      <w:r w:rsidR="00650C95">
        <w:rPr>
          <w:rFonts w:ascii="Bookman Old Style" w:hAnsi="Bookman Old Style"/>
          <w:szCs w:val="28"/>
        </w:rPr>
        <w:t>er</w:t>
      </w:r>
      <w:r w:rsidRPr="005114BF">
        <w:rPr>
          <w:rFonts w:ascii="Bookman Old Style" w:hAnsi="Bookman Old Style"/>
          <w:szCs w:val="28"/>
        </w:rPr>
        <w:t xml:space="preserve"> de l’argent fr</w:t>
      </w:r>
      <w:r>
        <w:rPr>
          <w:rFonts w:ascii="Bookman Old Style" w:hAnsi="Bookman Old Style"/>
          <w:szCs w:val="28"/>
        </w:rPr>
        <w:t>ais et de nouvelles méthodes de</w:t>
      </w:r>
      <w:r w:rsidRPr="005114BF">
        <w:rPr>
          <w:rFonts w:ascii="Bookman Old Style" w:hAnsi="Bookman Old Style"/>
          <w:szCs w:val="28"/>
        </w:rPr>
        <w:t xml:space="preserve"> management.</w:t>
      </w:r>
      <w:r w:rsidRPr="005114BF">
        <w:rPr>
          <w:rFonts w:ascii="Bookman Old Style" w:hAnsi="Bookman Old Style"/>
        </w:rPr>
        <w:t xml:space="preserve"> L’investissement direct étranger (IDE) </w:t>
      </w:r>
      <w:r>
        <w:rPr>
          <w:rFonts w:ascii="Bookman Old Style" w:hAnsi="Bookman Old Style"/>
        </w:rPr>
        <w:t xml:space="preserve">est </w:t>
      </w:r>
      <w:r w:rsidRPr="005114BF">
        <w:rPr>
          <w:rFonts w:ascii="Bookman Old Style" w:hAnsi="Bookman Old Style"/>
        </w:rPr>
        <w:t>souvent présenté comme la panacée de problèmes économiques des pays pauvres</w:t>
      </w:r>
      <w:r w:rsidRPr="005114BF">
        <w:rPr>
          <w:rFonts w:ascii="Bookman Old Style" w:hAnsi="Bookman Old Style"/>
          <w:szCs w:val="28"/>
        </w:rPr>
        <w:t xml:space="preserve">. </w:t>
      </w:r>
      <w:r w:rsidRPr="005114BF">
        <w:rPr>
          <w:rFonts w:ascii="Bookman Old Style" w:hAnsi="Bookman Old Style"/>
        </w:rPr>
        <w:t>Par rapport aux entreprises nationales, les entreprises multinationales étrangères disposent en général de divers atouts : savoir-faire technologique, facilité de financement, méthodes modernes de management. C’est d’ailleurs la raison pour laquelle de nombreux gouvernements ont mis en place des polit</w:t>
      </w:r>
      <w:r>
        <w:rPr>
          <w:rFonts w:ascii="Bookman Old Style" w:hAnsi="Bookman Old Style"/>
        </w:rPr>
        <w:t>iques destinées à les attirer. La privatisation des entreprises publiques constituait un signal de l’engagement du Gouvernement vis-à-vis du secteur privé dans le but d’attirer l’investissement direct étranger.</w:t>
      </w:r>
      <w:r w:rsidR="00650C95">
        <w:rPr>
          <w:rFonts w:ascii="Bookman Old Style" w:hAnsi="Bookman Old Style"/>
        </w:rPr>
        <w:t xml:space="preserve"> </w:t>
      </w:r>
      <w:r>
        <w:rPr>
          <w:rFonts w:ascii="Bookman Old Style" w:hAnsi="Bookman Old Style"/>
          <w:szCs w:val="28"/>
        </w:rPr>
        <w:t>Mais e</w:t>
      </w:r>
      <w:r w:rsidRPr="005114BF">
        <w:rPr>
          <w:rFonts w:ascii="Bookman Old Style" w:hAnsi="Bookman Old Style"/>
          <w:szCs w:val="28"/>
        </w:rPr>
        <w:t xml:space="preserve">n dépit de la mise en place d’un programme de privatisation, l’impact de privatisation reste limité à Djibouti. Seules deux petites entreprises ont trouvé des repreneurs. Il s’agit de la Pharmacie de l’indépendance acquise par son directeur et de l’Hôtel Sheraton, vendu par l’Etat à un commerçant djiboutien. </w:t>
      </w:r>
    </w:p>
    <w:p w:rsidR="00840CF5" w:rsidRPr="00650C95" w:rsidRDefault="00840CF5" w:rsidP="00F51197">
      <w:pPr>
        <w:spacing w:line="480" w:lineRule="auto"/>
        <w:ind w:firstLine="706"/>
        <w:jc w:val="both"/>
        <w:rPr>
          <w:rFonts w:ascii="Bookman Old Style" w:hAnsi="Bookman Old Style"/>
        </w:rPr>
      </w:pPr>
      <w:r>
        <w:rPr>
          <w:rFonts w:ascii="Bookman Old Style" w:hAnsi="Bookman Old Style"/>
          <w:szCs w:val="28"/>
        </w:rPr>
        <w:t>E</w:t>
      </w:r>
      <w:r w:rsidRPr="005114BF">
        <w:rPr>
          <w:rFonts w:ascii="Bookman Old Style" w:hAnsi="Bookman Old Style"/>
          <w:szCs w:val="28"/>
        </w:rPr>
        <w:t>n Afrique subsaharienne, la plupart du temps les privatisations se déroulent dans un con</w:t>
      </w:r>
      <w:r>
        <w:rPr>
          <w:rFonts w:ascii="Bookman Old Style" w:hAnsi="Bookman Old Style"/>
          <w:szCs w:val="28"/>
        </w:rPr>
        <w:t>texte de ressources limitées au</w:t>
      </w:r>
      <w:r w:rsidRPr="005114BF">
        <w:rPr>
          <w:rFonts w:ascii="Bookman Old Style" w:hAnsi="Bookman Old Style"/>
          <w:szCs w:val="28"/>
        </w:rPr>
        <w:t xml:space="preserve"> sein d’économie de </w:t>
      </w:r>
      <w:r w:rsidRPr="005114BF">
        <w:rPr>
          <w:rFonts w:ascii="Bookman Old Style" w:hAnsi="Bookman Old Style"/>
          <w:szCs w:val="28"/>
        </w:rPr>
        <w:lastRenderedPageBreak/>
        <w:t>petite taille</w:t>
      </w:r>
      <w:r w:rsidR="00650C95">
        <w:rPr>
          <w:rFonts w:ascii="Bookman Old Style" w:hAnsi="Bookman Old Style"/>
          <w:szCs w:val="28"/>
        </w:rPr>
        <w:t xml:space="preserve">. </w:t>
      </w:r>
      <w:r w:rsidRPr="005114BF">
        <w:rPr>
          <w:rFonts w:ascii="Bookman Old Style" w:hAnsi="Bookman Old Style"/>
          <w:szCs w:val="28"/>
        </w:rPr>
        <w:t>Par  ailleurs, dans un contexte où il est déjà difficile de mobiliser des capitaux privés étrangers, il est encore plus incertain d’attirer des repreneurs d’entreprises publ</w:t>
      </w:r>
      <w:r>
        <w:rPr>
          <w:rFonts w:ascii="Bookman Old Style" w:hAnsi="Bookman Old Style"/>
          <w:szCs w:val="28"/>
        </w:rPr>
        <w:t xml:space="preserve">iques. </w:t>
      </w:r>
      <w:r w:rsidRPr="005114BF">
        <w:rPr>
          <w:rFonts w:ascii="Bookman Old Style" w:hAnsi="Bookman Old Style"/>
          <w:szCs w:val="28"/>
        </w:rPr>
        <w:t xml:space="preserve">A Djibouti, la </w:t>
      </w:r>
      <w:r>
        <w:rPr>
          <w:rFonts w:ascii="Bookman Old Style" w:hAnsi="Bookman Old Style"/>
          <w:szCs w:val="28"/>
        </w:rPr>
        <w:t xml:space="preserve">petite </w:t>
      </w:r>
      <w:r w:rsidRPr="005114BF">
        <w:rPr>
          <w:rFonts w:ascii="Bookman Old Style" w:hAnsi="Bookman Old Style"/>
          <w:szCs w:val="28"/>
        </w:rPr>
        <w:t>taille de l’économie peut rendre la privatisation peu attractive.</w:t>
      </w:r>
      <w:r>
        <w:rPr>
          <w:rFonts w:ascii="Bookman Old Style" w:hAnsi="Bookman Old Style"/>
          <w:szCs w:val="28"/>
        </w:rPr>
        <w:t xml:space="preserve"> Mais</w:t>
      </w:r>
      <w:r w:rsidRPr="005114BF">
        <w:rPr>
          <w:rFonts w:ascii="Bookman Old Style" w:hAnsi="Bookman Old Style"/>
          <w:szCs w:val="28"/>
        </w:rPr>
        <w:t xml:space="preserve"> </w:t>
      </w:r>
      <w:r>
        <w:rPr>
          <w:rFonts w:ascii="Bookman Old Style" w:hAnsi="Bookman Old Style"/>
          <w:szCs w:val="28"/>
        </w:rPr>
        <w:t>il faut aussi souligner que b</w:t>
      </w:r>
      <w:r w:rsidRPr="005114BF">
        <w:rPr>
          <w:rFonts w:ascii="Bookman Old Style" w:hAnsi="Bookman Old Style"/>
          <w:szCs w:val="28"/>
        </w:rPr>
        <w:t xml:space="preserve">eaucoup d’entreprises publiques n’avaient </w:t>
      </w:r>
      <w:r>
        <w:rPr>
          <w:rFonts w:ascii="Bookman Old Style" w:hAnsi="Bookman Old Style"/>
          <w:szCs w:val="28"/>
        </w:rPr>
        <w:t>aussi aucune chance de fonctionner</w:t>
      </w:r>
      <w:r w:rsidRPr="005114BF">
        <w:rPr>
          <w:rFonts w:ascii="Bookman Old Style" w:hAnsi="Bookman Old Style"/>
          <w:szCs w:val="28"/>
        </w:rPr>
        <w:t xml:space="preserve"> même après injection de capitaux : la Laiterie de Djibouti, l’usine de production de l’eau de Tadjourah et la société nationale des aliments de bétail (SAB) ont déposé le </w:t>
      </w:r>
      <w:r>
        <w:rPr>
          <w:rFonts w:ascii="Bookman Old Style" w:hAnsi="Bookman Old Style"/>
          <w:szCs w:val="28"/>
        </w:rPr>
        <w:t>bilan en 1999. Ces entreprises ont été</w:t>
      </w:r>
      <w:r w:rsidRPr="005114BF">
        <w:rPr>
          <w:rFonts w:ascii="Bookman Old Style" w:hAnsi="Bookman Old Style"/>
          <w:szCs w:val="28"/>
        </w:rPr>
        <w:t xml:space="preserve"> créées </w:t>
      </w:r>
      <w:r>
        <w:rPr>
          <w:rFonts w:ascii="Bookman Old Style" w:hAnsi="Bookman Old Style"/>
          <w:szCs w:val="28"/>
        </w:rPr>
        <w:t>au</w:t>
      </w:r>
      <w:r w:rsidRPr="005114BF">
        <w:rPr>
          <w:rFonts w:ascii="Bookman Old Style" w:hAnsi="Bookman Old Style"/>
          <w:szCs w:val="28"/>
        </w:rPr>
        <w:t xml:space="preserve"> début des années 1980 dans le but de substituer une production nationale aux importations</w:t>
      </w:r>
      <w:r>
        <w:rPr>
          <w:rFonts w:ascii="Bookman Old Style" w:hAnsi="Bookman Old Style"/>
          <w:szCs w:val="28"/>
        </w:rPr>
        <w:t>. Cependant, l</w:t>
      </w:r>
      <w:r w:rsidR="00B72665">
        <w:rPr>
          <w:rFonts w:ascii="Bookman Old Style" w:hAnsi="Bookman Old Style"/>
          <w:szCs w:val="28"/>
        </w:rPr>
        <w:t>a fiabilité économique de</w:t>
      </w:r>
      <w:r w:rsidRPr="005114BF">
        <w:rPr>
          <w:rFonts w:ascii="Bookman Old Style" w:hAnsi="Bookman Old Style"/>
          <w:szCs w:val="28"/>
        </w:rPr>
        <w:t xml:space="preserve"> ces p</w:t>
      </w:r>
      <w:r>
        <w:rPr>
          <w:rFonts w:ascii="Bookman Old Style" w:hAnsi="Bookman Old Style"/>
          <w:szCs w:val="28"/>
        </w:rPr>
        <w:t>rojets a largement été critiquée</w:t>
      </w:r>
      <w:r w:rsidRPr="005114BF">
        <w:rPr>
          <w:rFonts w:ascii="Bookman Old Style" w:hAnsi="Bookman Old Style"/>
          <w:szCs w:val="28"/>
        </w:rPr>
        <w:t xml:space="preserve">. </w:t>
      </w:r>
      <w:r>
        <w:rPr>
          <w:rFonts w:ascii="Bookman Old Style" w:hAnsi="Bookman Old Style"/>
          <w:szCs w:val="28"/>
        </w:rPr>
        <w:t xml:space="preserve"> </w:t>
      </w:r>
      <w:r>
        <w:rPr>
          <w:rFonts w:ascii="Bookman Old Style" w:hAnsi="Bookman Old Style"/>
        </w:rPr>
        <w:t xml:space="preserve">Les services de l’eau, </w:t>
      </w:r>
      <w:r w:rsidRPr="005114BF">
        <w:rPr>
          <w:rFonts w:ascii="Bookman Old Style" w:hAnsi="Bookman Old Style"/>
        </w:rPr>
        <w:t>de l’électric</w:t>
      </w:r>
      <w:r>
        <w:rPr>
          <w:rFonts w:ascii="Bookman Old Style" w:hAnsi="Bookman Old Style"/>
        </w:rPr>
        <w:t xml:space="preserve">ité, et de la poste de Djibouti, le chemin de fer </w:t>
      </w:r>
      <w:r w:rsidRPr="005114BF">
        <w:rPr>
          <w:rFonts w:ascii="Bookman Old Style" w:hAnsi="Bookman Old Style"/>
        </w:rPr>
        <w:t>transformés en société anonyme et proposés à la privatisation depuis 1999 n’ont pas</w:t>
      </w:r>
      <w:r>
        <w:rPr>
          <w:rFonts w:ascii="Bookman Old Style" w:hAnsi="Bookman Old Style"/>
        </w:rPr>
        <w:t xml:space="preserve"> encore trouvé d’acquéreurs. La situation financière très déficitaire</w:t>
      </w:r>
      <w:r w:rsidRPr="005114BF">
        <w:rPr>
          <w:rFonts w:ascii="Bookman Old Style" w:hAnsi="Bookman Old Style"/>
        </w:rPr>
        <w:t xml:space="preserve"> ou les installations physi</w:t>
      </w:r>
      <w:r>
        <w:rPr>
          <w:rFonts w:ascii="Bookman Old Style" w:hAnsi="Bookman Old Style"/>
        </w:rPr>
        <w:t xml:space="preserve">ques de ces entreprises ne sont pas </w:t>
      </w:r>
      <w:r w:rsidRPr="005114BF">
        <w:rPr>
          <w:rFonts w:ascii="Bookman Old Style" w:hAnsi="Bookman Old Style"/>
        </w:rPr>
        <w:t xml:space="preserve"> séduisantes pour les éventuels investisseurs. </w:t>
      </w:r>
    </w:p>
    <w:p w:rsidR="00840CF5" w:rsidRPr="009B57F3" w:rsidRDefault="00840CF5" w:rsidP="00F51197">
      <w:pPr>
        <w:spacing w:line="480" w:lineRule="auto"/>
        <w:ind w:firstLine="706"/>
        <w:jc w:val="both"/>
        <w:rPr>
          <w:rFonts w:ascii="Bookman Old Style" w:hAnsi="Bookman Old Style"/>
          <w:szCs w:val="28"/>
        </w:rPr>
      </w:pPr>
      <w:r w:rsidRPr="005114BF">
        <w:rPr>
          <w:rFonts w:ascii="Bookman Old Style" w:hAnsi="Bookman Old Style"/>
          <w:szCs w:val="28"/>
        </w:rPr>
        <w:t xml:space="preserve"> Dans un environnement institutionnel incertain, les opérateurs internationaux hésitent à se lancer dans des formules de privatisation qui impliquerait un important volume de coûts irrécupérables.</w:t>
      </w:r>
      <w:r>
        <w:rPr>
          <w:rFonts w:ascii="Bookman Old Style" w:hAnsi="Bookman Old Style"/>
          <w:szCs w:val="28"/>
        </w:rPr>
        <w:t xml:space="preserve"> </w:t>
      </w:r>
      <w:r>
        <w:rPr>
          <w:rFonts w:ascii="Bookman Old Style" w:hAnsi="Bookman Old Style"/>
        </w:rPr>
        <w:t>Selon l’</w:t>
      </w:r>
      <w:r w:rsidRPr="005114BF">
        <w:rPr>
          <w:rFonts w:ascii="Bookman Old Style" w:hAnsi="Bookman Old Style"/>
        </w:rPr>
        <w:t>indice de perception de corruption</w:t>
      </w:r>
      <w:r>
        <w:rPr>
          <w:rFonts w:ascii="Bookman Old Style" w:hAnsi="Bookman Old Style"/>
        </w:rPr>
        <w:t xml:space="preserve"> dans le monde publié chaque année par</w:t>
      </w:r>
      <w:r w:rsidRPr="005114BF">
        <w:rPr>
          <w:rFonts w:ascii="Bookman Old Style" w:hAnsi="Bookman Old Style"/>
        </w:rPr>
        <w:t xml:space="preserve"> l’Organisation de Transparence Internationale</w:t>
      </w:r>
      <w:r>
        <w:rPr>
          <w:rFonts w:ascii="Bookman Old Style" w:hAnsi="Bookman Old Style"/>
        </w:rPr>
        <w:t>, Djibouti</w:t>
      </w:r>
      <w:r w:rsidRPr="005114BF">
        <w:rPr>
          <w:rFonts w:ascii="Bookman Old Style" w:hAnsi="Bookman Old Style"/>
        </w:rPr>
        <w:t xml:space="preserve"> présente</w:t>
      </w:r>
      <w:r>
        <w:rPr>
          <w:rFonts w:ascii="Bookman Old Style" w:hAnsi="Bookman Old Style"/>
        </w:rPr>
        <w:t xml:space="preserve"> un niveau de corruption élevé. En 2011, elle </w:t>
      </w:r>
      <w:r w:rsidRPr="005114BF">
        <w:rPr>
          <w:rFonts w:ascii="Bookman Old Style" w:hAnsi="Bookman Old Style"/>
        </w:rPr>
        <w:t xml:space="preserve"> </w:t>
      </w:r>
      <w:r>
        <w:rPr>
          <w:rFonts w:ascii="Bookman Old Style" w:hAnsi="Bookman Old Style"/>
        </w:rPr>
        <w:t>se classe à la 100è</w:t>
      </w:r>
      <w:r w:rsidRPr="005114BF">
        <w:rPr>
          <w:rFonts w:ascii="Bookman Old Style" w:hAnsi="Bookman Old Style"/>
        </w:rPr>
        <w:t xml:space="preserve">me place </w:t>
      </w:r>
      <w:r>
        <w:rPr>
          <w:rFonts w:ascii="Bookman Old Style" w:hAnsi="Bookman Old Style"/>
        </w:rPr>
        <w:t>sur un total de 178 pays avec un score de 3, l</w:t>
      </w:r>
      <w:r w:rsidRPr="00A97B87">
        <w:rPr>
          <w:rFonts w:ascii="Bookman Old Style" w:hAnsi="Bookman Old Style"/>
        </w:rPr>
        <w:t>a valeur 10 correspond à une absence de corruption</w:t>
      </w:r>
      <w:r>
        <w:rPr>
          <w:rStyle w:val="Appelnotedebasdep"/>
          <w:rFonts w:ascii="Bookman Old Style" w:hAnsi="Bookman Old Style"/>
        </w:rPr>
        <w:footnoteReference w:id="11"/>
      </w:r>
      <w:r w:rsidRPr="00A97B87">
        <w:rPr>
          <w:rFonts w:ascii="Bookman Old Style" w:hAnsi="Bookman Old Style"/>
        </w:rPr>
        <w:t>.</w:t>
      </w:r>
      <w:r>
        <w:rPr>
          <w:rFonts w:ascii="Bookman Old Style" w:hAnsi="Bookman Old Style"/>
        </w:rPr>
        <w:t xml:space="preserve"> </w:t>
      </w:r>
      <w:r w:rsidRPr="005114BF">
        <w:rPr>
          <w:rFonts w:ascii="Bookman Old Style" w:hAnsi="Bookman Old Style"/>
        </w:rPr>
        <w:t xml:space="preserve">Le manque de transparence, corruption dans le domaine des </w:t>
      </w:r>
      <w:r w:rsidRPr="005114BF">
        <w:rPr>
          <w:rFonts w:ascii="Bookman Old Style" w:hAnsi="Bookman Old Style"/>
        </w:rPr>
        <w:lastRenderedPageBreak/>
        <w:t>marchés publics, partia</w:t>
      </w:r>
      <w:r>
        <w:rPr>
          <w:rFonts w:ascii="Bookman Old Style" w:hAnsi="Bookman Old Style"/>
        </w:rPr>
        <w:t xml:space="preserve">lité, </w:t>
      </w:r>
      <w:r w:rsidRPr="005114BF">
        <w:rPr>
          <w:rFonts w:ascii="Bookman Old Style" w:hAnsi="Bookman Old Style"/>
        </w:rPr>
        <w:t xml:space="preserve">favoritisme et népotisme dans les procédures administratives et juridiques </w:t>
      </w:r>
      <w:r>
        <w:rPr>
          <w:rFonts w:ascii="Bookman Old Style" w:hAnsi="Bookman Old Style"/>
        </w:rPr>
        <w:t xml:space="preserve">peuvent aussi influer </w:t>
      </w:r>
      <w:r w:rsidRPr="005114BF">
        <w:rPr>
          <w:rFonts w:ascii="Bookman Old Style" w:hAnsi="Bookman Old Style"/>
        </w:rPr>
        <w:t xml:space="preserve">négativement </w:t>
      </w:r>
      <w:r>
        <w:rPr>
          <w:rFonts w:ascii="Bookman Old Style" w:hAnsi="Bookman Old Style"/>
        </w:rPr>
        <w:t xml:space="preserve">sur </w:t>
      </w:r>
      <w:r w:rsidRPr="005114BF">
        <w:rPr>
          <w:rFonts w:ascii="Bookman Old Style" w:hAnsi="Bookman Old Style"/>
        </w:rPr>
        <w:t xml:space="preserve">le climat des affaires à Djibouti. </w:t>
      </w:r>
    </w:p>
    <w:p w:rsidR="00840CF5" w:rsidRPr="00A97B87" w:rsidRDefault="00840CF5" w:rsidP="00F51197">
      <w:pPr>
        <w:spacing w:line="480" w:lineRule="auto"/>
        <w:ind w:firstLine="706"/>
        <w:jc w:val="both"/>
        <w:rPr>
          <w:rFonts w:ascii="Bookman Old Style" w:hAnsi="Bookman Old Style"/>
          <w:szCs w:val="28"/>
        </w:rPr>
      </w:pPr>
    </w:p>
    <w:p w:rsidR="00840CF5" w:rsidRDefault="00840CF5" w:rsidP="00F51197">
      <w:pPr>
        <w:spacing w:line="480" w:lineRule="auto"/>
        <w:jc w:val="both"/>
        <w:rPr>
          <w:rFonts w:ascii="Bookman Old Style" w:hAnsi="Bookman Old Style"/>
          <w:szCs w:val="28"/>
        </w:rPr>
      </w:pPr>
    </w:p>
    <w:p w:rsidR="00A1255D" w:rsidRPr="00A1255D" w:rsidRDefault="00A1255D" w:rsidP="00F51197">
      <w:pPr>
        <w:pStyle w:val="Titre4"/>
        <w:spacing w:line="480" w:lineRule="auto"/>
        <w:jc w:val="both"/>
        <w:rPr>
          <w:rFonts w:ascii="Bookman Old Style" w:hAnsi="Bookman Old Style"/>
        </w:rPr>
      </w:pPr>
      <w:r w:rsidRPr="00A1255D">
        <w:rPr>
          <w:rFonts w:ascii="Bookman Old Style" w:hAnsi="Bookman Old Style"/>
        </w:rPr>
        <w:t>2.2 L’externalisation des activités relevant du secteur public</w:t>
      </w:r>
    </w:p>
    <w:p w:rsidR="00A1255D" w:rsidRDefault="00A1255D" w:rsidP="00F51197">
      <w:pPr>
        <w:spacing w:line="480" w:lineRule="auto"/>
        <w:ind w:firstLine="709"/>
        <w:jc w:val="both"/>
        <w:rPr>
          <w:rFonts w:ascii="Bookman Old Style" w:hAnsi="Bookman Old Style"/>
        </w:rPr>
      </w:pPr>
      <w:r w:rsidRPr="00C93404">
        <w:rPr>
          <w:rFonts w:ascii="Bookman Old Style" w:hAnsi="Bookman Old Style"/>
        </w:rPr>
        <w:t>L’externalisation des services publics consti</w:t>
      </w:r>
      <w:r>
        <w:rPr>
          <w:rFonts w:ascii="Bookman Old Style" w:hAnsi="Bookman Old Style"/>
        </w:rPr>
        <w:t xml:space="preserve">tue également une autre forme du management public </w:t>
      </w:r>
      <w:r w:rsidRPr="00C93404">
        <w:rPr>
          <w:rFonts w:ascii="Bookman Old Style" w:hAnsi="Bookman Old Style"/>
        </w:rPr>
        <w:t xml:space="preserve"> largeme</w:t>
      </w:r>
      <w:r>
        <w:rPr>
          <w:rFonts w:ascii="Bookman Old Style" w:hAnsi="Bookman Old Style"/>
        </w:rPr>
        <w:t xml:space="preserve">nt appliqué </w:t>
      </w:r>
      <w:r w:rsidRPr="00C93404">
        <w:rPr>
          <w:rFonts w:ascii="Bookman Old Style" w:hAnsi="Bookman Old Style"/>
        </w:rPr>
        <w:t>par les pouvoirs publics. Elle s’apparente à une forme de sous-traitance d’une acti</w:t>
      </w:r>
      <w:r>
        <w:rPr>
          <w:rFonts w:ascii="Bookman Old Style" w:hAnsi="Bookman Old Style"/>
        </w:rPr>
        <w:t>vité publique à un acteur privé</w:t>
      </w:r>
      <w:r w:rsidRPr="00C93404">
        <w:rPr>
          <w:rFonts w:ascii="Bookman Old Style" w:hAnsi="Bookman Old Style"/>
        </w:rPr>
        <w:t xml:space="preserve">. </w:t>
      </w:r>
      <w:r w:rsidRPr="00C93404">
        <w:rPr>
          <w:rFonts w:ascii="Bookman Old Style" w:hAnsi="Bookman Old Style"/>
          <w:lang w:val="fr-BE"/>
        </w:rPr>
        <w:t>L’externalisation peu</w:t>
      </w:r>
      <w:r>
        <w:rPr>
          <w:rFonts w:ascii="Bookman Old Style" w:hAnsi="Bookman Old Style"/>
          <w:lang w:val="fr-BE"/>
        </w:rPr>
        <w:t>t être entendue dans sa forme la</w:t>
      </w:r>
      <w:r w:rsidRPr="00C93404">
        <w:rPr>
          <w:rFonts w:ascii="Bookman Old Style" w:hAnsi="Bookman Old Style"/>
          <w:lang w:val="fr-BE"/>
        </w:rPr>
        <w:t xml:space="preserve"> plus basique comme l’achat d’un bien ou d’un service qui était auparavant réalisée en interne. Il y a externalisation lorsqu’une entreprise, un hôpital ou une administration confie une activité à une firme indépendante spécialisée dans ce type de tâches. </w:t>
      </w:r>
      <w:r w:rsidRPr="00C93404">
        <w:rPr>
          <w:rFonts w:ascii="Bookman Old Style" w:hAnsi="Bookman Old Style"/>
        </w:rPr>
        <w:t>Les solutions retenues sont extrêmement variables et peuvent aller de contrat à court terme ne portant que sur une partie d’un service à des contrats plus ambitieux qui s’appliquent à tout un service et pour une durée plus longue</w:t>
      </w:r>
      <w:r>
        <w:rPr>
          <w:rFonts w:ascii="Bookman Old Style" w:hAnsi="Bookman Old Style"/>
        </w:rPr>
        <w:t xml:space="preserve">. Le tableau suivant permet de synthétiser les différentes formes de participation du secteur privé dans les services publics. </w:t>
      </w:r>
    </w:p>
    <w:p w:rsidR="00A1255D" w:rsidRDefault="00A1255D" w:rsidP="00F51197">
      <w:pPr>
        <w:spacing w:line="480" w:lineRule="auto"/>
        <w:jc w:val="both"/>
        <w:rPr>
          <w:rFonts w:ascii="Bookman Old Style" w:hAnsi="Bookman Old Style"/>
        </w:rPr>
      </w:pPr>
    </w:p>
    <w:p w:rsidR="00A1255D" w:rsidRDefault="00A1255D" w:rsidP="00F51197">
      <w:pPr>
        <w:spacing w:line="480" w:lineRule="auto"/>
        <w:jc w:val="both"/>
        <w:rPr>
          <w:rFonts w:ascii="Bookman Old Style" w:hAnsi="Bookman Old Style"/>
        </w:rPr>
      </w:pPr>
    </w:p>
    <w:p w:rsidR="00A1255D" w:rsidRDefault="00A1255D" w:rsidP="00F51197">
      <w:pPr>
        <w:spacing w:line="480" w:lineRule="auto"/>
        <w:jc w:val="both"/>
        <w:rPr>
          <w:rFonts w:ascii="Bookman Old Style" w:hAnsi="Bookman Old Style"/>
        </w:rPr>
      </w:pPr>
    </w:p>
    <w:p w:rsidR="00A1255D" w:rsidRDefault="00A1255D" w:rsidP="00F51197">
      <w:pPr>
        <w:spacing w:line="480" w:lineRule="auto"/>
        <w:jc w:val="both"/>
        <w:rPr>
          <w:rFonts w:ascii="Bookman Old Style" w:hAnsi="Bookman Old Style"/>
        </w:rPr>
      </w:pPr>
    </w:p>
    <w:p w:rsidR="00A1255D" w:rsidRDefault="00A1255D" w:rsidP="00F51197">
      <w:pPr>
        <w:spacing w:line="480" w:lineRule="auto"/>
        <w:jc w:val="both"/>
        <w:rPr>
          <w:rFonts w:ascii="Bookman Old Style" w:hAnsi="Bookman Old Style"/>
        </w:rPr>
      </w:pPr>
    </w:p>
    <w:p w:rsidR="00A1255D" w:rsidRDefault="00A1255D" w:rsidP="00F51197">
      <w:pPr>
        <w:spacing w:line="480" w:lineRule="auto"/>
        <w:jc w:val="both"/>
        <w:rPr>
          <w:rFonts w:ascii="Bookman Old Style" w:hAnsi="Bookman Old Style"/>
        </w:rPr>
      </w:pPr>
    </w:p>
    <w:p w:rsidR="00A1255D" w:rsidRPr="008810E6" w:rsidRDefault="00A1255D" w:rsidP="00F51197">
      <w:pPr>
        <w:pStyle w:val="Lgende"/>
        <w:keepNext/>
        <w:spacing w:line="480" w:lineRule="auto"/>
        <w:jc w:val="center"/>
        <w:rPr>
          <w:rFonts w:ascii="Bookman Old Style" w:hAnsi="Bookman Old Style"/>
        </w:rPr>
      </w:pPr>
      <w:bookmarkStart w:id="25" w:name="_Toc332638207"/>
      <w:bookmarkStart w:id="26" w:name="_Toc337258655"/>
      <w:r w:rsidRPr="008810E6">
        <w:rPr>
          <w:rFonts w:ascii="Bookman Old Style" w:hAnsi="Bookman Old Style"/>
        </w:rPr>
        <w:t xml:space="preserve">Tableau </w:t>
      </w:r>
      <w:r>
        <w:rPr>
          <w:rFonts w:ascii="Bookman Old Style" w:hAnsi="Bookman Old Style"/>
        </w:rPr>
        <w:t>6</w:t>
      </w:r>
      <w:r w:rsidRPr="008810E6">
        <w:rPr>
          <w:rFonts w:ascii="Bookman Old Style" w:hAnsi="Bookman Old Style"/>
        </w:rPr>
        <w:t> :</w:t>
      </w:r>
      <w:r>
        <w:rPr>
          <w:rFonts w:ascii="Bookman Old Style" w:hAnsi="Bookman Old Style"/>
        </w:rPr>
        <w:t xml:space="preserve"> Les o</w:t>
      </w:r>
      <w:r w:rsidRPr="008810E6">
        <w:rPr>
          <w:rFonts w:ascii="Bookman Old Style" w:hAnsi="Bookman Old Style"/>
        </w:rPr>
        <w:t>ptions de participation proposées aux investisseurs privés dans les services publics</w:t>
      </w:r>
      <w:bookmarkEnd w:id="25"/>
      <w:bookmarkEnd w:id="26"/>
    </w:p>
    <w:p w:rsidR="00A1255D" w:rsidRPr="00574CC2" w:rsidRDefault="00A1255D" w:rsidP="00F51197">
      <w:pPr>
        <w:pStyle w:val="Lgende"/>
        <w:spacing w:line="480" w:lineRule="auto"/>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6210"/>
      </w:tblGrid>
      <w:tr w:rsidR="00A1255D" w:rsidRPr="00076A5C" w:rsidTr="00A1255D">
        <w:tc>
          <w:tcPr>
            <w:tcW w:w="2988" w:type="dxa"/>
          </w:tcPr>
          <w:p w:rsidR="00A1255D" w:rsidRPr="00D7253C" w:rsidRDefault="00A1255D" w:rsidP="00F51197">
            <w:pPr>
              <w:spacing w:line="480" w:lineRule="auto"/>
              <w:jc w:val="both"/>
              <w:rPr>
                <w:rFonts w:ascii="Bookman Old Style" w:hAnsi="Bookman Old Style"/>
              </w:rPr>
            </w:pPr>
            <w:r w:rsidRPr="00D7253C">
              <w:rPr>
                <w:rFonts w:ascii="Bookman Old Style" w:hAnsi="Bookman Old Style"/>
              </w:rPr>
              <w:t>Contrat de sous-traitance</w:t>
            </w:r>
          </w:p>
        </w:tc>
        <w:tc>
          <w:tcPr>
            <w:tcW w:w="6210" w:type="dxa"/>
          </w:tcPr>
          <w:p w:rsidR="00A1255D" w:rsidRPr="007204A4" w:rsidRDefault="00A1255D" w:rsidP="00F51197">
            <w:pPr>
              <w:spacing w:line="480" w:lineRule="auto"/>
              <w:jc w:val="both"/>
              <w:rPr>
                <w:rFonts w:ascii="Bookman Old Style" w:hAnsi="Bookman Old Style"/>
              </w:rPr>
            </w:pPr>
            <w:r w:rsidRPr="007204A4">
              <w:rPr>
                <w:rFonts w:ascii="Bookman Old Style" w:hAnsi="Bookman Old Style"/>
                <w:sz w:val="22"/>
                <w:szCs w:val="22"/>
              </w:rPr>
              <w:t>Avec un accord de sous-traitance, l’acteur privé n’est pas directement responsable de la fourniture du service public mais il doit, en contrepartie, mener à bien des tâches spécifiques, telles que l’apport des facteurs de production, la construction des installations, la maintenance des actifs. Le sous-traitant est tenu de se conformer aux directives ou spécifications techniques ou au cahier des charges que le donneur d’ordre arrête en dernier ressort.</w:t>
            </w:r>
          </w:p>
        </w:tc>
      </w:tr>
      <w:tr w:rsidR="00A1255D" w:rsidRPr="00076A5C" w:rsidTr="00A1255D">
        <w:tc>
          <w:tcPr>
            <w:tcW w:w="2988" w:type="dxa"/>
          </w:tcPr>
          <w:p w:rsidR="00A1255D" w:rsidRPr="00D7253C" w:rsidRDefault="00A1255D" w:rsidP="00F51197">
            <w:pPr>
              <w:spacing w:line="480" w:lineRule="auto"/>
              <w:jc w:val="both"/>
              <w:rPr>
                <w:rFonts w:ascii="Bookman Old Style" w:hAnsi="Bookman Old Style"/>
              </w:rPr>
            </w:pPr>
            <w:r w:rsidRPr="00D7253C">
              <w:rPr>
                <w:rFonts w:ascii="Bookman Old Style" w:hAnsi="Bookman Old Style"/>
              </w:rPr>
              <w:t>Contrat de gestion</w:t>
            </w:r>
          </w:p>
          <w:p w:rsidR="00A1255D" w:rsidRPr="007204A4" w:rsidRDefault="00A1255D" w:rsidP="00F51197">
            <w:pPr>
              <w:spacing w:line="480" w:lineRule="auto"/>
              <w:jc w:val="both"/>
              <w:rPr>
                <w:rFonts w:ascii="Bookman Old Style" w:hAnsi="Bookman Old Style"/>
              </w:rPr>
            </w:pPr>
            <w:r w:rsidRPr="00D7253C">
              <w:rPr>
                <w:rFonts w:ascii="Bookman Old Style" w:hAnsi="Bookman Old Style"/>
              </w:rPr>
              <w:t>et contrat de concession</w:t>
            </w:r>
          </w:p>
        </w:tc>
        <w:tc>
          <w:tcPr>
            <w:tcW w:w="6210" w:type="dxa"/>
          </w:tcPr>
          <w:p w:rsidR="00A1255D" w:rsidRPr="007204A4" w:rsidRDefault="00A1255D" w:rsidP="00F51197">
            <w:pPr>
              <w:spacing w:line="480" w:lineRule="auto"/>
              <w:jc w:val="both"/>
              <w:rPr>
                <w:rFonts w:ascii="Bookman Old Style" w:hAnsi="Bookman Old Style"/>
              </w:rPr>
            </w:pPr>
            <w:r w:rsidRPr="007204A4">
              <w:rPr>
                <w:rFonts w:ascii="Bookman Old Style" w:hAnsi="Bookman Old Style"/>
                <w:sz w:val="22"/>
                <w:szCs w:val="22"/>
              </w:rPr>
              <w:t>Dans un contrat de gestion, une entreprise privée prend en charge la gestion d’un service public, souvent à un prix forfaitaire pendant une période donnée</w:t>
            </w:r>
            <w:r>
              <w:rPr>
                <w:rFonts w:ascii="Bookman Old Style" w:hAnsi="Bookman Old Style"/>
                <w:sz w:val="22"/>
                <w:szCs w:val="22"/>
              </w:rPr>
              <w:t xml:space="preserve">. </w:t>
            </w:r>
            <w:r w:rsidRPr="007204A4">
              <w:rPr>
                <w:rFonts w:ascii="Bookman Old Style" w:hAnsi="Bookman Old Style"/>
                <w:sz w:val="22"/>
                <w:szCs w:val="22"/>
              </w:rPr>
              <w:t xml:space="preserve">L’Etat finance les investissements. </w:t>
            </w:r>
          </w:p>
          <w:p w:rsidR="00A1255D" w:rsidRPr="007204A4" w:rsidRDefault="00A1255D" w:rsidP="00F51197">
            <w:pPr>
              <w:spacing w:line="480" w:lineRule="auto"/>
              <w:jc w:val="both"/>
              <w:rPr>
                <w:rFonts w:ascii="Bookman Old Style" w:hAnsi="Bookman Old Style"/>
              </w:rPr>
            </w:pPr>
            <w:r w:rsidRPr="007204A4">
              <w:rPr>
                <w:rFonts w:ascii="Bookman Old Style" w:hAnsi="Bookman Old Style"/>
                <w:sz w:val="22"/>
                <w:szCs w:val="22"/>
              </w:rPr>
              <w:t>La concession est similaire au contrat de gestion, à ceci prés que l’entité privée supporte aussi bien les risques d’exploitation et d’investissement.</w:t>
            </w:r>
          </w:p>
        </w:tc>
      </w:tr>
      <w:tr w:rsidR="00A1255D" w:rsidRPr="00076A5C" w:rsidTr="00A1255D">
        <w:tc>
          <w:tcPr>
            <w:tcW w:w="2988" w:type="dxa"/>
          </w:tcPr>
          <w:p w:rsidR="00A1255D" w:rsidRPr="007204A4" w:rsidRDefault="00A1255D" w:rsidP="00F51197">
            <w:pPr>
              <w:spacing w:line="480" w:lineRule="auto"/>
              <w:jc w:val="both"/>
              <w:rPr>
                <w:rFonts w:ascii="Bookman Old Style" w:hAnsi="Bookman Old Style"/>
              </w:rPr>
            </w:pPr>
            <w:r w:rsidRPr="007204A4">
              <w:rPr>
                <w:rFonts w:ascii="Bookman Old Style" w:hAnsi="Bookman Old Style"/>
                <w:sz w:val="22"/>
                <w:szCs w:val="22"/>
              </w:rPr>
              <w:t>Les partenariats</w:t>
            </w:r>
          </w:p>
          <w:p w:rsidR="00A1255D" w:rsidRPr="007204A4" w:rsidRDefault="00A1255D" w:rsidP="00F51197">
            <w:pPr>
              <w:spacing w:line="480" w:lineRule="auto"/>
              <w:jc w:val="both"/>
              <w:rPr>
                <w:rFonts w:ascii="Bookman Old Style" w:hAnsi="Bookman Old Style"/>
              </w:rPr>
            </w:pPr>
            <w:r w:rsidRPr="007204A4">
              <w:rPr>
                <w:rFonts w:ascii="Bookman Old Style" w:hAnsi="Bookman Old Style"/>
                <w:sz w:val="22"/>
                <w:szCs w:val="22"/>
              </w:rPr>
              <w:t>public- privé (PPP)</w:t>
            </w:r>
          </w:p>
        </w:tc>
        <w:tc>
          <w:tcPr>
            <w:tcW w:w="6210" w:type="dxa"/>
          </w:tcPr>
          <w:p w:rsidR="00A1255D" w:rsidRPr="007204A4" w:rsidRDefault="00A1255D" w:rsidP="00F51197">
            <w:pPr>
              <w:spacing w:line="480" w:lineRule="auto"/>
              <w:jc w:val="both"/>
              <w:rPr>
                <w:rFonts w:ascii="Bookman Old Style" w:hAnsi="Bookman Old Style"/>
              </w:rPr>
            </w:pPr>
            <w:r w:rsidRPr="007204A4">
              <w:rPr>
                <w:rFonts w:ascii="Bookman Old Style" w:hAnsi="Bookman Old Style"/>
                <w:sz w:val="22"/>
                <w:szCs w:val="22"/>
              </w:rPr>
              <w:t>Dans sa définition la plus large, le terme de partenariat public-privé (PPP) couvre toutes les formes d’association du secteur public et du secteur privé destinées à mettre en œuvre tout ou partie d’un service public</w:t>
            </w:r>
            <w:r>
              <w:rPr>
                <w:rFonts w:ascii="Bookman Old Style" w:hAnsi="Bookman Old Style"/>
                <w:sz w:val="22"/>
                <w:szCs w:val="22"/>
              </w:rPr>
              <w:t xml:space="preserve">. </w:t>
            </w:r>
            <w:r w:rsidRPr="007204A4">
              <w:rPr>
                <w:rFonts w:ascii="Bookman Old Style" w:hAnsi="Bookman Old Style"/>
                <w:sz w:val="22"/>
                <w:szCs w:val="22"/>
              </w:rPr>
              <w:t>Au-delà de cette définition très générale, le terme de partenariat public-privé est de plus en plus utilisé pour désigner une nouvelle forme de contrats publics</w:t>
            </w:r>
            <w:r w:rsidR="005E6B78">
              <w:rPr>
                <w:rFonts w:ascii="Bookman Old Style" w:hAnsi="Bookman Old Style"/>
                <w:sz w:val="22"/>
                <w:szCs w:val="22"/>
              </w:rPr>
              <w:t xml:space="preserve"> qui d</w:t>
            </w:r>
            <w:r w:rsidRPr="007204A4">
              <w:rPr>
                <w:rFonts w:ascii="Bookman Old Style" w:hAnsi="Bookman Old Style"/>
                <w:sz w:val="22"/>
                <w:szCs w:val="22"/>
              </w:rPr>
              <w:t>oit permettre d’allouer les responsabilités à la partie qui sera à même de les assumer le plus efficacement. Cette nouvelle génération de contrats est étroitement liée  a</w:t>
            </w:r>
            <w:r w:rsidR="005E6B78">
              <w:rPr>
                <w:rFonts w:ascii="Bookman Old Style" w:hAnsi="Bookman Old Style"/>
                <w:sz w:val="22"/>
                <w:szCs w:val="22"/>
              </w:rPr>
              <w:t>u « nouveau management public </w:t>
            </w:r>
            <w:r w:rsidRPr="007204A4">
              <w:rPr>
                <w:rFonts w:ascii="Bookman Old Style" w:hAnsi="Bookman Old Style"/>
                <w:sz w:val="22"/>
                <w:szCs w:val="22"/>
              </w:rPr>
              <w:t xml:space="preserve"> qui promeut la gestion par la performance. </w:t>
            </w:r>
          </w:p>
        </w:tc>
      </w:tr>
    </w:tbl>
    <w:p w:rsidR="00A1255D" w:rsidRDefault="00A1255D" w:rsidP="00F51197">
      <w:pPr>
        <w:spacing w:line="480" w:lineRule="auto"/>
        <w:ind w:firstLine="708"/>
        <w:jc w:val="both"/>
        <w:rPr>
          <w:rFonts w:ascii="Bookman Old Style" w:hAnsi="Bookman Old Style"/>
        </w:rPr>
      </w:pPr>
    </w:p>
    <w:p w:rsidR="00A1255D" w:rsidRDefault="00A1255D" w:rsidP="00F51197">
      <w:pPr>
        <w:spacing w:line="480" w:lineRule="auto"/>
        <w:ind w:firstLine="708"/>
        <w:jc w:val="both"/>
        <w:rPr>
          <w:rFonts w:ascii="Bookman Old Style" w:hAnsi="Bookman Old Style"/>
          <w:lang w:val="fr-BE"/>
        </w:rPr>
      </w:pPr>
      <w:r w:rsidRPr="00C93404">
        <w:rPr>
          <w:rFonts w:ascii="Bookman Old Style" w:hAnsi="Bookman Old Style"/>
        </w:rPr>
        <w:t>L’externalisation des</w:t>
      </w:r>
      <w:r>
        <w:rPr>
          <w:rFonts w:ascii="Bookman Old Style" w:hAnsi="Bookman Old Style"/>
        </w:rPr>
        <w:t xml:space="preserve"> activités relevant du secteur services</w:t>
      </w:r>
      <w:r w:rsidRPr="00C93404">
        <w:rPr>
          <w:rFonts w:ascii="Bookman Old Style" w:hAnsi="Bookman Old Style"/>
        </w:rPr>
        <w:t xml:space="preserve"> suscite aujourd’hui une grande préoccupation publique et de plus en plus de gouvernements à travers l’échelle planétaire, privilégient comme forme de livraison et de prestation des services publics dans des secteurs comme l’environnement, l’éducation, le transport, la santé, les services municipaux, l’énergie, l’eau la télécommunication, la distribution de l’électricité et autres, qui à l’origine relevaient presque exclusivement du secteur public. </w:t>
      </w:r>
      <w:r>
        <w:rPr>
          <w:rFonts w:ascii="Bookman Old Style" w:hAnsi="Bookman Old Style"/>
          <w:lang w:val="fr-BE"/>
        </w:rPr>
        <w:t>Elle</w:t>
      </w:r>
      <w:r w:rsidRPr="00C93404">
        <w:rPr>
          <w:rFonts w:ascii="Bookman Old Style" w:hAnsi="Bookman Old Style"/>
          <w:lang w:val="fr-BE"/>
        </w:rPr>
        <w:t xml:space="preserve"> devient donc un o</w:t>
      </w:r>
      <w:r>
        <w:rPr>
          <w:rFonts w:ascii="Bookman Old Style" w:hAnsi="Bookman Old Style"/>
          <w:lang w:val="fr-BE"/>
        </w:rPr>
        <w:t xml:space="preserve">util de management public qui </w:t>
      </w:r>
      <w:r w:rsidRPr="00C93404">
        <w:rPr>
          <w:rFonts w:ascii="Bookman Old Style" w:hAnsi="Bookman Old Style"/>
          <w:lang w:val="fr-BE"/>
        </w:rPr>
        <w:t>s’inscrit dans une dynamique plus générale de transformation des mentalités, des pratiques, des moyens et des modes de gestion au sein du secteur public.</w:t>
      </w:r>
    </w:p>
    <w:p w:rsidR="005E6B78" w:rsidRDefault="005E6B78" w:rsidP="00F51197">
      <w:pPr>
        <w:spacing w:line="480" w:lineRule="auto"/>
        <w:ind w:firstLine="709"/>
        <w:jc w:val="both"/>
        <w:rPr>
          <w:rFonts w:ascii="Bookman Old Style" w:hAnsi="Bookman Old Style"/>
        </w:rPr>
      </w:pPr>
      <w:r w:rsidRPr="005114BF">
        <w:rPr>
          <w:rFonts w:ascii="Bookman Old Style" w:hAnsi="Bookman Old Style"/>
        </w:rPr>
        <w:t xml:space="preserve">A Djibouti, l’externalisation de la gestion des entreprises publiques </w:t>
      </w:r>
      <w:r>
        <w:rPr>
          <w:rFonts w:ascii="Bookman Old Style" w:hAnsi="Bookman Old Style"/>
        </w:rPr>
        <w:t>a</w:t>
      </w:r>
      <w:r w:rsidRPr="005114BF">
        <w:rPr>
          <w:rFonts w:ascii="Bookman Old Style" w:hAnsi="Bookman Old Style"/>
        </w:rPr>
        <w:t xml:space="preserve"> </w:t>
      </w:r>
      <w:r>
        <w:rPr>
          <w:rFonts w:ascii="Bookman Old Style" w:hAnsi="Bookman Old Style"/>
        </w:rPr>
        <w:t xml:space="preserve">obtenu </w:t>
      </w:r>
      <w:r w:rsidRPr="005114BF">
        <w:rPr>
          <w:rFonts w:ascii="Bookman Old Style" w:hAnsi="Bookman Old Style"/>
        </w:rPr>
        <w:t>les faveurs des investisseurs étrangers</w:t>
      </w:r>
      <w:r>
        <w:rPr>
          <w:rFonts w:ascii="Bookman Old Style" w:hAnsi="Bookman Old Style"/>
        </w:rPr>
        <w:t>,</w:t>
      </w:r>
      <w:r w:rsidRPr="005114BF">
        <w:rPr>
          <w:rFonts w:ascii="Bookman Old Style" w:hAnsi="Bookman Old Style"/>
        </w:rPr>
        <w:t xml:space="preserve"> car </w:t>
      </w:r>
      <w:r>
        <w:rPr>
          <w:rFonts w:ascii="Bookman Old Style" w:hAnsi="Bookman Old Style"/>
        </w:rPr>
        <w:t>elle  permet</w:t>
      </w:r>
      <w:r w:rsidRPr="005114BF">
        <w:rPr>
          <w:rFonts w:ascii="Bookman Old Style" w:hAnsi="Bookman Old Style"/>
        </w:rPr>
        <w:t xml:space="preserve"> de tirer profit de l’entreprise</w:t>
      </w:r>
      <w:r>
        <w:rPr>
          <w:rFonts w:ascii="Bookman Old Style" w:hAnsi="Bookman Old Style"/>
        </w:rPr>
        <w:t xml:space="preserve"> publique</w:t>
      </w:r>
      <w:r w:rsidRPr="005114BF">
        <w:rPr>
          <w:rFonts w:ascii="Bookman Old Style" w:hAnsi="Bookman Old Style"/>
        </w:rPr>
        <w:t xml:space="preserve"> qu’ils reprennent sans avoir à supporter l’engagement financier que nécessite une privatisation intégrale. Grâce </w:t>
      </w:r>
      <w:r>
        <w:rPr>
          <w:rFonts w:ascii="Bookman Old Style" w:hAnsi="Bookman Old Style"/>
        </w:rPr>
        <w:t>à l’externalisation</w:t>
      </w:r>
      <w:r w:rsidRPr="005114BF">
        <w:rPr>
          <w:rFonts w:ascii="Bookman Old Style" w:hAnsi="Bookman Old Style"/>
        </w:rPr>
        <w:t xml:space="preserve">, </w:t>
      </w:r>
      <w:r>
        <w:rPr>
          <w:rFonts w:ascii="Bookman Old Style" w:hAnsi="Bookman Old Style"/>
        </w:rPr>
        <w:t xml:space="preserve"> </w:t>
      </w:r>
      <w:r w:rsidRPr="005114BF">
        <w:rPr>
          <w:rFonts w:ascii="Bookman Old Style" w:hAnsi="Bookman Old Style"/>
        </w:rPr>
        <w:t>les investisseurs mettent le pied dans une entreprise du secteur public, ce qui leur procurera un avantage en c</w:t>
      </w:r>
      <w:r>
        <w:rPr>
          <w:rFonts w:ascii="Bookman Old Style" w:hAnsi="Bookman Old Style"/>
        </w:rPr>
        <w:t xml:space="preserve">as de privatisation ultérieure. </w:t>
      </w:r>
      <w:r w:rsidRPr="005114BF">
        <w:rPr>
          <w:rFonts w:ascii="Bookman Old Style" w:hAnsi="Bookman Old Style"/>
        </w:rPr>
        <w:t xml:space="preserve">L’externalisation de </w:t>
      </w:r>
      <w:r>
        <w:rPr>
          <w:rFonts w:ascii="Bookman Old Style" w:hAnsi="Bookman Old Style"/>
        </w:rPr>
        <w:t xml:space="preserve">la </w:t>
      </w:r>
      <w:r w:rsidRPr="005114BF">
        <w:rPr>
          <w:rFonts w:ascii="Bookman Old Style" w:hAnsi="Bookman Old Style"/>
        </w:rPr>
        <w:t xml:space="preserve">gestion des entreprises publiques peut être </w:t>
      </w:r>
      <w:r>
        <w:rPr>
          <w:rFonts w:ascii="Bookman Old Style" w:hAnsi="Bookman Old Style"/>
        </w:rPr>
        <w:t xml:space="preserve">également </w:t>
      </w:r>
      <w:r w:rsidRPr="005114BF">
        <w:rPr>
          <w:rFonts w:ascii="Bookman Old Style" w:hAnsi="Bookman Old Style"/>
        </w:rPr>
        <w:t>souhaitable</w:t>
      </w:r>
      <w:r>
        <w:rPr>
          <w:rFonts w:ascii="Bookman Old Style" w:hAnsi="Bookman Old Style"/>
        </w:rPr>
        <w:t xml:space="preserve"> du point de vue du G</w:t>
      </w:r>
      <w:r w:rsidRPr="005114BF">
        <w:rPr>
          <w:rFonts w:ascii="Bookman Old Style" w:hAnsi="Bookman Old Style"/>
        </w:rPr>
        <w:t>ouverneme</w:t>
      </w:r>
      <w:r>
        <w:rPr>
          <w:rFonts w:ascii="Bookman Old Style" w:hAnsi="Bookman Old Style"/>
        </w:rPr>
        <w:t xml:space="preserve">nt djiboutien, puisqu’elle permet de </w:t>
      </w:r>
      <w:r w:rsidRPr="005114BF">
        <w:rPr>
          <w:rFonts w:ascii="Bookman Old Style" w:hAnsi="Bookman Old Style"/>
        </w:rPr>
        <w:t>contribuer à assurer une transition en douceur vers la privatisation. En effet</w:t>
      </w:r>
      <w:r>
        <w:rPr>
          <w:rFonts w:ascii="Bookman Old Style" w:hAnsi="Bookman Old Style"/>
        </w:rPr>
        <w:t>,</w:t>
      </w:r>
      <w:r w:rsidRPr="005114BF">
        <w:rPr>
          <w:rFonts w:ascii="Bookman Old Style" w:hAnsi="Bookman Old Style"/>
        </w:rPr>
        <w:t xml:space="preserve"> bien que n’impliquant pas la cession de l’entreprise, elle aboutit généralement à des réformes structurelles </w:t>
      </w:r>
      <w:r>
        <w:rPr>
          <w:rFonts w:ascii="Bookman Old Style" w:hAnsi="Bookman Old Style"/>
        </w:rPr>
        <w:t>qui permette</w:t>
      </w:r>
      <w:r w:rsidRPr="005114BF">
        <w:rPr>
          <w:rFonts w:ascii="Bookman Old Style" w:hAnsi="Bookman Old Style"/>
        </w:rPr>
        <w:t xml:space="preserve">nt aux entreprises publiques concernées de devenir « rentables », ce qui les rend nettement plus intéressantes aux yeux des investisseurs privés potentiels lorsque la véritable privatisation interviendra. En outre, la période sous gestion privée contribue habituellement à la transmission du savoir-faire. Ce point est crucial à Djibouti où le manque de savoir-faire des investisseurs locaux constituerait un obstacle majeur au </w:t>
      </w:r>
      <w:r>
        <w:rPr>
          <w:rFonts w:ascii="Bookman Old Style" w:hAnsi="Bookman Old Style"/>
        </w:rPr>
        <w:t>développement du secteur privé. Enfin, l’externalisation peut être un moyen efficace d’accorder aux pouvoirs publics et aux investisseurs privés plus de temps pour nouer un partenariat étroit.</w:t>
      </w:r>
    </w:p>
    <w:p w:rsidR="005E6B78" w:rsidRDefault="005E6B78" w:rsidP="00F51197">
      <w:pPr>
        <w:spacing w:line="480" w:lineRule="auto"/>
        <w:ind w:firstLine="709"/>
        <w:jc w:val="both"/>
        <w:rPr>
          <w:rFonts w:ascii="Bookman Old Style" w:hAnsi="Bookman Old Style"/>
          <w:szCs w:val="28"/>
        </w:rPr>
      </w:pPr>
      <w:r>
        <w:rPr>
          <w:rFonts w:ascii="Bookman Old Style" w:hAnsi="Bookman Old Style"/>
        </w:rPr>
        <w:t>Dans le cadre de la réforme du secteur public, la gestion du port de Djibouti, de l’Aéroport international de Djibouti et du port de pêche a été transférée au privé.</w:t>
      </w:r>
      <w:r w:rsidRPr="005114BF">
        <w:rPr>
          <w:rFonts w:ascii="Bookman Old Style" w:hAnsi="Bookman Old Style"/>
        </w:rPr>
        <w:t xml:space="preserve"> Le secteur de transport constitue le pilier de l’activité économique en contribuant actuellement pour environ un quart de la ric</w:t>
      </w:r>
      <w:r>
        <w:rPr>
          <w:rFonts w:ascii="Bookman Old Style" w:hAnsi="Bookman Old Style"/>
        </w:rPr>
        <w:t>hesse nationale et 25 % des recettes publiques (Banque centrale de Djibouti</w:t>
      </w:r>
      <w:r w:rsidRPr="005114BF">
        <w:rPr>
          <w:rFonts w:ascii="Bookman Old Style" w:hAnsi="Bookman Old Style"/>
        </w:rPr>
        <w:t>, 2</w:t>
      </w:r>
      <w:r>
        <w:rPr>
          <w:rFonts w:ascii="Bookman Old Style" w:hAnsi="Bookman Old Style"/>
        </w:rPr>
        <w:t>012</w:t>
      </w:r>
      <w:r w:rsidRPr="005114BF">
        <w:rPr>
          <w:rFonts w:ascii="Bookman Old Style" w:hAnsi="Bookman Old Style"/>
        </w:rPr>
        <w:t xml:space="preserve">). Il représente aussi une part importante des emplois salariés du pays. Le poids de ce secteur </w:t>
      </w:r>
      <w:r>
        <w:rPr>
          <w:rFonts w:ascii="Bookman Old Style" w:hAnsi="Bookman Old Style"/>
        </w:rPr>
        <w:t>dans l’économie continue de croî</w:t>
      </w:r>
      <w:r w:rsidRPr="005114BF">
        <w:rPr>
          <w:rFonts w:ascii="Bookman Old Style" w:hAnsi="Bookman Old Style"/>
        </w:rPr>
        <w:t>tre avec le développement des infrastructures portuaires et la hausse des activités de transit des marchandises éthiopiennes depuis ces dix dernières</w:t>
      </w:r>
      <w:r>
        <w:rPr>
          <w:rFonts w:ascii="Bookman Old Style" w:hAnsi="Bookman Old Style"/>
        </w:rPr>
        <w:t xml:space="preserve"> années</w:t>
      </w:r>
      <w:r w:rsidRPr="005114BF">
        <w:rPr>
          <w:rFonts w:ascii="Bookman Old Style" w:hAnsi="Bookman Old Style"/>
        </w:rPr>
        <w:t>.</w:t>
      </w:r>
      <w:r>
        <w:rPr>
          <w:rFonts w:ascii="Bookman Old Style" w:hAnsi="Bookman Old Style"/>
        </w:rPr>
        <w:t xml:space="preserve"> Conscient </w:t>
      </w:r>
      <w:r w:rsidRPr="005114BF">
        <w:rPr>
          <w:rFonts w:ascii="Bookman Old Style" w:hAnsi="Bookman Old Style"/>
        </w:rPr>
        <w:t>de cette réalité, le Gouvernement souhaite développer le potentiel de développement de ce secteur en cherchant à mettre en œuvre une stratégi</w:t>
      </w:r>
      <w:r>
        <w:rPr>
          <w:rFonts w:ascii="Bookman Old Style" w:hAnsi="Bookman Old Style"/>
        </w:rPr>
        <w:t>e qui consiste à faire du port de Djibouti</w:t>
      </w:r>
      <w:r w:rsidRPr="005114BF">
        <w:rPr>
          <w:rFonts w:ascii="Bookman Old Style" w:hAnsi="Bookman Old Style"/>
        </w:rPr>
        <w:t>, un hub portuaire régional et une plateforme multimodale</w:t>
      </w:r>
      <w:r>
        <w:rPr>
          <w:rFonts w:ascii="Bookman Old Style" w:hAnsi="Bookman Old Style"/>
        </w:rPr>
        <w:t xml:space="preserve">. </w:t>
      </w:r>
      <w:r w:rsidRPr="005114BF">
        <w:rPr>
          <w:rFonts w:ascii="Bookman Old Style" w:hAnsi="Bookman Old Style"/>
        </w:rPr>
        <w:t>Cette stratégie nécessite cependant d’entreprendre une politique d’équipements visant à développer la qualité et la capacité des infrast</w:t>
      </w:r>
      <w:r>
        <w:rPr>
          <w:rFonts w:ascii="Bookman Old Style" w:hAnsi="Bookman Old Style"/>
        </w:rPr>
        <w:t>ructures portuaire et terrestre.</w:t>
      </w:r>
      <w:r w:rsidRPr="005114BF">
        <w:rPr>
          <w:rFonts w:ascii="Bookman Old Style" w:hAnsi="Bookman Old Style"/>
        </w:rPr>
        <w:t xml:space="preserve"> Pour pallier le manque de fonds et sous la pression des bailleurs de fonds, le Gouvernement a engagé d</w:t>
      </w:r>
      <w:r>
        <w:rPr>
          <w:rFonts w:ascii="Bookman Old Style" w:hAnsi="Bookman Old Style"/>
        </w:rPr>
        <w:t xml:space="preserve">es changements institutionnels </w:t>
      </w:r>
      <w:r w:rsidRPr="005114BF">
        <w:rPr>
          <w:rFonts w:ascii="Bookman Old Style" w:hAnsi="Bookman Old Style"/>
        </w:rPr>
        <w:t>destinés à favoriser une plus grande participation du secteur privé</w:t>
      </w:r>
      <w:r>
        <w:rPr>
          <w:rFonts w:ascii="Bookman Old Style" w:hAnsi="Bookman Old Style"/>
        </w:rPr>
        <w:t xml:space="preserve">. </w:t>
      </w:r>
      <w:r w:rsidRPr="005114BF">
        <w:rPr>
          <w:rFonts w:ascii="Bookman Old Style" w:hAnsi="Bookman Old Style"/>
        </w:rPr>
        <w:t>Ces changements institutionnels ont abouti à l’externalisation de la gestion du port de Djibouti en juin 2000, suivie deux ans plus</w:t>
      </w:r>
      <w:r>
        <w:rPr>
          <w:rFonts w:ascii="Bookman Old Style" w:hAnsi="Bookman Old Style"/>
        </w:rPr>
        <w:t xml:space="preserve"> tard par celle de l’Aéroport. </w:t>
      </w:r>
      <w:r w:rsidRPr="005114BF">
        <w:rPr>
          <w:rFonts w:ascii="Bookman Old Style" w:hAnsi="Bookman Old Style"/>
        </w:rPr>
        <w:t>La gestion de ces deux entreprises publique</w:t>
      </w:r>
      <w:r w:rsidR="00F5500C">
        <w:rPr>
          <w:rFonts w:ascii="Bookman Old Style" w:hAnsi="Bookman Old Style"/>
        </w:rPr>
        <w:t xml:space="preserve">s est assurée par </w:t>
      </w:r>
      <w:r>
        <w:rPr>
          <w:rFonts w:ascii="Bookman Old Style" w:hAnsi="Bookman Old Style"/>
        </w:rPr>
        <w:t>un même opérateur</w:t>
      </w:r>
      <w:r w:rsidRPr="005114BF">
        <w:rPr>
          <w:rFonts w:ascii="Bookman Old Style" w:hAnsi="Bookman Old Style"/>
        </w:rPr>
        <w:t>, le Dubaï Po</w:t>
      </w:r>
      <w:r>
        <w:rPr>
          <w:rFonts w:ascii="Bookman Old Style" w:hAnsi="Bookman Old Style"/>
        </w:rPr>
        <w:t>rts International (DPI, DPW</w:t>
      </w:r>
      <w:r w:rsidRPr="005114BF">
        <w:rPr>
          <w:rFonts w:ascii="Bookman Old Style" w:hAnsi="Bookman Old Style"/>
        </w:rPr>
        <w:t xml:space="preserve"> actuellement) pour une période de 20 ans. Ce processus de transfert de la gestion au secteur privé et le détournement de la</w:t>
      </w:r>
      <w:r>
        <w:rPr>
          <w:rFonts w:ascii="Bookman Old Style" w:hAnsi="Bookman Old Style"/>
        </w:rPr>
        <w:t xml:space="preserve"> totalité du commerce extérieur</w:t>
      </w:r>
      <w:r w:rsidRPr="005114BF">
        <w:rPr>
          <w:rFonts w:ascii="Bookman Old Style" w:hAnsi="Bookman Old Style"/>
        </w:rPr>
        <w:t xml:space="preserve"> (importation et exportation) éthiopien vers le port de Djibouti en 1998 consécutif au conflit armé entre l’Erythrée et l’Ethiopie ont permis un accroissement considérable</w:t>
      </w:r>
      <w:r>
        <w:rPr>
          <w:rFonts w:ascii="Bookman Old Style" w:hAnsi="Bookman Old Style"/>
        </w:rPr>
        <w:t xml:space="preserve"> de l’activité des transports, </w:t>
      </w:r>
      <w:r w:rsidRPr="005114BF">
        <w:rPr>
          <w:rFonts w:ascii="Bookman Old Style" w:hAnsi="Bookman Old Style"/>
        </w:rPr>
        <w:t>justifiant ainsi la construction d’un nouveau port en eau profonde, capable de répondre efficacement aux nouvelles conditions du transport</w:t>
      </w:r>
      <w:r>
        <w:rPr>
          <w:rFonts w:ascii="Bookman Old Style" w:hAnsi="Bookman Old Style"/>
          <w:szCs w:val="28"/>
        </w:rPr>
        <w:t xml:space="preserve">. </w:t>
      </w:r>
    </w:p>
    <w:p w:rsidR="005E6B78" w:rsidRDefault="005E6B78" w:rsidP="00F51197">
      <w:pPr>
        <w:spacing w:line="480" w:lineRule="auto"/>
        <w:jc w:val="both"/>
        <w:rPr>
          <w:rFonts w:ascii="Bookman Old Style" w:hAnsi="Bookman Old Style"/>
          <w:szCs w:val="28"/>
        </w:rPr>
      </w:pPr>
    </w:p>
    <w:p w:rsidR="005E6B78" w:rsidRDefault="005E6B78" w:rsidP="00F51197">
      <w:pPr>
        <w:spacing w:line="480" w:lineRule="auto"/>
        <w:ind w:firstLine="709"/>
        <w:jc w:val="both"/>
        <w:rPr>
          <w:rFonts w:ascii="Bookman Old Style" w:hAnsi="Bookman Old Style"/>
          <w:szCs w:val="28"/>
        </w:rPr>
      </w:pPr>
      <w:r w:rsidRPr="005114BF">
        <w:rPr>
          <w:rFonts w:ascii="Bookman Old Style" w:hAnsi="Bookman Old Style"/>
          <w:szCs w:val="28"/>
        </w:rPr>
        <w:t xml:space="preserve">Le choix de Dubaï </w:t>
      </w:r>
      <w:r>
        <w:rPr>
          <w:rFonts w:ascii="Bookman Old Style" w:hAnsi="Bookman Old Style"/>
          <w:szCs w:val="28"/>
        </w:rPr>
        <w:t xml:space="preserve">pour gérer le port de Djibouti </w:t>
      </w:r>
      <w:r w:rsidRPr="005114BF">
        <w:rPr>
          <w:rFonts w:ascii="Bookman Old Style" w:hAnsi="Bookman Old Style"/>
          <w:szCs w:val="28"/>
        </w:rPr>
        <w:t>est dicté par la volonté d’amener le port de Djibouti à un niveau de gestion international dans un contexte très concurrentiel car l’expertise de Dubaï est reconnue en matière d</w:t>
      </w:r>
      <w:r>
        <w:rPr>
          <w:rFonts w:ascii="Bookman Old Style" w:hAnsi="Bookman Old Style"/>
          <w:szCs w:val="28"/>
        </w:rPr>
        <w:t>e gestion portuaire. Le DPW</w:t>
      </w:r>
      <w:r w:rsidRPr="005114BF">
        <w:rPr>
          <w:rFonts w:ascii="Bookman Old Style" w:hAnsi="Bookman Old Style"/>
          <w:szCs w:val="28"/>
        </w:rPr>
        <w:t xml:space="preserve"> gère plusieurs ports </w:t>
      </w:r>
      <w:r>
        <w:rPr>
          <w:rFonts w:ascii="Bookman Old Style" w:hAnsi="Bookman Old Style"/>
          <w:szCs w:val="28"/>
        </w:rPr>
        <w:t xml:space="preserve">et terminaux </w:t>
      </w:r>
      <w:r w:rsidRPr="005114BF">
        <w:rPr>
          <w:rFonts w:ascii="Bookman Old Style" w:hAnsi="Bookman Old Style"/>
          <w:szCs w:val="28"/>
        </w:rPr>
        <w:t>dans le monde. La gestion privée du Port lui</w:t>
      </w:r>
      <w:r w:rsidRPr="005114BF">
        <w:rPr>
          <w:rFonts w:ascii="Bookman Old Style" w:hAnsi="Bookman Old Style"/>
        </w:rPr>
        <w:t xml:space="preserve"> apporte aussi de la rigueur et de la sécurité.</w:t>
      </w:r>
      <w:r>
        <w:rPr>
          <w:rFonts w:ascii="Bookman Old Style" w:hAnsi="Bookman Old Style"/>
        </w:rPr>
        <w:t xml:space="preserve"> Toutefois la forte augmentation des activités portuaires provient notamment de la décision des autorités éthiopiennes de mai 1998, qui ont fait de Djibouti le seul débouché maritime de leur pays. Djibouti s’est vu offrir donc l’un des plus grands marchés de l’Afrique avec plus de 80 millions de consommateurs. La croissance des activités portuaire est </w:t>
      </w:r>
      <w:r>
        <w:rPr>
          <w:rFonts w:ascii="Bookman Old Style" w:hAnsi="Bookman Old Style"/>
          <w:szCs w:val="28"/>
        </w:rPr>
        <w:t xml:space="preserve">adossée sur la demande éthiopienne. </w:t>
      </w:r>
    </w:p>
    <w:p w:rsidR="005E6B78" w:rsidRPr="00C276B9" w:rsidRDefault="005E6B78" w:rsidP="00F51197">
      <w:pPr>
        <w:spacing w:line="480" w:lineRule="auto"/>
        <w:ind w:firstLine="709"/>
        <w:jc w:val="both"/>
        <w:rPr>
          <w:rFonts w:ascii="Bookman Old Style" w:hAnsi="Bookman Old Style"/>
        </w:rPr>
      </w:pPr>
    </w:p>
    <w:p w:rsidR="00196209" w:rsidRDefault="005E6B78" w:rsidP="00F51197">
      <w:pPr>
        <w:spacing w:line="480" w:lineRule="auto"/>
        <w:jc w:val="both"/>
        <w:rPr>
          <w:rFonts w:ascii="Bookman Old Style" w:hAnsi="Bookman Old Style"/>
        </w:rPr>
      </w:pPr>
      <w:r>
        <w:rPr>
          <w:rFonts w:ascii="Bookman Old Style" w:hAnsi="Bookman Old Style"/>
        </w:rPr>
        <w:t>Le transfert de gestion vers l’opérateur privé s’est fait cependant dans un certain flou juridique et institutionnel. Les termes du contrat entre l’exécutif  et la société qui gère le Port sont restés confidentiels et il est difficile de déterminer avec précision le degré d’intervention de l’Etat ainsi que les modalités de partage des profits réalisés par le port de Djibouti.</w:t>
      </w:r>
    </w:p>
    <w:p w:rsidR="005E6B78" w:rsidRDefault="005E6B78" w:rsidP="00F51197">
      <w:pPr>
        <w:spacing w:line="480" w:lineRule="auto"/>
        <w:jc w:val="both"/>
        <w:rPr>
          <w:rFonts w:ascii="Bookman Old Style" w:hAnsi="Bookman Old Style"/>
        </w:rPr>
      </w:pPr>
    </w:p>
    <w:p w:rsidR="005E6B78" w:rsidRDefault="005E6B78" w:rsidP="00F51197">
      <w:pPr>
        <w:spacing w:line="480" w:lineRule="auto"/>
        <w:jc w:val="both"/>
        <w:rPr>
          <w:rFonts w:ascii="Bookman Old Style" w:hAnsi="Bookman Old Style"/>
        </w:rPr>
      </w:pPr>
    </w:p>
    <w:p w:rsidR="001D7CE5" w:rsidRDefault="00A762CC" w:rsidP="00F51197">
      <w:pPr>
        <w:spacing w:line="480" w:lineRule="auto"/>
        <w:jc w:val="both"/>
        <w:rPr>
          <w:rFonts w:ascii="Bookman Old Style" w:hAnsi="Bookman Old Style"/>
          <w:b/>
          <w:sz w:val="28"/>
          <w:szCs w:val="28"/>
        </w:rPr>
      </w:pPr>
      <w:r>
        <w:rPr>
          <w:rFonts w:ascii="Bookman Old Style" w:hAnsi="Bookman Old Style"/>
          <w:b/>
          <w:sz w:val="28"/>
          <w:szCs w:val="28"/>
        </w:rPr>
        <w:t xml:space="preserve">2.3 Le CERD </w:t>
      </w:r>
      <w:r w:rsidR="00E33F03">
        <w:rPr>
          <w:rFonts w:ascii="Bookman Old Style" w:hAnsi="Bookman Old Style"/>
          <w:b/>
          <w:sz w:val="28"/>
          <w:szCs w:val="28"/>
        </w:rPr>
        <w:t>doit plus avec peu de moyens</w:t>
      </w:r>
    </w:p>
    <w:p w:rsidR="00070470" w:rsidRDefault="00070470" w:rsidP="00F51197">
      <w:pPr>
        <w:spacing w:line="480" w:lineRule="auto"/>
        <w:ind w:firstLine="706"/>
        <w:jc w:val="both"/>
        <w:rPr>
          <w:rFonts w:ascii="Bookman Old Style" w:hAnsi="Bookman Old Style"/>
        </w:rPr>
      </w:pPr>
      <w:r>
        <w:rPr>
          <w:rFonts w:ascii="Bookman Old Style" w:hAnsi="Bookman Old Style"/>
        </w:rPr>
        <w:t>Le troisième point de ce chapitre s’attache à analyser plus particulièrement la forme du nouveau management privilégiée dans la gestion du CERD. Il  montre que même si le transfert de propriété ou de gestion des organisations publiques vers le secteur privé n’a pas été choisi par le Gouvernement,  le fonction de cet organisme est celui du secteur privé. Apres avoir présenté le CERD,</w:t>
      </w:r>
      <w:r w:rsidR="00F5500C">
        <w:rPr>
          <w:rFonts w:ascii="Bookman Old Style" w:hAnsi="Bookman Old Style"/>
        </w:rPr>
        <w:t xml:space="preserve"> nous analyserons dans un deuxiè</w:t>
      </w:r>
      <w:r>
        <w:rPr>
          <w:rFonts w:ascii="Bookman Old Style" w:hAnsi="Bookman Old Style"/>
        </w:rPr>
        <w:t xml:space="preserve">me temps son mode de gestion et les difficultés rencontrées. </w:t>
      </w:r>
    </w:p>
    <w:p w:rsidR="000E2462" w:rsidRDefault="000E2462" w:rsidP="00F51197">
      <w:pPr>
        <w:spacing w:line="480" w:lineRule="auto"/>
        <w:jc w:val="both"/>
        <w:rPr>
          <w:rFonts w:ascii="Bookman Old Style" w:hAnsi="Bookman Old Style"/>
          <w:b/>
          <w:sz w:val="28"/>
          <w:szCs w:val="28"/>
        </w:rPr>
      </w:pPr>
    </w:p>
    <w:p w:rsidR="000E2462" w:rsidRPr="001D7CE5" w:rsidRDefault="00070470" w:rsidP="00F51197">
      <w:pPr>
        <w:spacing w:line="480" w:lineRule="auto"/>
        <w:jc w:val="both"/>
        <w:rPr>
          <w:rFonts w:ascii="Bookman Old Style" w:hAnsi="Bookman Old Style"/>
          <w:b/>
          <w:sz w:val="28"/>
          <w:szCs w:val="28"/>
          <w:lang w:val="fr-BE"/>
        </w:rPr>
      </w:pPr>
      <w:r>
        <w:rPr>
          <w:rFonts w:ascii="Bookman Old Style" w:hAnsi="Bookman Old Style"/>
          <w:b/>
          <w:sz w:val="28"/>
          <w:szCs w:val="28"/>
          <w:lang w:val="fr-BE"/>
        </w:rPr>
        <w:t>2.3.1 Présentation du CERD</w:t>
      </w:r>
    </w:p>
    <w:p w:rsidR="005E6B78" w:rsidRDefault="00A762CC" w:rsidP="00F51197">
      <w:pPr>
        <w:spacing w:line="480" w:lineRule="auto"/>
        <w:jc w:val="both"/>
        <w:rPr>
          <w:rFonts w:ascii="Bookman Old Style" w:hAnsi="Bookman Old Style"/>
        </w:rPr>
      </w:pPr>
      <w:r>
        <w:rPr>
          <w:rFonts w:ascii="Bookman Old Style" w:hAnsi="Bookman Old Style"/>
        </w:rPr>
        <w:t>Le centre d’Etude Géologique et de Développement (CEGD), l’</w:t>
      </w:r>
      <w:r w:rsidR="002108E2">
        <w:rPr>
          <w:rFonts w:ascii="Bookman Old Style" w:hAnsi="Bookman Old Style"/>
        </w:rPr>
        <w:t>ancêtre</w:t>
      </w:r>
      <w:r>
        <w:rPr>
          <w:rFonts w:ascii="Bookman Old Style" w:hAnsi="Bookman Old Style"/>
        </w:rPr>
        <w:t xml:space="preserve"> lointa</w:t>
      </w:r>
      <w:r w:rsidR="00AE5EBF">
        <w:rPr>
          <w:rFonts w:ascii="Bookman Old Style" w:hAnsi="Bookman Old Style"/>
        </w:rPr>
        <w:t>i</w:t>
      </w:r>
      <w:r>
        <w:rPr>
          <w:rFonts w:ascii="Bookman Old Style" w:hAnsi="Bookman Old Style"/>
        </w:rPr>
        <w:t xml:space="preserve">n du CERD est crée par la </w:t>
      </w:r>
      <w:r w:rsidR="002108E2">
        <w:rPr>
          <w:rFonts w:ascii="Bookman Old Style" w:hAnsi="Bookman Old Style"/>
        </w:rPr>
        <w:t>délibération</w:t>
      </w:r>
      <w:r>
        <w:rPr>
          <w:rFonts w:ascii="Bookman Old Style" w:hAnsi="Bookman Old Style"/>
        </w:rPr>
        <w:t xml:space="preserve"> en date du 15 mars 1970, sous l’administration </w:t>
      </w:r>
      <w:r w:rsidR="002108E2">
        <w:rPr>
          <w:rFonts w:ascii="Bookman Old Style" w:hAnsi="Bookman Old Style"/>
        </w:rPr>
        <w:t>coloniale</w:t>
      </w:r>
      <w:r>
        <w:rPr>
          <w:rFonts w:ascii="Bookman Old Style" w:hAnsi="Bookman Old Style"/>
        </w:rPr>
        <w:t xml:space="preserve"> de l’époque. L’Ordonnance n°76 datée du 23 </w:t>
      </w:r>
      <w:r w:rsidR="002108E2">
        <w:rPr>
          <w:rFonts w:ascii="Bookman Old Style" w:hAnsi="Bookman Old Style"/>
        </w:rPr>
        <w:t>février</w:t>
      </w:r>
      <w:r>
        <w:rPr>
          <w:rFonts w:ascii="Bookman Old Style" w:hAnsi="Bookman Old Style"/>
        </w:rPr>
        <w:t xml:space="preserve"> 1978 est venue modifier la </w:t>
      </w:r>
      <w:r w:rsidR="002108E2">
        <w:rPr>
          <w:rFonts w:ascii="Bookman Old Style" w:hAnsi="Bookman Old Style"/>
        </w:rPr>
        <w:t>délibération</w:t>
      </w:r>
      <w:r>
        <w:rPr>
          <w:rFonts w:ascii="Bookman Old Style" w:hAnsi="Bookman Old Style"/>
        </w:rPr>
        <w:t xml:space="preserve"> 1970. Le CEGD est devenu l’Institut d’Etude et de Recherches scientifiques et Techniqu</w:t>
      </w:r>
      <w:r w:rsidR="00AE5EBF">
        <w:rPr>
          <w:rFonts w:ascii="Bookman Old Style" w:hAnsi="Bookman Old Style"/>
        </w:rPr>
        <w:t>e</w:t>
      </w:r>
      <w:r>
        <w:rPr>
          <w:rFonts w:ascii="Bookman Old Style" w:hAnsi="Bookman Old Style"/>
        </w:rPr>
        <w:t xml:space="preserve"> (ISER</w:t>
      </w:r>
      <w:r w:rsidR="00AE5EBF">
        <w:rPr>
          <w:rFonts w:ascii="Bookman Old Style" w:hAnsi="Bookman Old Style"/>
        </w:rPr>
        <w:t>S</w:t>
      </w:r>
      <w:r>
        <w:rPr>
          <w:rFonts w:ascii="Bookman Old Style" w:hAnsi="Bookman Old Style"/>
        </w:rPr>
        <w:t>T).</w:t>
      </w:r>
      <w:r w:rsidR="00AE5EBF">
        <w:rPr>
          <w:rFonts w:ascii="Bookman Old Style" w:hAnsi="Bookman Old Style"/>
        </w:rPr>
        <w:t xml:space="preserve">   </w:t>
      </w:r>
    </w:p>
    <w:p w:rsidR="00AE5EBF" w:rsidRDefault="00AE5EBF" w:rsidP="00F51197">
      <w:pPr>
        <w:spacing w:line="480" w:lineRule="auto"/>
        <w:jc w:val="both"/>
        <w:rPr>
          <w:rFonts w:ascii="Bookman Old Style" w:hAnsi="Bookman Old Style"/>
        </w:rPr>
      </w:pPr>
    </w:p>
    <w:p w:rsidR="00A762CC" w:rsidRDefault="00A762CC" w:rsidP="00F51197">
      <w:pPr>
        <w:spacing w:line="480" w:lineRule="auto"/>
        <w:jc w:val="both"/>
        <w:rPr>
          <w:rFonts w:ascii="Bookman Old Style" w:hAnsi="Bookman Old Style"/>
        </w:rPr>
      </w:pPr>
      <w:r>
        <w:rPr>
          <w:rFonts w:ascii="Bookman Old Style" w:hAnsi="Bookman Old Style"/>
        </w:rPr>
        <w:t>L’ISER</w:t>
      </w:r>
      <w:r w:rsidR="00AE5EBF">
        <w:rPr>
          <w:rFonts w:ascii="Bookman Old Style" w:hAnsi="Bookman Old Style"/>
        </w:rPr>
        <w:t>S</w:t>
      </w:r>
      <w:r w:rsidR="00F5500C">
        <w:rPr>
          <w:rFonts w:ascii="Bookman Old Style" w:hAnsi="Bookman Old Style"/>
        </w:rPr>
        <w:t>T était chargé de développer</w:t>
      </w:r>
      <w:r>
        <w:rPr>
          <w:rFonts w:ascii="Bookman Old Style" w:hAnsi="Bookman Old Style"/>
        </w:rPr>
        <w:t>, d’</w:t>
      </w:r>
      <w:r w:rsidR="00AE5EBF">
        <w:rPr>
          <w:rFonts w:ascii="Bookman Old Style" w:hAnsi="Bookman Old Style"/>
        </w:rPr>
        <w:t>orienter et de coordonner les recherches, les études et les travaux et techniques, théoriques et pratiques, en vue notamment de leur application au développement économique et social du pays.</w:t>
      </w:r>
    </w:p>
    <w:p w:rsidR="00AE5EBF" w:rsidRDefault="00AE5EBF" w:rsidP="00F51197">
      <w:pPr>
        <w:spacing w:line="480" w:lineRule="auto"/>
        <w:jc w:val="both"/>
        <w:rPr>
          <w:rFonts w:ascii="Bookman Old Style" w:hAnsi="Bookman Old Style"/>
        </w:rPr>
      </w:pPr>
    </w:p>
    <w:p w:rsidR="00AE5EBF" w:rsidRDefault="00AE5EBF" w:rsidP="00F51197">
      <w:pPr>
        <w:spacing w:line="480" w:lineRule="auto"/>
        <w:jc w:val="both"/>
        <w:rPr>
          <w:rFonts w:ascii="Bookman Old Style" w:hAnsi="Bookman Old Style"/>
        </w:rPr>
      </w:pPr>
      <w:r>
        <w:rPr>
          <w:rFonts w:ascii="Bookman Old Style" w:hAnsi="Bookman Old Style"/>
        </w:rPr>
        <w:t>La loi n°45/AN/94/3</w:t>
      </w:r>
      <w:r w:rsidRPr="00AE5EBF">
        <w:rPr>
          <w:rFonts w:ascii="Bookman Old Style" w:hAnsi="Bookman Old Style"/>
          <w:vertAlign w:val="superscript"/>
        </w:rPr>
        <w:t>eme</w:t>
      </w:r>
      <w:r>
        <w:rPr>
          <w:rFonts w:ascii="Bookman Old Style" w:hAnsi="Bookman Old Style"/>
          <w:vertAlign w:val="superscript"/>
        </w:rPr>
        <w:t xml:space="preserve"> </w:t>
      </w:r>
      <w:r>
        <w:rPr>
          <w:rFonts w:ascii="Bookman Old Style" w:hAnsi="Bookman Old Style"/>
        </w:rPr>
        <w:t>L a modifié et remplacé l’Ordonnance de 1978. Les missions de l’ISER</w:t>
      </w:r>
      <w:r w:rsidR="00F5500C">
        <w:rPr>
          <w:rFonts w:ascii="Bookman Old Style" w:hAnsi="Bookman Old Style"/>
        </w:rPr>
        <w:t>S</w:t>
      </w:r>
      <w:r>
        <w:rPr>
          <w:rFonts w:ascii="Bookman Old Style" w:hAnsi="Bookman Old Style"/>
        </w:rPr>
        <w:t>T sont fixées comme :</w:t>
      </w:r>
    </w:p>
    <w:p w:rsidR="00AE5EBF" w:rsidRPr="00AE5EBF" w:rsidRDefault="00AE5EBF" w:rsidP="00F51197">
      <w:pPr>
        <w:pStyle w:val="Paragraphedeliste"/>
        <w:numPr>
          <w:ilvl w:val="0"/>
          <w:numId w:val="1"/>
        </w:numPr>
        <w:spacing w:line="480" w:lineRule="auto"/>
        <w:jc w:val="both"/>
        <w:rPr>
          <w:rFonts w:ascii="Bookman Old Style" w:hAnsi="Bookman Old Style"/>
        </w:rPr>
      </w:pPr>
      <w:r w:rsidRPr="00AE5EBF">
        <w:rPr>
          <w:rFonts w:ascii="Bookman Old Style" w:hAnsi="Bookman Old Style"/>
        </w:rPr>
        <w:t>l’ISER</w:t>
      </w:r>
      <w:r w:rsidR="00F5500C">
        <w:rPr>
          <w:rFonts w:ascii="Bookman Old Style" w:hAnsi="Bookman Old Style"/>
        </w:rPr>
        <w:t>S</w:t>
      </w:r>
      <w:r w:rsidRPr="00AE5EBF">
        <w:rPr>
          <w:rFonts w:ascii="Bookman Old Style" w:hAnsi="Bookman Old Style"/>
        </w:rPr>
        <w:t>T établit et développe ses programmes de recherche ;</w:t>
      </w:r>
    </w:p>
    <w:p w:rsidR="00AE5EBF" w:rsidRDefault="00AE5EBF" w:rsidP="00F51197">
      <w:pPr>
        <w:pStyle w:val="Paragraphedeliste"/>
        <w:numPr>
          <w:ilvl w:val="0"/>
          <w:numId w:val="1"/>
        </w:numPr>
        <w:spacing w:line="480" w:lineRule="auto"/>
        <w:jc w:val="both"/>
        <w:rPr>
          <w:rFonts w:ascii="Bookman Old Style" w:hAnsi="Bookman Old Style"/>
        </w:rPr>
      </w:pPr>
      <w:r w:rsidRPr="00AE5EBF">
        <w:rPr>
          <w:rFonts w:ascii="Bookman Old Style" w:hAnsi="Bookman Old Style"/>
        </w:rPr>
        <w:t xml:space="preserve"> il est chargé de développer, d’orienter et de coordonner les recherches, les études, les travaux </w:t>
      </w:r>
      <w:r w:rsidR="002108E2" w:rsidRPr="00AE5EBF">
        <w:rPr>
          <w:rFonts w:ascii="Bookman Old Style" w:hAnsi="Bookman Old Style"/>
        </w:rPr>
        <w:t>scientifiques</w:t>
      </w:r>
      <w:r w:rsidRPr="00AE5EBF">
        <w:rPr>
          <w:rFonts w:ascii="Bookman Old Style" w:hAnsi="Bookman Old Style"/>
        </w:rPr>
        <w:t xml:space="preserve"> et techniques, théoriques et pratiques, </w:t>
      </w:r>
      <w:r w:rsidR="002108E2" w:rsidRPr="00AE5EBF">
        <w:rPr>
          <w:rFonts w:ascii="Bookman Old Style" w:hAnsi="Bookman Old Style"/>
        </w:rPr>
        <w:t>décidés</w:t>
      </w:r>
      <w:r w:rsidRPr="00AE5EBF">
        <w:rPr>
          <w:rFonts w:ascii="Bookman Old Style" w:hAnsi="Bookman Old Style"/>
        </w:rPr>
        <w:t xml:space="preserve"> par les </w:t>
      </w:r>
      <w:r w:rsidR="002108E2">
        <w:rPr>
          <w:rFonts w:ascii="Bookman Old Style" w:hAnsi="Bookman Old Style"/>
        </w:rPr>
        <w:t>Ministères</w:t>
      </w:r>
      <w:r>
        <w:rPr>
          <w:rFonts w:ascii="Bookman Old Style" w:hAnsi="Bookman Old Style"/>
        </w:rPr>
        <w:t xml:space="preserve"> et autres institutions du pays, en vue notamment de leur application du développement économique et social de la Nation.</w:t>
      </w:r>
    </w:p>
    <w:p w:rsidR="00AE5EBF" w:rsidRDefault="00AE5EBF" w:rsidP="00F51197">
      <w:pPr>
        <w:spacing w:line="480" w:lineRule="auto"/>
        <w:ind w:left="360"/>
        <w:jc w:val="both"/>
        <w:rPr>
          <w:rFonts w:ascii="Bookman Old Style" w:hAnsi="Bookman Old Style"/>
        </w:rPr>
      </w:pPr>
    </w:p>
    <w:p w:rsidR="00AE5EBF" w:rsidRDefault="00AE5EBF" w:rsidP="00F51197">
      <w:pPr>
        <w:spacing w:line="480" w:lineRule="auto"/>
        <w:jc w:val="both"/>
        <w:rPr>
          <w:rFonts w:ascii="Bookman Old Style" w:hAnsi="Bookman Old Style"/>
        </w:rPr>
      </w:pPr>
      <w:r>
        <w:rPr>
          <w:rFonts w:ascii="Bookman Old Style" w:hAnsi="Bookman Old Style"/>
        </w:rPr>
        <w:t>Le Centre d’Etudes et de Recherche Scienti</w:t>
      </w:r>
      <w:r w:rsidR="002108E2">
        <w:rPr>
          <w:rFonts w:ascii="Bookman Old Style" w:hAnsi="Bookman Old Style"/>
        </w:rPr>
        <w:t>fi</w:t>
      </w:r>
      <w:r>
        <w:rPr>
          <w:rFonts w:ascii="Bookman Old Style" w:hAnsi="Bookman Old Style"/>
        </w:rPr>
        <w:t xml:space="preserve">que de Djibouti (CERD), résulte donc de la modification de l’Institut </w:t>
      </w:r>
      <w:r w:rsidR="002108E2">
        <w:rPr>
          <w:rFonts w:ascii="Bookman Old Style" w:hAnsi="Bookman Old Style"/>
        </w:rPr>
        <w:t>Supérieur</w:t>
      </w:r>
      <w:r>
        <w:rPr>
          <w:rFonts w:ascii="Bookman Old Style" w:hAnsi="Bookman Old Style"/>
        </w:rPr>
        <w:t xml:space="preserve"> </w:t>
      </w:r>
      <w:r w:rsidR="00F5500C">
        <w:rPr>
          <w:rFonts w:ascii="Bookman Old Style" w:hAnsi="Bookman Old Style"/>
        </w:rPr>
        <w:t>d'Etudes et de</w:t>
      </w:r>
      <w:r>
        <w:rPr>
          <w:rFonts w:ascii="Bookman Old Style" w:hAnsi="Bookman Old Style"/>
        </w:rPr>
        <w:t xml:space="preserve"> Recherches et Techniques de Djibouti (ISERST), en 2001, par la loi n°116/AN/01/</w:t>
      </w:r>
      <w:r w:rsidRPr="00AE5EBF">
        <w:rPr>
          <w:rFonts w:ascii="Bookman Old Style" w:hAnsi="Bookman Old Style"/>
          <w:vertAlign w:val="superscript"/>
        </w:rPr>
        <w:t>4eme L</w:t>
      </w:r>
      <w:r>
        <w:rPr>
          <w:rFonts w:ascii="Bookman Old Style" w:hAnsi="Bookman Old Style"/>
        </w:rPr>
        <w:t>.</w:t>
      </w:r>
    </w:p>
    <w:p w:rsidR="004D1794" w:rsidRDefault="00AE5EBF" w:rsidP="00F51197">
      <w:pPr>
        <w:spacing w:line="480" w:lineRule="auto"/>
        <w:jc w:val="both"/>
        <w:rPr>
          <w:rFonts w:ascii="Bookman Old Style" w:hAnsi="Bookman Old Style"/>
        </w:rPr>
      </w:pPr>
      <w:r>
        <w:rPr>
          <w:rFonts w:ascii="Bookman Old Style" w:hAnsi="Bookman Old Style"/>
        </w:rPr>
        <w:t xml:space="preserve">Depuis cette nouvelle dénomination, le Centre connait une restructuration en profondeur. Il est passé d’un institut en 2000 </w:t>
      </w:r>
      <w:r w:rsidR="002108E2">
        <w:rPr>
          <w:rFonts w:ascii="Bookman Old Style" w:hAnsi="Bookman Old Style"/>
        </w:rPr>
        <w:t>à</w:t>
      </w:r>
      <w:r>
        <w:rPr>
          <w:rFonts w:ascii="Bookman Old Style" w:hAnsi="Bookman Old Style"/>
        </w:rPr>
        <w:t xml:space="preserve"> sept instituts en 2012. </w:t>
      </w:r>
      <w:r w:rsidR="004D1794">
        <w:rPr>
          <w:rFonts w:ascii="Bookman Old Style" w:hAnsi="Bookman Old Style"/>
        </w:rPr>
        <w:t xml:space="preserve"> On y trouve notamment :</w:t>
      </w:r>
    </w:p>
    <w:p w:rsidR="004D1794" w:rsidRDefault="004D1794" w:rsidP="00F51197">
      <w:pPr>
        <w:pStyle w:val="Paragraphedeliste"/>
        <w:numPr>
          <w:ilvl w:val="0"/>
          <w:numId w:val="1"/>
        </w:numPr>
        <w:spacing w:line="480" w:lineRule="auto"/>
        <w:jc w:val="both"/>
        <w:rPr>
          <w:rFonts w:ascii="Bookman Old Style" w:hAnsi="Bookman Old Style"/>
        </w:rPr>
      </w:pPr>
      <w:r>
        <w:rPr>
          <w:rFonts w:ascii="Bookman Old Style" w:hAnsi="Bookman Old Style"/>
        </w:rPr>
        <w:t>l’institut des Sciences de la Terre</w:t>
      </w:r>
      <w:r w:rsidR="00F8583D">
        <w:rPr>
          <w:rFonts w:ascii="Bookman Old Style" w:hAnsi="Bookman Old Style"/>
        </w:rPr>
        <w:t>,</w:t>
      </w:r>
    </w:p>
    <w:p w:rsidR="004D1794" w:rsidRDefault="00F8583D" w:rsidP="00F51197">
      <w:pPr>
        <w:pStyle w:val="Paragraphedeliste"/>
        <w:numPr>
          <w:ilvl w:val="0"/>
          <w:numId w:val="1"/>
        </w:numPr>
        <w:spacing w:line="480" w:lineRule="auto"/>
        <w:jc w:val="both"/>
        <w:rPr>
          <w:rFonts w:ascii="Bookman Old Style" w:hAnsi="Bookman Old Style"/>
        </w:rPr>
      </w:pPr>
      <w:r>
        <w:rPr>
          <w:rFonts w:ascii="Bookman Old Style" w:hAnsi="Bookman Old Style"/>
        </w:rPr>
        <w:t>l</w:t>
      </w:r>
      <w:r w:rsidR="004D1794">
        <w:rPr>
          <w:rFonts w:ascii="Bookman Old Style" w:hAnsi="Bookman Old Style"/>
        </w:rPr>
        <w:t>’institut des Sciences de la vie</w:t>
      </w:r>
      <w:r>
        <w:rPr>
          <w:rFonts w:ascii="Bookman Old Style" w:hAnsi="Bookman Old Style"/>
        </w:rPr>
        <w:t>,</w:t>
      </w:r>
    </w:p>
    <w:p w:rsidR="004D1794" w:rsidRDefault="00F8583D" w:rsidP="00F51197">
      <w:pPr>
        <w:pStyle w:val="Paragraphedeliste"/>
        <w:numPr>
          <w:ilvl w:val="0"/>
          <w:numId w:val="1"/>
        </w:numPr>
        <w:spacing w:line="480" w:lineRule="auto"/>
        <w:jc w:val="both"/>
        <w:rPr>
          <w:rFonts w:ascii="Bookman Old Style" w:hAnsi="Bookman Old Style"/>
        </w:rPr>
      </w:pPr>
      <w:r>
        <w:rPr>
          <w:rFonts w:ascii="Bookman Old Style" w:hAnsi="Bookman Old Style"/>
        </w:rPr>
        <w:t>l’institut d’Etudes Sociales et Démographies,</w:t>
      </w:r>
    </w:p>
    <w:p w:rsidR="00F8583D" w:rsidRDefault="00F8583D" w:rsidP="00F51197">
      <w:pPr>
        <w:pStyle w:val="Paragraphedeliste"/>
        <w:numPr>
          <w:ilvl w:val="0"/>
          <w:numId w:val="1"/>
        </w:numPr>
        <w:spacing w:line="480" w:lineRule="auto"/>
        <w:jc w:val="both"/>
        <w:rPr>
          <w:rFonts w:ascii="Bookman Old Style" w:hAnsi="Bookman Old Style"/>
        </w:rPr>
      </w:pPr>
      <w:r>
        <w:rPr>
          <w:rFonts w:ascii="Bookman Old Style" w:hAnsi="Bookman Old Style"/>
        </w:rPr>
        <w:t>l’institut de</w:t>
      </w:r>
      <w:r w:rsidR="00F5500C">
        <w:rPr>
          <w:rFonts w:ascii="Bookman Old Style" w:hAnsi="Bookman Old Style"/>
        </w:rPr>
        <w:t>s</w:t>
      </w:r>
      <w:r>
        <w:rPr>
          <w:rFonts w:ascii="Bookman Old Style" w:hAnsi="Bookman Old Style"/>
        </w:rPr>
        <w:t xml:space="preserve"> Nouvelles Technologiques</w:t>
      </w:r>
    </w:p>
    <w:p w:rsidR="00F8583D" w:rsidRDefault="00F8583D" w:rsidP="00F51197">
      <w:pPr>
        <w:pStyle w:val="Paragraphedeliste"/>
        <w:numPr>
          <w:ilvl w:val="0"/>
          <w:numId w:val="1"/>
        </w:numPr>
        <w:spacing w:line="480" w:lineRule="auto"/>
        <w:jc w:val="both"/>
        <w:rPr>
          <w:rFonts w:ascii="Bookman Old Style" w:hAnsi="Bookman Old Style"/>
        </w:rPr>
      </w:pPr>
      <w:r>
        <w:rPr>
          <w:rFonts w:ascii="Bookman Old Style" w:hAnsi="Bookman Old Style"/>
        </w:rPr>
        <w:t>l’institut des Langues</w:t>
      </w:r>
    </w:p>
    <w:p w:rsidR="00F8583D" w:rsidRDefault="00F8583D" w:rsidP="00F51197">
      <w:pPr>
        <w:pStyle w:val="Paragraphedeliste"/>
        <w:numPr>
          <w:ilvl w:val="0"/>
          <w:numId w:val="1"/>
        </w:numPr>
        <w:spacing w:line="480" w:lineRule="auto"/>
        <w:jc w:val="both"/>
        <w:rPr>
          <w:rFonts w:ascii="Bookman Old Style" w:hAnsi="Bookman Old Style"/>
        </w:rPr>
      </w:pPr>
      <w:r>
        <w:rPr>
          <w:rFonts w:ascii="Bookman Old Style" w:hAnsi="Bookman Old Style"/>
        </w:rPr>
        <w:t xml:space="preserve">l’institut </w:t>
      </w:r>
      <w:r w:rsidR="00F5500C">
        <w:rPr>
          <w:rFonts w:ascii="Bookman Old Style" w:hAnsi="Bookman Old Style"/>
        </w:rPr>
        <w:t xml:space="preserve">des Etudes </w:t>
      </w:r>
      <w:r>
        <w:rPr>
          <w:rFonts w:ascii="Bookman Old Style" w:hAnsi="Bookman Old Style"/>
        </w:rPr>
        <w:t>Politiques et Stratégiques</w:t>
      </w:r>
    </w:p>
    <w:p w:rsidR="004D1794" w:rsidRPr="00F8583D" w:rsidRDefault="00F8583D" w:rsidP="00F51197">
      <w:pPr>
        <w:pStyle w:val="Paragraphedeliste"/>
        <w:numPr>
          <w:ilvl w:val="0"/>
          <w:numId w:val="1"/>
        </w:numPr>
        <w:spacing w:line="480" w:lineRule="auto"/>
        <w:jc w:val="both"/>
        <w:rPr>
          <w:rFonts w:ascii="Bookman Old Style" w:hAnsi="Bookman Old Style"/>
        </w:rPr>
      </w:pPr>
      <w:r>
        <w:rPr>
          <w:rFonts w:ascii="Bookman Old Style" w:hAnsi="Bookman Old Style"/>
        </w:rPr>
        <w:t>l’Institut de Recherche Médicinale en mars 2010.</w:t>
      </w:r>
    </w:p>
    <w:p w:rsidR="00AE5EBF" w:rsidRPr="00F8583D" w:rsidRDefault="00AE5EBF" w:rsidP="00F51197">
      <w:pPr>
        <w:spacing w:line="480" w:lineRule="auto"/>
        <w:jc w:val="both"/>
        <w:rPr>
          <w:rFonts w:ascii="Bookman Old Style" w:hAnsi="Bookman Old Style"/>
        </w:rPr>
      </w:pPr>
      <w:r w:rsidRPr="00F8583D">
        <w:rPr>
          <w:rFonts w:ascii="Bookman Old Style" w:hAnsi="Bookman Old Style"/>
        </w:rPr>
        <w:t>L’agrandissement de la structure du Centre a été accompagné par des renforcements constants en termes des équipements nouveaux et modernes (laboratoires) et des ressources humaines</w:t>
      </w:r>
      <w:r w:rsidR="000E2462" w:rsidRPr="00F8583D">
        <w:rPr>
          <w:rFonts w:ascii="Bookman Old Style" w:hAnsi="Bookman Old Style"/>
        </w:rPr>
        <w:t xml:space="preserve">. Ainsi doté, le Centre voit son rôle dans les efforts </w:t>
      </w:r>
      <w:r w:rsidR="002108E2" w:rsidRPr="00F8583D">
        <w:rPr>
          <w:rFonts w:ascii="Bookman Old Style" w:hAnsi="Bookman Old Style"/>
        </w:rPr>
        <w:t>déployés</w:t>
      </w:r>
      <w:r w:rsidR="000E2462" w:rsidRPr="00F8583D">
        <w:rPr>
          <w:rFonts w:ascii="Bookman Old Style" w:hAnsi="Bookman Old Style"/>
        </w:rPr>
        <w:t xml:space="preserve">  pour le </w:t>
      </w:r>
      <w:r w:rsidR="002108E2" w:rsidRPr="00F8583D">
        <w:rPr>
          <w:rFonts w:ascii="Bookman Old Style" w:hAnsi="Bookman Old Style"/>
        </w:rPr>
        <w:t>développement</w:t>
      </w:r>
      <w:r w:rsidR="000E2462" w:rsidRPr="00F8583D">
        <w:rPr>
          <w:rFonts w:ascii="Bookman Old Style" w:hAnsi="Bookman Old Style"/>
        </w:rPr>
        <w:t xml:space="preserve"> économique et social de la Nation.</w:t>
      </w:r>
    </w:p>
    <w:p w:rsidR="00C33BED" w:rsidRDefault="00C33BED" w:rsidP="00F51197">
      <w:pPr>
        <w:spacing w:line="480" w:lineRule="auto"/>
        <w:jc w:val="both"/>
        <w:rPr>
          <w:rFonts w:ascii="Bookman Old Style" w:hAnsi="Bookman Old Style"/>
        </w:rPr>
      </w:pPr>
    </w:p>
    <w:p w:rsidR="00C33BED" w:rsidRDefault="00C33BED" w:rsidP="00F51197">
      <w:pPr>
        <w:spacing w:line="480" w:lineRule="auto"/>
        <w:jc w:val="both"/>
        <w:rPr>
          <w:rFonts w:ascii="Bookman Old Style" w:hAnsi="Bookman Old Style"/>
        </w:rPr>
      </w:pPr>
      <w:r>
        <w:rPr>
          <w:rFonts w:ascii="Bookman Old Style" w:hAnsi="Bookman Old Style"/>
        </w:rPr>
        <w:t>Le Centre d’Etude et de Recherche</w:t>
      </w:r>
      <w:r w:rsidR="00C21DDD">
        <w:rPr>
          <w:rFonts w:ascii="Bookman Old Style" w:hAnsi="Bookman Old Style"/>
        </w:rPr>
        <w:t xml:space="preserve"> </w:t>
      </w:r>
      <w:r w:rsidR="002108E2">
        <w:rPr>
          <w:rFonts w:ascii="Bookman Old Style" w:hAnsi="Bookman Old Style"/>
        </w:rPr>
        <w:t>Scientifique</w:t>
      </w:r>
      <w:r w:rsidR="00C21DDD">
        <w:rPr>
          <w:rFonts w:ascii="Bookman Old Style" w:hAnsi="Bookman Old Style"/>
        </w:rPr>
        <w:t xml:space="preserve"> de Djibouti est un établissement public à caractère administratif. Il dispose de la personnalité juridique et de l’autonomie financière et </w:t>
      </w:r>
      <w:r w:rsidR="002108E2">
        <w:rPr>
          <w:rFonts w:ascii="Bookman Old Style" w:hAnsi="Bookman Old Style"/>
        </w:rPr>
        <w:t>administrative</w:t>
      </w:r>
      <w:r w:rsidR="00C21DDD">
        <w:rPr>
          <w:rFonts w:ascii="Bookman Old Style" w:hAnsi="Bookman Old Style"/>
        </w:rPr>
        <w:t xml:space="preserve">. Il était placé sous tutelle du Ministère des Affaires Présidentielles et de </w:t>
      </w:r>
      <w:r w:rsidR="00F5500C">
        <w:rPr>
          <w:rFonts w:ascii="Bookman Old Style" w:hAnsi="Bookman Old Style"/>
        </w:rPr>
        <w:t xml:space="preserve">la </w:t>
      </w:r>
      <w:r w:rsidR="00C21DDD">
        <w:rPr>
          <w:rFonts w:ascii="Bookman Old Style" w:hAnsi="Bookman Old Style"/>
        </w:rPr>
        <w:t>Promotion de l’Investissement. Depuis mai</w:t>
      </w:r>
      <w:r w:rsidR="00F5500C">
        <w:rPr>
          <w:rFonts w:ascii="Bookman Old Style" w:hAnsi="Bookman Old Style"/>
        </w:rPr>
        <w:t xml:space="preserve"> 2011, le CERD est placé sous la</w:t>
      </w:r>
      <w:r w:rsidR="00C21DDD">
        <w:rPr>
          <w:rFonts w:ascii="Bookman Old Style" w:hAnsi="Bookman Old Style"/>
        </w:rPr>
        <w:t xml:space="preserve"> tutelle du Ministère de l’Enseignement </w:t>
      </w:r>
      <w:r w:rsidR="002108E2">
        <w:rPr>
          <w:rFonts w:ascii="Bookman Old Style" w:hAnsi="Bookman Old Style"/>
        </w:rPr>
        <w:t>Supérieur</w:t>
      </w:r>
      <w:r w:rsidR="00C21DDD">
        <w:rPr>
          <w:rFonts w:ascii="Bookman Old Style" w:hAnsi="Bookman Old Style"/>
        </w:rPr>
        <w:t xml:space="preserve"> et de la Recherche. La tutelle a pour mandat de s’assurer à posteriori :</w:t>
      </w:r>
    </w:p>
    <w:p w:rsidR="00C21DDD" w:rsidRDefault="00C21DDD" w:rsidP="00F51197">
      <w:pPr>
        <w:pStyle w:val="Paragraphedeliste"/>
        <w:numPr>
          <w:ilvl w:val="0"/>
          <w:numId w:val="1"/>
        </w:numPr>
        <w:spacing w:line="480" w:lineRule="auto"/>
        <w:jc w:val="both"/>
        <w:rPr>
          <w:rFonts w:ascii="Bookman Old Style" w:hAnsi="Bookman Old Style"/>
        </w:rPr>
      </w:pPr>
      <w:r>
        <w:rPr>
          <w:rFonts w:ascii="Bookman Old Style" w:hAnsi="Bookman Old Style"/>
        </w:rPr>
        <w:t xml:space="preserve">du bon fonctionnement du Centre au regard des </w:t>
      </w:r>
      <w:r w:rsidR="002108E2">
        <w:rPr>
          <w:rFonts w:ascii="Bookman Old Style" w:hAnsi="Bookman Old Style"/>
        </w:rPr>
        <w:t>règles</w:t>
      </w:r>
      <w:r>
        <w:rPr>
          <w:rFonts w:ascii="Bookman Old Style" w:hAnsi="Bookman Old Style"/>
        </w:rPr>
        <w:t xml:space="preserve"> normales de gestion,</w:t>
      </w:r>
    </w:p>
    <w:p w:rsidR="00C21DDD" w:rsidRDefault="00C21DDD" w:rsidP="00F51197">
      <w:pPr>
        <w:pStyle w:val="Paragraphedeliste"/>
        <w:numPr>
          <w:ilvl w:val="0"/>
          <w:numId w:val="1"/>
        </w:numPr>
        <w:spacing w:line="480" w:lineRule="auto"/>
        <w:jc w:val="both"/>
        <w:rPr>
          <w:rFonts w:ascii="Bookman Old Style" w:hAnsi="Bookman Old Style"/>
        </w:rPr>
      </w:pPr>
      <w:r>
        <w:rPr>
          <w:rFonts w:ascii="Bookman Old Style" w:hAnsi="Bookman Old Style"/>
        </w:rPr>
        <w:t>de l’adéquation de sa stratégie de recherche scientifique aux objectifs fixés par le Gouvernement ;</w:t>
      </w:r>
    </w:p>
    <w:p w:rsidR="00C21DDD" w:rsidRDefault="00C21DDD" w:rsidP="00F51197">
      <w:pPr>
        <w:pStyle w:val="Paragraphedeliste"/>
        <w:numPr>
          <w:ilvl w:val="0"/>
          <w:numId w:val="1"/>
        </w:numPr>
        <w:spacing w:line="480" w:lineRule="auto"/>
        <w:jc w:val="both"/>
        <w:rPr>
          <w:rFonts w:ascii="Bookman Old Style" w:hAnsi="Bookman Old Style"/>
        </w:rPr>
      </w:pPr>
      <w:r>
        <w:rPr>
          <w:rFonts w:ascii="Bookman Old Style" w:hAnsi="Bookman Old Style"/>
        </w:rPr>
        <w:t>des résultats obtenus au regard des objectifs fixés.</w:t>
      </w:r>
    </w:p>
    <w:p w:rsidR="00C568D3" w:rsidRDefault="00C568D3" w:rsidP="00F51197">
      <w:pPr>
        <w:spacing w:line="480" w:lineRule="auto"/>
        <w:jc w:val="both"/>
        <w:rPr>
          <w:rFonts w:ascii="Bookman Old Style" w:hAnsi="Bookman Old Style"/>
        </w:rPr>
      </w:pPr>
      <w:r>
        <w:rPr>
          <w:rFonts w:ascii="Bookman Old Style" w:hAnsi="Bookman Old Style"/>
        </w:rPr>
        <w:t>Le CERD a pour mission principalement :</w:t>
      </w:r>
    </w:p>
    <w:p w:rsidR="00C568D3" w:rsidRDefault="00C568D3" w:rsidP="00F51197">
      <w:pPr>
        <w:spacing w:line="480" w:lineRule="auto"/>
        <w:jc w:val="both"/>
        <w:rPr>
          <w:rFonts w:ascii="Bookman Old Style" w:hAnsi="Bookman Old Style"/>
        </w:rPr>
      </w:pPr>
      <w:r>
        <w:rPr>
          <w:rFonts w:ascii="Bookman Old Style" w:hAnsi="Bookman Old Style"/>
        </w:rPr>
        <w:t>- d’être un outil de recherche multidisciplinaire au service du développement humain durable ;</w:t>
      </w:r>
    </w:p>
    <w:p w:rsidR="00C568D3" w:rsidRDefault="00C568D3" w:rsidP="00F51197">
      <w:pPr>
        <w:spacing w:line="480" w:lineRule="auto"/>
        <w:jc w:val="both"/>
        <w:rPr>
          <w:rFonts w:ascii="Bookman Old Style" w:hAnsi="Bookman Old Style"/>
        </w:rPr>
      </w:pPr>
      <w:r>
        <w:rPr>
          <w:rFonts w:ascii="Bookman Old Style" w:hAnsi="Bookman Old Style"/>
        </w:rPr>
        <w:t>- d’animer le système scientifique national ;</w:t>
      </w:r>
    </w:p>
    <w:p w:rsidR="00C568D3" w:rsidRDefault="00C568D3" w:rsidP="00F51197">
      <w:pPr>
        <w:spacing w:line="480" w:lineRule="auto"/>
        <w:jc w:val="both"/>
        <w:rPr>
          <w:rFonts w:ascii="Bookman Old Style" w:hAnsi="Bookman Old Style"/>
        </w:rPr>
      </w:pPr>
      <w:r>
        <w:rPr>
          <w:rFonts w:ascii="Bookman Old Style" w:hAnsi="Bookman Old Style"/>
        </w:rPr>
        <w:t>- de conduire des actions de recherche fondamentale et appliquée ;</w:t>
      </w:r>
    </w:p>
    <w:p w:rsidR="00C568D3" w:rsidRDefault="00C568D3" w:rsidP="00F51197">
      <w:pPr>
        <w:spacing w:line="480" w:lineRule="auto"/>
        <w:jc w:val="both"/>
        <w:rPr>
          <w:rFonts w:ascii="Bookman Old Style" w:hAnsi="Bookman Old Style"/>
        </w:rPr>
      </w:pPr>
      <w:r>
        <w:rPr>
          <w:rFonts w:ascii="Bookman Old Style" w:hAnsi="Bookman Old Style"/>
        </w:rPr>
        <w:t>- de renforcer les capacités nationales en matière du savoir scientifique et technique ;</w:t>
      </w:r>
    </w:p>
    <w:p w:rsidR="00C568D3" w:rsidRDefault="00C568D3" w:rsidP="00F51197">
      <w:pPr>
        <w:spacing w:line="480" w:lineRule="auto"/>
        <w:jc w:val="both"/>
        <w:rPr>
          <w:rFonts w:ascii="Bookman Old Style" w:hAnsi="Bookman Old Style"/>
        </w:rPr>
      </w:pPr>
      <w:r>
        <w:rPr>
          <w:rFonts w:ascii="Bookman Old Style" w:hAnsi="Bookman Old Style"/>
        </w:rPr>
        <w:t>- d’être  un haut lieu de formation, de concertation et d’échanges ;</w:t>
      </w:r>
    </w:p>
    <w:p w:rsidR="00C568D3" w:rsidRDefault="00C568D3" w:rsidP="00F51197">
      <w:pPr>
        <w:spacing w:line="480" w:lineRule="auto"/>
        <w:jc w:val="both"/>
        <w:rPr>
          <w:rFonts w:ascii="Bookman Old Style" w:hAnsi="Bookman Old Style"/>
        </w:rPr>
      </w:pPr>
      <w:r>
        <w:rPr>
          <w:rFonts w:ascii="Bookman Old Style" w:hAnsi="Bookman Old Style"/>
        </w:rPr>
        <w:t>- d’être un instrument pour le rayonnement de la recherche dans le pays ;</w:t>
      </w:r>
    </w:p>
    <w:p w:rsidR="00C568D3" w:rsidRDefault="00C568D3" w:rsidP="00F51197">
      <w:pPr>
        <w:spacing w:line="480" w:lineRule="auto"/>
        <w:jc w:val="both"/>
        <w:rPr>
          <w:rFonts w:ascii="Bookman Old Style" w:hAnsi="Bookman Old Style"/>
        </w:rPr>
      </w:pPr>
      <w:r>
        <w:rPr>
          <w:rFonts w:ascii="Bookman Old Style" w:hAnsi="Bookman Old Style"/>
        </w:rPr>
        <w:t>- d’être une structure de gestion et de diffusion de l’information scientifique.</w:t>
      </w:r>
    </w:p>
    <w:p w:rsidR="00C568D3" w:rsidRPr="00C568D3" w:rsidRDefault="00C568D3" w:rsidP="00F51197">
      <w:pPr>
        <w:spacing w:line="480" w:lineRule="auto"/>
        <w:jc w:val="both"/>
        <w:rPr>
          <w:rFonts w:ascii="Bookman Old Style" w:hAnsi="Bookman Old Style"/>
        </w:rPr>
      </w:pPr>
    </w:p>
    <w:p w:rsidR="00C21DDD" w:rsidRDefault="00C21DDD" w:rsidP="00F51197">
      <w:pPr>
        <w:spacing w:line="480" w:lineRule="auto"/>
        <w:jc w:val="both"/>
        <w:rPr>
          <w:rFonts w:ascii="Bookman Old Style" w:hAnsi="Bookman Old Style"/>
        </w:rPr>
      </w:pPr>
    </w:p>
    <w:p w:rsidR="00C21DDD" w:rsidRDefault="002108E2" w:rsidP="00F51197">
      <w:pPr>
        <w:spacing w:line="480" w:lineRule="auto"/>
        <w:jc w:val="both"/>
        <w:rPr>
          <w:rFonts w:ascii="Bookman Old Style" w:hAnsi="Bookman Old Style"/>
          <w:b/>
        </w:rPr>
      </w:pPr>
      <w:r w:rsidRPr="002108E2">
        <w:rPr>
          <w:rFonts w:ascii="Bookman Old Style" w:hAnsi="Bookman Old Style"/>
          <w:b/>
        </w:rPr>
        <w:t>2.3.2 La gouvernance du CERD</w:t>
      </w:r>
    </w:p>
    <w:p w:rsidR="002108E2" w:rsidRDefault="00CC3E03" w:rsidP="00F51197">
      <w:pPr>
        <w:spacing w:line="480" w:lineRule="auto"/>
        <w:jc w:val="both"/>
        <w:rPr>
          <w:rFonts w:ascii="Bookman Old Style" w:hAnsi="Bookman Old Style"/>
        </w:rPr>
      </w:pPr>
      <w:r>
        <w:rPr>
          <w:rFonts w:ascii="Bookman Old Style" w:hAnsi="Bookman Old Style"/>
        </w:rPr>
        <w:tab/>
      </w:r>
      <w:r w:rsidR="002108E2">
        <w:rPr>
          <w:rFonts w:ascii="Bookman Old Style" w:hAnsi="Bookman Old Style"/>
        </w:rPr>
        <w:t>Deux organes interviennent dans la gouvernance du Centre :</w:t>
      </w:r>
    </w:p>
    <w:p w:rsidR="002108E2" w:rsidRDefault="002108E2" w:rsidP="00F51197">
      <w:pPr>
        <w:pStyle w:val="Paragraphedeliste"/>
        <w:numPr>
          <w:ilvl w:val="0"/>
          <w:numId w:val="1"/>
        </w:numPr>
        <w:spacing w:line="480" w:lineRule="auto"/>
        <w:jc w:val="both"/>
        <w:rPr>
          <w:rFonts w:ascii="Bookman Old Style" w:hAnsi="Bookman Old Style"/>
        </w:rPr>
      </w:pPr>
      <w:r>
        <w:rPr>
          <w:rFonts w:ascii="Bookman Old Style" w:hAnsi="Bookman Old Style"/>
        </w:rPr>
        <w:t>le Conseil National Scientifique</w:t>
      </w:r>
    </w:p>
    <w:p w:rsidR="002108E2" w:rsidRDefault="002108E2" w:rsidP="00F51197">
      <w:pPr>
        <w:pStyle w:val="Paragraphedeliste"/>
        <w:numPr>
          <w:ilvl w:val="0"/>
          <w:numId w:val="1"/>
        </w:numPr>
        <w:spacing w:line="480" w:lineRule="auto"/>
        <w:jc w:val="both"/>
        <w:rPr>
          <w:rFonts w:ascii="Bookman Old Style" w:hAnsi="Bookman Old Style"/>
        </w:rPr>
      </w:pPr>
      <w:r>
        <w:rPr>
          <w:rFonts w:ascii="Bookman Old Style" w:hAnsi="Bookman Old Style"/>
        </w:rPr>
        <w:t xml:space="preserve"> Le Directoire.</w:t>
      </w:r>
    </w:p>
    <w:p w:rsidR="00252E69" w:rsidRDefault="00CC3E03" w:rsidP="00F51197">
      <w:pPr>
        <w:spacing w:line="480" w:lineRule="auto"/>
        <w:jc w:val="both"/>
        <w:rPr>
          <w:rFonts w:ascii="Bookman Old Style" w:hAnsi="Bookman Old Style"/>
        </w:rPr>
      </w:pPr>
      <w:r>
        <w:rPr>
          <w:rFonts w:ascii="Bookman Old Style" w:hAnsi="Bookman Old Style"/>
        </w:rPr>
        <w:tab/>
      </w:r>
      <w:r w:rsidR="002108E2">
        <w:rPr>
          <w:rFonts w:ascii="Bookman Old Style" w:hAnsi="Bookman Old Style"/>
        </w:rPr>
        <w:t>Le CERD est administré par le Conseil National Scientifique (CNS). Cet organe dispose des attributions dévolues au Conseil d’Administration des Etablissements Publics à caractère</w:t>
      </w:r>
      <w:r w:rsidR="00252E69">
        <w:rPr>
          <w:rFonts w:ascii="Bookman Old Style" w:hAnsi="Bookman Old Style"/>
        </w:rPr>
        <w:t xml:space="preserve"> administratif selon les dispositions de la loi n°02/AN/98. Le CNS est l’organe suprême du CERD. Il est composé des spécialistes nommés pour une durée de 3 ans renouvelables et choisi en raison de leurs compétences respectives dans les domaines d’activités du CERD. Les CNS sont nommés en Conseil des Ministres. Le CNS élit parmi ses membres, un président et un vice-président et ce pour une durée de 3 ans renouvelables. Le CNS est chargé notamment :</w:t>
      </w:r>
    </w:p>
    <w:p w:rsidR="00252E69" w:rsidRDefault="00252E69" w:rsidP="00F51197">
      <w:pPr>
        <w:pStyle w:val="Paragraphedeliste"/>
        <w:numPr>
          <w:ilvl w:val="0"/>
          <w:numId w:val="1"/>
        </w:numPr>
        <w:spacing w:line="480" w:lineRule="auto"/>
        <w:jc w:val="both"/>
        <w:rPr>
          <w:rFonts w:ascii="Bookman Old Style" w:hAnsi="Bookman Old Style"/>
        </w:rPr>
      </w:pPr>
      <w:r>
        <w:rPr>
          <w:rFonts w:ascii="Bookman Old Style" w:hAnsi="Bookman Old Style"/>
        </w:rPr>
        <w:t>préparer et veiller à la mise en œuvre de la politique scientifique ;</w:t>
      </w:r>
    </w:p>
    <w:p w:rsidR="00252E69" w:rsidRDefault="00252E69" w:rsidP="00F51197">
      <w:pPr>
        <w:pStyle w:val="Paragraphedeliste"/>
        <w:numPr>
          <w:ilvl w:val="0"/>
          <w:numId w:val="1"/>
        </w:numPr>
        <w:spacing w:line="480" w:lineRule="auto"/>
        <w:jc w:val="both"/>
        <w:rPr>
          <w:rFonts w:ascii="Bookman Old Style" w:hAnsi="Bookman Old Style"/>
        </w:rPr>
      </w:pPr>
      <w:r>
        <w:rPr>
          <w:rFonts w:ascii="Bookman Old Style" w:hAnsi="Bookman Old Style"/>
        </w:rPr>
        <w:t>élaborer les axes de la stratégie des recherches scientifiques, conformément aux priorités retenues par le gouvernement en matière de recherche ;</w:t>
      </w:r>
    </w:p>
    <w:p w:rsidR="002108E2" w:rsidRDefault="00252E69" w:rsidP="00F51197">
      <w:pPr>
        <w:pStyle w:val="Paragraphedeliste"/>
        <w:numPr>
          <w:ilvl w:val="0"/>
          <w:numId w:val="1"/>
        </w:numPr>
        <w:spacing w:line="480" w:lineRule="auto"/>
        <w:jc w:val="both"/>
        <w:rPr>
          <w:rFonts w:ascii="Bookman Old Style" w:hAnsi="Bookman Old Style"/>
        </w:rPr>
      </w:pPr>
      <w:r>
        <w:rPr>
          <w:rFonts w:ascii="Bookman Old Style" w:hAnsi="Bookman Old Style"/>
        </w:rPr>
        <w:t xml:space="preserve">établir la programmation annuelle des travaux de recherche  et allouer les ressources financières </w:t>
      </w:r>
      <w:r w:rsidRPr="00252E69">
        <w:rPr>
          <w:rFonts w:ascii="Bookman Old Style" w:hAnsi="Bookman Old Style"/>
        </w:rPr>
        <w:t xml:space="preserve"> </w:t>
      </w:r>
      <w:r>
        <w:rPr>
          <w:rFonts w:ascii="Bookman Old Style" w:hAnsi="Bookman Old Style"/>
        </w:rPr>
        <w:t>provenant  du fonds de recherche ;</w:t>
      </w:r>
    </w:p>
    <w:p w:rsidR="00252E69" w:rsidRDefault="00252E69" w:rsidP="00F51197">
      <w:pPr>
        <w:pStyle w:val="Paragraphedeliste"/>
        <w:numPr>
          <w:ilvl w:val="0"/>
          <w:numId w:val="1"/>
        </w:numPr>
        <w:spacing w:line="480" w:lineRule="auto"/>
        <w:jc w:val="both"/>
        <w:rPr>
          <w:rFonts w:ascii="Bookman Old Style" w:hAnsi="Bookman Old Style"/>
        </w:rPr>
      </w:pPr>
      <w:r>
        <w:rPr>
          <w:rFonts w:ascii="Bookman Old Style" w:hAnsi="Bookman Old Style"/>
        </w:rPr>
        <w:t>veiller à la cohérence des programmes ;</w:t>
      </w:r>
    </w:p>
    <w:p w:rsidR="00252E69" w:rsidRDefault="00252E69" w:rsidP="00F51197">
      <w:pPr>
        <w:pStyle w:val="Paragraphedeliste"/>
        <w:numPr>
          <w:ilvl w:val="0"/>
          <w:numId w:val="1"/>
        </w:numPr>
        <w:spacing w:line="480" w:lineRule="auto"/>
        <w:jc w:val="both"/>
        <w:rPr>
          <w:rFonts w:ascii="Bookman Old Style" w:hAnsi="Bookman Old Style"/>
        </w:rPr>
      </w:pPr>
      <w:r>
        <w:rPr>
          <w:rFonts w:ascii="Bookman Old Style" w:hAnsi="Bookman Old Style"/>
        </w:rPr>
        <w:t>promouvoir la recherche scientifique, fondamentale et appliquée, notamment les activités de recherche et de développement ;</w:t>
      </w:r>
    </w:p>
    <w:p w:rsidR="00252E69" w:rsidRDefault="00252E69" w:rsidP="00F51197">
      <w:pPr>
        <w:pStyle w:val="Paragraphedeliste"/>
        <w:numPr>
          <w:ilvl w:val="0"/>
          <w:numId w:val="1"/>
        </w:numPr>
        <w:spacing w:line="480" w:lineRule="auto"/>
        <w:jc w:val="both"/>
        <w:rPr>
          <w:rFonts w:ascii="Bookman Old Style" w:hAnsi="Bookman Old Style"/>
        </w:rPr>
      </w:pPr>
      <w:r>
        <w:rPr>
          <w:rFonts w:ascii="Bookman Old Style" w:hAnsi="Bookman Old Style"/>
        </w:rPr>
        <w:t>adopter les programmes de formation proposé par le Directoire ;</w:t>
      </w:r>
    </w:p>
    <w:p w:rsidR="00252E69" w:rsidRDefault="00252E69" w:rsidP="00F51197">
      <w:pPr>
        <w:pStyle w:val="Paragraphedeliste"/>
        <w:numPr>
          <w:ilvl w:val="0"/>
          <w:numId w:val="1"/>
        </w:numPr>
        <w:spacing w:line="480" w:lineRule="auto"/>
        <w:jc w:val="both"/>
        <w:rPr>
          <w:rFonts w:ascii="Bookman Old Style" w:hAnsi="Bookman Old Style"/>
        </w:rPr>
      </w:pPr>
      <w:r>
        <w:rPr>
          <w:rFonts w:ascii="Bookman Old Style" w:hAnsi="Bookman Old Style"/>
        </w:rPr>
        <w:t>évaluer l’activité des instituts</w:t>
      </w:r>
      <w:r w:rsidR="00D67523">
        <w:rPr>
          <w:rFonts w:ascii="Bookman Old Style" w:hAnsi="Bookman Old Style"/>
        </w:rPr>
        <w:t xml:space="preserve"> et</w:t>
      </w:r>
      <w:r>
        <w:rPr>
          <w:rFonts w:ascii="Bookman Old Style" w:hAnsi="Bookman Old Style"/>
        </w:rPr>
        <w:t xml:space="preserve"> des laboratoires qui y sont attachés.</w:t>
      </w:r>
    </w:p>
    <w:p w:rsidR="00252E69" w:rsidRDefault="00252E69" w:rsidP="00F51197">
      <w:pPr>
        <w:spacing w:line="480" w:lineRule="auto"/>
        <w:jc w:val="both"/>
        <w:rPr>
          <w:rFonts w:ascii="Bookman Old Style" w:hAnsi="Bookman Old Style"/>
        </w:rPr>
      </w:pPr>
    </w:p>
    <w:p w:rsidR="00D67523" w:rsidRDefault="00CC3E03" w:rsidP="00F51197">
      <w:pPr>
        <w:spacing w:line="480" w:lineRule="auto"/>
        <w:jc w:val="both"/>
        <w:rPr>
          <w:rFonts w:ascii="Bookman Old Style" w:hAnsi="Bookman Old Style"/>
        </w:rPr>
      </w:pPr>
      <w:r>
        <w:rPr>
          <w:rFonts w:ascii="Bookman Old Style" w:hAnsi="Bookman Old Style"/>
        </w:rPr>
        <w:tab/>
      </w:r>
      <w:r w:rsidR="008D29EB">
        <w:rPr>
          <w:rFonts w:ascii="Bookman Old Style" w:hAnsi="Bookman Old Style"/>
        </w:rPr>
        <w:t>Le directoire</w:t>
      </w:r>
      <w:r w:rsidR="00D67523">
        <w:rPr>
          <w:rFonts w:ascii="Bookman Old Style" w:hAnsi="Bookman Old Style"/>
        </w:rPr>
        <w:t xml:space="preserve"> </w:t>
      </w:r>
      <w:r w:rsidR="008D29EB">
        <w:rPr>
          <w:rFonts w:ascii="Bookman Old Style" w:hAnsi="Bookman Old Style"/>
        </w:rPr>
        <w:t xml:space="preserve">est composé </w:t>
      </w:r>
      <w:r w:rsidR="00D67523">
        <w:rPr>
          <w:rFonts w:ascii="Bookman Old Style" w:hAnsi="Bookman Old Style"/>
        </w:rPr>
        <w:t xml:space="preserve">des </w:t>
      </w:r>
      <w:r w:rsidR="008D29EB">
        <w:rPr>
          <w:rFonts w:ascii="Bookman Old Style" w:hAnsi="Bookman Old Style"/>
        </w:rPr>
        <w:t>directeurs</w:t>
      </w:r>
      <w:r w:rsidR="00D67523">
        <w:rPr>
          <w:rFonts w:ascii="Bookman Old Style" w:hAnsi="Bookman Old Style"/>
        </w:rPr>
        <w:t xml:space="preserve"> des instituts des recherches. Il est dirigé par un directeur général choisi</w:t>
      </w:r>
      <w:r w:rsidR="008D29EB">
        <w:rPr>
          <w:rFonts w:ascii="Bookman Old Style" w:hAnsi="Bookman Old Style"/>
        </w:rPr>
        <w:t xml:space="preserve"> parmi ses membres pour une durée de 3 ans renouvelables une fois et sur désignation du CNS. Le directoire est chargé de :</w:t>
      </w:r>
    </w:p>
    <w:p w:rsidR="008D29EB" w:rsidRDefault="008D29EB" w:rsidP="00F51197">
      <w:pPr>
        <w:pStyle w:val="Paragraphedeliste"/>
        <w:numPr>
          <w:ilvl w:val="0"/>
          <w:numId w:val="1"/>
        </w:numPr>
        <w:spacing w:line="480" w:lineRule="auto"/>
        <w:jc w:val="both"/>
        <w:rPr>
          <w:rFonts w:ascii="Bookman Old Style" w:hAnsi="Bookman Old Style"/>
        </w:rPr>
      </w:pPr>
      <w:r>
        <w:rPr>
          <w:rFonts w:ascii="Bookman Old Style" w:hAnsi="Bookman Old Style"/>
        </w:rPr>
        <w:t>assurer le secrétariat du CNS, lors de ses diverses réunions ;</w:t>
      </w:r>
    </w:p>
    <w:p w:rsidR="008D29EB" w:rsidRDefault="008D29EB" w:rsidP="00F51197">
      <w:pPr>
        <w:pStyle w:val="Paragraphedeliste"/>
        <w:numPr>
          <w:ilvl w:val="0"/>
          <w:numId w:val="1"/>
        </w:numPr>
        <w:spacing w:line="480" w:lineRule="auto"/>
        <w:jc w:val="both"/>
        <w:rPr>
          <w:rFonts w:ascii="Bookman Old Style" w:hAnsi="Bookman Old Style"/>
        </w:rPr>
      </w:pPr>
      <w:r>
        <w:rPr>
          <w:rFonts w:ascii="Bookman Old Style" w:hAnsi="Bookman Old Style"/>
        </w:rPr>
        <w:t xml:space="preserve">veiller au développement du rayonnement extérieur du </w:t>
      </w:r>
      <w:r w:rsidR="00F44B6D">
        <w:rPr>
          <w:rFonts w:ascii="Bookman Old Style" w:hAnsi="Bookman Old Style"/>
        </w:rPr>
        <w:t>centre ;</w:t>
      </w:r>
    </w:p>
    <w:p w:rsidR="008D29EB" w:rsidRDefault="008D29EB" w:rsidP="00F51197">
      <w:pPr>
        <w:pStyle w:val="Paragraphedeliste"/>
        <w:numPr>
          <w:ilvl w:val="0"/>
          <w:numId w:val="1"/>
        </w:numPr>
        <w:spacing w:line="480" w:lineRule="auto"/>
        <w:jc w:val="both"/>
        <w:rPr>
          <w:rFonts w:ascii="Bookman Old Style" w:hAnsi="Bookman Old Style"/>
        </w:rPr>
      </w:pPr>
      <w:r>
        <w:rPr>
          <w:rFonts w:ascii="Bookman Old Style" w:hAnsi="Bookman Old Style"/>
        </w:rPr>
        <w:t>assurer la coordination, le suivi et l’évaluation des actions entreprises</w:t>
      </w:r>
      <w:r w:rsidR="00F44B6D">
        <w:rPr>
          <w:rFonts w:ascii="Bookman Old Style" w:hAnsi="Bookman Old Style"/>
        </w:rPr>
        <w:t> ;</w:t>
      </w:r>
    </w:p>
    <w:p w:rsidR="00F44B6D" w:rsidRDefault="00F44B6D" w:rsidP="00F51197">
      <w:pPr>
        <w:pStyle w:val="Paragraphedeliste"/>
        <w:numPr>
          <w:ilvl w:val="0"/>
          <w:numId w:val="1"/>
        </w:numPr>
        <w:spacing w:line="480" w:lineRule="auto"/>
        <w:jc w:val="both"/>
        <w:rPr>
          <w:rFonts w:ascii="Bookman Old Style" w:hAnsi="Bookman Old Style"/>
        </w:rPr>
      </w:pPr>
      <w:r>
        <w:rPr>
          <w:rFonts w:ascii="Bookman Old Style" w:hAnsi="Bookman Old Style"/>
        </w:rPr>
        <w:t>contribuer à la mobilisation des ressources financières et assurer la mise en place et la gestion des moyens budgétaires affectés aux divers travaux.</w:t>
      </w:r>
    </w:p>
    <w:p w:rsidR="00E33F03" w:rsidRDefault="00E33F03" w:rsidP="00F51197">
      <w:pPr>
        <w:spacing w:line="480" w:lineRule="auto"/>
        <w:jc w:val="both"/>
        <w:rPr>
          <w:rFonts w:ascii="Bookman Old Style" w:hAnsi="Bookman Old Style"/>
          <w:b/>
        </w:rPr>
      </w:pPr>
    </w:p>
    <w:p w:rsidR="00E33F03" w:rsidRDefault="00E33F03" w:rsidP="00F51197">
      <w:pPr>
        <w:spacing w:line="480" w:lineRule="auto"/>
        <w:jc w:val="both"/>
        <w:rPr>
          <w:rFonts w:ascii="Bookman Old Style" w:hAnsi="Bookman Old Style"/>
          <w:b/>
        </w:rPr>
      </w:pPr>
      <w:r>
        <w:rPr>
          <w:rFonts w:ascii="Bookman Old Style" w:hAnsi="Bookman Old Style"/>
          <w:b/>
        </w:rPr>
        <w:t>2.3.2 Une subvention publique qui ne suit pas le développement de la structure du CERD</w:t>
      </w:r>
    </w:p>
    <w:p w:rsidR="00C61163" w:rsidRDefault="00CC3E03" w:rsidP="00F51197">
      <w:pPr>
        <w:spacing w:line="480" w:lineRule="auto"/>
        <w:jc w:val="both"/>
        <w:rPr>
          <w:rFonts w:ascii="Bookman Old Style" w:hAnsi="Bookman Old Style"/>
        </w:rPr>
      </w:pPr>
      <w:r>
        <w:rPr>
          <w:rFonts w:ascii="Bookman Old Style" w:hAnsi="Bookman Old Style"/>
        </w:rPr>
        <w:tab/>
      </w:r>
      <w:r w:rsidR="00E33F03">
        <w:rPr>
          <w:rFonts w:ascii="Bookman Old Style" w:hAnsi="Bookman Old Style"/>
        </w:rPr>
        <w:t xml:space="preserve">Le Centre bénéficie d’une subvention d’exploitation de la part du ministère des finances. Les recettes propres du CERD sont trop modestes pour aborder une contribution au budget de fonctionnement. La subvention ne suit pas le développement du CERD. </w:t>
      </w:r>
      <w:r w:rsidR="00B61E10">
        <w:rPr>
          <w:rFonts w:ascii="Bookman Old Style" w:hAnsi="Bookman Old Style"/>
        </w:rPr>
        <w:t xml:space="preserve"> Depuis 2001, le CERD connait un agrandissement continu de sa structure : il est passé d’un institut en 2001 à 7  instituts en 2011. Ce changement de la structure s’est accompagné par un accroissement des charges ou besoins de financement du Centre. </w:t>
      </w:r>
      <w:r w:rsidR="006518F5">
        <w:rPr>
          <w:rFonts w:ascii="Bookman Old Style" w:hAnsi="Bookman Old Style"/>
        </w:rPr>
        <w:t xml:space="preserve">Par exemple, l’effectif du personnel  du CERD est passé dans la période de 2007à 2010 de 123 à 210. Il s’agit presqu’un doublement des effectifs du CERD. </w:t>
      </w:r>
      <w:r w:rsidR="0075180A">
        <w:rPr>
          <w:rFonts w:ascii="Bookman Old Style" w:hAnsi="Bookman Old Style"/>
        </w:rPr>
        <w:t>La subvention d’exploitation ne permet pas de couvrir les charges de l’Etablissement.</w:t>
      </w:r>
      <w:r w:rsidR="00A814C6">
        <w:rPr>
          <w:rFonts w:ascii="Bookman Old Style" w:hAnsi="Bookman Old Style"/>
        </w:rPr>
        <w:t xml:space="preserve"> L’agrandissement de la structure implique la mise en de nouveaux instituts avec recrutement de nouveau personnel. Le changement du cadre du corps de chercheurs du centre implique </w:t>
      </w:r>
      <w:r w:rsidR="00C85525">
        <w:rPr>
          <w:rFonts w:ascii="Bookman Old Style" w:hAnsi="Bookman Old Style"/>
        </w:rPr>
        <w:t xml:space="preserve">une revalorisation de rémunération des chercheurs. </w:t>
      </w:r>
    </w:p>
    <w:p w:rsidR="00C61163" w:rsidRDefault="00C61163" w:rsidP="00F51197">
      <w:pPr>
        <w:spacing w:line="480" w:lineRule="auto"/>
        <w:jc w:val="both"/>
        <w:rPr>
          <w:rFonts w:ascii="Bookman Old Style" w:hAnsi="Bookman Old Style"/>
        </w:rPr>
      </w:pPr>
    </w:p>
    <w:p w:rsidR="00F30575" w:rsidRPr="00F30575" w:rsidRDefault="00C61163" w:rsidP="00F51197">
      <w:pPr>
        <w:spacing w:line="480" w:lineRule="auto"/>
        <w:jc w:val="both"/>
        <w:rPr>
          <w:rFonts w:ascii="Bookman Old Style" w:hAnsi="Bookman Old Style"/>
          <w:b/>
        </w:rPr>
      </w:pPr>
      <w:r w:rsidRPr="001C27EA">
        <w:rPr>
          <w:rFonts w:ascii="Bookman Old Style" w:hAnsi="Bookman Old Style"/>
          <w:b/>
          <w:color w:val="FF0000"/>
        </w:rPr>
        <w:t xml:space="preserve">Evolution </w:t>
      </w:r>
      <w:r w:rsidR="00F30575" w:rsidRPr="00F30575">
        <w:rPr>
          <w:rFonts w:ascii="Bookman Old Style" w:hAnsi="Bookman Old Style"/>
          <w:b/>
        </w:rPr>
        <w:t>des produits totaux et des charges totales de l’établissement</w:t>
      </w:r>
      <w:r w:rsidR="00F30575">
        <w:rPr>
          <w:rFonts w:ascii="Bookman Old Style" w:hAnsi="Bookman Old Style"/>
          <w:b/>
        </w:rPr>
        <w:t xml:space="preserve"> chiffres en millions de FDJ</w:t>
      </w:r>
    </w:p>
    <w:tbl>
      <w:tblPr>
        <w:tblStyle w:val="Grilledutableau"/>
        <w:tblW w:w="0" w:type="auto"/>
        <w:tblLook w:val="04A0"/>
      </w:tblPr>
      <w:tblGrid>
        <w:gridCol w:w="3652"/>
        <w:gridCol w:w="1134"/>
        <w:gridCol w:w="1134"/>
        <w:gridCol w:w="1276"/>
        <w:gridCol w:w="1276"/>
      </w:tblGrid>
      <w:tr w:rsidR="00F30575" w:rsidTr="00F30575">
        <w:tc>
          <w:tcPr>
            <w:tcW w:w="3652" w:type="dxa"/>
          </w:tcPr>
          <w:p w:rsidR="00F30575" w:rsidRDefault="00F30575" w:rsidP="00F51197">
            <w:pPr>
              <w:spacing w:line="480" w:lineRule="auto"/>
              <w:jc w:val="both"/>
              <w:rPr>
                <w:rFonts w:ascii="Bookman Old Style" w:hAnsi="Bookman Old Style"/>
              </w:rPr>
            </w:pPr>
          </w:p>
        </w:tc>
        <w:tc>
          <w:tcPr>
            <w:tcW w:w="1134" w:type="dxa"/>
          </w:tcPr>
          <w:p w:rsidR="00F30575" w:rsidRDefault="00F30575" w:rsidP="00F51197">
            <w:pPr>
              <w:spacing w:line="480" w:lineRule="auto"/>
              <w:jc w:val="both"/>
              <w:rPr>
                <w:rFonts w:ascii="Bookman Old Style" w:hAnsi="Bookman Old Style"/>
              </w:rPr>
            </w:pPr>
            <w:r>
              <w:rPr>
                <w:rFonts w:ascii="Bookman Old Style" w:hAnsi="Bookman Old Style"/>
              </w:rPr>
              <w:t>2007</w:t>
            </w:r>
          </w:p>
        </w:tc>
        <w:tc>
          <w:tcPr>
            <w:tcW w:w="1134" w:type="dxa"/>
          </w:tcPr>
          <w:p w:rsidR="00F30575" w:rsidRDefault="00F30575" w:rsidP="00F51197">
            <w:pPr>
              <w:spacing w:line="480" w:lineRule="auto"/>
              <w:jc w:val="both"/>
              <w:rPr>
                <w:rFonts w:ascii="Bookman Old Style" w:hAnsi="Bookman Old Style"/>
              </w:rPr>
            </w:pPr>
            <w:r>
              <w:rPr>
                <w:rFonts w:ascii="Bookman Old Style" w:hAnsi="Bookman Old Style"/>
              </w:rPr>
              <w:t>2008</w:t>
            </w:r>
          </w:p>
        </w:tc>
        <w:tc>
          <w:tcPr>
            <w:tcW w:w="1276" w:type="dxa"/>
          </w:tcPr>
          <w:p w:rsidR="00F30575" w:rsidRDefault="00F30575" w:rsidP="00F51197">
            <w:pPr>
              <w:spacing w:line="480" w:lineRule="auto"/>
              <w:jc w:val="both"/>
              <w:rPr>
                <w:rFonts w:ascii="Bookman Old Style" w:hAnsi="Bookman Old Style"/>
              </w:rPr>
            </w:pPr>
            <w:r>
              <w:rPr>
                <w:rFonts w:ascii="Bookman Old Style" w:hAnsi="Bookman Old Style"/>
              </w:rPr>
              <w:t>2009</w:t>
            </w:r>
          </w:p>
        </w:tc>
        <w:tc>
          <w:tcPr>
            <w:tcW w:w="1276" w:type="dxa"/>
          </w:tcPr>
          <w:p w:rsidR="00F30575" w:rsidRDefault="00F30575" w:rsidP="00F51197">
            <w:pPr>
              <w:spacing w:line="480" w:lineRule="auto"/>
              <w:jc w:val="both"/>
              <w:rPr>
                <w:rFonts w:ascii="Bookman Old Style" w:hAnsi="Bookman Old Style"/>
              </w:rPr>
            </w:pPr>
            <w:r>
              <w:rPr>
                <w:rFonts w:ascii="Bookman Old Style" w:hAnsi="Bookman Old Style"/>
              </w:rPr>
              <w:t>2010</w:t>
            </w:r>
          </w:p>
        </w:tc>
      </w:tr>
      <w:tr w:rsidR="00F30575" w:rsidTr="00F30575">
        <w:tc>
          <w:tcPr>
            <w:tcW w:w="3652" w:type="dxa"/>
          </w:tcPr>
          <w:p w:rsidR="00F30575" w:rsidRPr="00F30575" w:rsidRDefault="00F30575" w:rsidP="00F51197">
            <w:pPr>
              <w:spacing w:line="480" w:lineRule="auto"/>
              <w:jc w:val="both"/>
              <w:rPr>
                <w:rFonts w:ascii="Bookman Old Style" w:hAnsi="Bookman Old Style"/>
                <w:b/>
              </w:rPr>
            </w:pPr>
            <w:r w:rsidRPr="00F30575">
              <w:rPr>
                <w:rFonts w:ascii="Bookman Old Style" w:hAnsi="Bookman Old Style"/>
                <w:b/>
              </w:rPr>
              <w:t>Produits totaux</w:t>
            </w:r>
          </w:p>
        </w:tc>
        <w:tc>
          <w:tcPr>
            <w:tcW w:w="1134" w:type="dxa"/>
          </w:tcPr>
          <w:p w:rsidR="00F30575" w:rsidRDefault="00F30575" w:rsidP="00F51197">
            <w:pPr>
              <w:spacing w:line="480" w:lineRule="auto"/>
              <w:jc w:val="both"/>
              <w:rPr>
                <w:rFonts w:ascii="Bookman Old Style" w:hAnsi="Bookman Old Style"/>
              </w:rPr>
            </w:pPr>
            <w:r>
              <w:rPr>
                <w:rFonts w:ascii="Bookman Old Style" w:hAnsi="Bookman Old Style"/>
              </w:rPr>
              <w:t>387</w:t>
            </w:r>
          </w:p>
        </w:tc>
        <w:tc>
          <w:tcPr>
            <w:tcW w:w="1134" w:type="dxa"/>
          </w:tcPr>
          <w:p w:rsidR="00F30575" w:rsidRDefault="00F30575" w:rsidP="00F51197">
            <w:pPr>
              <w:spacing w:line="480" w:lineRule="auto"/>
              <w:jc w:val="both"/>
              <w:rPr>
                <w:rFonts w:ascii="Bookman Old Style" w:hAnsi="Bookman Old Style"/>
              </w:rPr>
            </w:pPr>
            <w:r>
              <w:rPr>
                <w:rFonts w:ascii="Bookman Old Style" w:hAnsi="Bookman Old Style"/>
              </w:rPr>
              <w:t>589</w:t>
            </w:r>
          </w:p>
        </w:tc>
        <w:tc>
          <w:tcPr>
            <w:tcW w:w="1276" w:type="dxa"/>
          </w:tcPr>
          <w:p w:rsidR="00F30575" w:rsidRDefault="00F30575" w:rsidP="00F51197">
            <w:pPr>
              <w:spacing w:line="480" w:lineRule="auto"/>
              <w:jc w:val="both"/>
              <w:rPr>
                <w:rFonts w:ascii="Bookman Old Style" w:hAnsi="Bookman Old Style"/>
              </w:rPr>
            </w:pPr>
            <w:r>
              <w:rPr>
                <w:rFonts w:ascii="Bookman Old Style" w:hAnsi="Bookman Old Style"/>
              </w:rPr>
              <w:t>519</w:t>
            </w:r>
          </w:p>
        </w:tc>
        <w:tc>
          <w:tcPr>
            <w:tcW w:w="1276" w:type="dxa"/>
          </w:tcPr>
          <w:p w:rsidR="00F30575" w:rsidRDefault="00F30575" w:rsidP="00F51197">
            <w:pPr>
              <w:spacing w:line="480" w:lineRule="auto"/>
              <w:jc w:val="both"/>
              <w:rPr>
                <w:rFonts w:ascii="Bookman Old Style" w:hAnsi="Bookman Old Style"/>
              </w:rPr>
            </w:pPr>
            <w:r>
              <w:rPr>
                <w:rFonts w:ascii="Bookman Old Style" w:hAnsi="Bookman Old Style"/>
              </w:rPr>
              <w:t>531</w:t>
            </w:r>
          </w:p>
        </w:tc>
      </w:tr>
      <w:tr w:rsidR="00F30575" w:rsidTr="00F30575">
        <w:tc>
          <w:tcPr>
            <w:tcW w:w="3652" w:type="dxa"/>
          </w:tcPr>
          <w:p w:rsidR="00F30575" w:rsidRPr="00F30575" w:rsidRDefault="00F30575" w:rsidP="00F51197">
            <w:pPr>
              <w:spacing w:line="480" w:lineRule="auto"/>
              <w:jc w:val="both"/>
              <w:rPr>
                <w:rFonts w:ascii="Bookman Old Style" w:hAnsi="Bookman Old Style"/>
                <w:b/>
              </w:rPr>
            </w:pPr>
            <w:r w:rsidRPr="00F30575">
              <w:rPr>
                <w:rFonts w:ascii="Bookman Old Style" w:hAnsi="Bookman Old Style"/>
                <w:b/>
              </w:rPr>
              <w:t>Charges totales</w:t>
            </w:r>
          </w:p>
        </w:tc>
        <w:tc>
          <w:tcPr>
            <w:tcW w:w="1134" w:type="dxa"/>
          </w:tcPr>
          <w:p w:rsidR="00F30575" w:rsidRDefault="00F30575" w:rsidP="00F51197">
            <w:pPr>
              <w:spacing w:line="480" w:lineRule="auto"/>
              <w:jc w:val="both"/>
              <w:rPr>
                <w:rFonts w:ascii="Bookman Old Style" w:hAnsi="Bookman Old Style"/>
              </w:rPr>
            </w:pPr>
            <w:r>
              <w:rPr>
                <w:rFonts w:ascii="Bookman Old Style" w:hAnsi="Bookman Old Style"/>
              </w:rPr>
              <w:t>439</w:t>
            </w:r>
          </w:p>
        </w:tc>
        <w:tc>
          <w:tcPr>
            <w:tcW w:w="1134" w:type="dxa"/>
          </w:tcPr>
          <w:p w:rsidR="00F30575" w:rsidRDefault="00F30575" w:rsidP="00F51197">
            <w:pPr>
              <w:spacing w:line="480" w:lineRule="auto"/>
              <w:jc w:val="both"/>
              <w:rPr>
                <w:rFonts w:ascii="Bookman Old Style" w:hAnsi="Bookman Old Style"/>
              </w:rPr>
            </w:pPr>
            <w:r>
              <w:rPr>
                <w:rFonts w:ascii="Bookman Old Style" w:hAnsi="Bookman Old Style"/>
              </w:rPr>
              <w:t>477</w:t>
            </w:r>
          </w:p>
        </w:tc>
        <w:tc>
          <w:tcPr>
            <w:tcW w:w="1276" w:type="dxa"/>
          </w:tcPr>
          <w:p w:rsidR="00F30575" w:rsidRDefault="00F30575" w:rsidP="00F51197">
            <w:pPr>
              <w:spacing w:line="480" w:lineRule="auto"/>
              <w:jc w:val="both"/>
              <w:rPr>
                <w:rFonts w:ascii="Bookman Old Style" w:hAnsi="Bookman Old Style"/>
              </w:rPr>
            </w:pPr>
            <w:r>
              <w:rPr>
                <w:rFonts w:ascii="Bookman Old Style" w:hAnsi="Bookman Old Style"/>
              </w:rPr>
              <w:t>536</w:t>
            </w:r>
          </w:p>
        </w:tc>
        <w:tc>
          <w:tcPr>
            <w:tcW w:w="1276" w:type="dxa"/>
          </w:tcPr>
          <w:p w:rsidR="00F30575" w:rsidRDefault="00F30575" w:rsidP="00F51197">
            <w:pPr>
              <w:spacing w:line="480" w:lineRule="auto"/>
              <w:jc w:val="both"/>
              <w:rPr>
                <w:rFonts w:ascii="Bookman Old Style" w:hAnsi="Bookman Old Style"/>
              </w:rPr>
            </w:pPr>
            <w:r>
              <w:rPr>
                <w:rFonts w:ascii="Bookman Old Style" w:hAnsi="Bookman Old Style"/>
              </w:rPr>
              <w:t>657</w:t>
            </w:r>
          </w:p>
        </w:tc>
      </w:tr>
    </w:tbl>
    <w:p w:rsidR="00F30575" w:rsidRPr="00F30575" w:rsidRDefault="00F30575" w:rsidP="00F51197">
      <w:pPr>
        <w:spacing w:line="480" w:lineRule="auto"/>
        <w:jc w:val="both"/>
        <w:rPr>
          <w:rFonts w:ascii="Bookman Old Style" w:hAnsi="Bookman Old Style"/>
          <w:sz w:val="20"/>
          <w:szCs w:val="20"/>
        </w:rPr>
      </w:pPr>
      <w:r w:rsidRPr="00F30575">
        <w:rPr>
          <w:rFonts w:ascii="Bookman Old Style" w:hAnsi="Bookman Old Style"/>
          <w:sz w:val="20"/>
          <w:szCs w:val="20"/>
        </w:rPr>
        <w:t>Sources : comptes financière du CERD</w:t>
      </w:r>
    </w:p>
    <w:p w:rsidR="00484053" w:rsidRDefault="00F30575" w:rsidP="00F51197">
      <w:pPr>
        <w:spacing w:line="480" w:lineRule="auto"/>
        <w:jc w:val="both"/>
        <w:rPr>
          <w:rFonts w:ascii="Bookman Old Style" w:hAnsi="Bookman Old Style"/>
        </w:rPr>
      </w:pPr>
      <w:r>
        <w:rPr>
          <w:rFonts w:ascii="Bookman Old Style" w:hAnsi="Bookman Old Style"/>
        </w:rPr>
        <w:t xml:space="preserve">Les produits sont essentiellement constitués de la subvention d’exploitation annuelle, payée par l’Etat. Les charges sont essentiellement constituées par des charges du personnel. </w:t>
      </w:r>
      <w:r w:rsidR="00C85525">
        <w:rPr>
          <w:rFonts w:ascii="Bookman Old Style" w:hAnsi="Bookman Old Style"/>
        </w:rPr>
        <w:t>Par conséquent</w:t>
      </w:r>
      <w:r>
        <w:rPr>
          <w:rFonts w:ascii="Bookman Old Style" w:hAnsi="Bookman Old Style"/>
        </w:rPr>
        <w:t xml:space="preserve"> comme nous le constatons à travers le tableau ci-dessus,</w:t>
      </w:r>
      <w:r w:rsidR="00C85525">
        <w:rPr>
          <w:rFonts w:ascii="Bookman Old Style" w:hAnsi="Bookman Old Style"/>
        </w:rPr>
        <w:t xml:space="preserve"> le CERD traverse</w:t>
      </w:r>
      <w:r w:rsidR="00CC3E03">
        <w:rPr>
          <w:rFonts w:ascii="Bookman Old Style" w:hAnsi="Bookman Old Style"/>
        </w:rPr>
        <w:t xml:space="preserve"> une période difficile en terme</w:t>
      </w:r>
      <w:r w:rsidR="00C85525">
        <w:rPr>
          <w:rFonts w:ascii="Bookman Old Style" w:hAnsi="Bookman Old Style"/>
        </w:rPr>
        <w:t xml:space="preserve"> de budgets de fonctionnement. Il n’arrive pas à payer ses frais de télécommunication et </w:t>
      </w:r>
      <w:r w:rsidR="00484053">
        <w:rPr>
          <w:rFonts w:ascii="Bookman Old Style" w:hAnsi="Bookman Old Style"/>
        </w:rPr>
        <w:t>énergie (eau</w:t>
      </w:r>
      <w:r w:rsidR="00C85525">
        <w:rPr>
          <w:rFonts w:ascii="Bookman Old Style" w:hAnsi="Bookman Old Style"/>
        </w:rPr>
        <w:t xml:space="preserve"> </w:t>
      </w:r>
      <w:r w:rsidR="00484053">
        <w:rPr>
          <w:rFonts w:ascii="Bookman Old Style" w:hAnsi="Bookman Old Style"/>
        </w:rPr>
        <w:t>et électricité). Cela est également valable pour les autres fournisseurs de services et de biens, ainsi que les organismes de protection sociale et de l’Etat (dettes fiscales. Les dettes de l’Etablissement sont de plus en plus importantes.</w:t>
      </w:r>
    </w:p>
    <w:p w:rsidR="00484053" w:rsidRDefault="00484053" w:rsidP="00F51197">
      <w:pPr>
        <w:spacing w:line="480" w:lineRule="auto"/>
        <w:jc w:val="both"/>
        <w:rPr>
          <w:rFonts w:ascii="Bookman Old Style" w:hAnsi="Bookman Old Style"/>
        </w:rPr>
      </w:pPr>
    </w:p>
    <w:p w:rsidR="00E33F03" w:rsidRPr="00484053" w:rsidRDefault="00484053" w:rsidP="00F51197">
      <w:pPr>
        <w:spacing w:line="480" w:lineRule="auto"/>
        <w:jc w:val="both"/>
        <w:rPr>
          <w:rFonts w:ascii="Bookman Old Style" w:hAnsi="Bookman Old Style"/>
          <w:b/>
        </w:rPr>
      </w:pPr>
      <w:r w:rsidRPr="00CC3E03">
        <w:rPr>
          <w:rFonts w:ascii="Bookman Old Style" w:hAnsi="Bookman Old Style"/>
          <w:b/>
          <w:color w:val="FF0000"/>
        </w:rPr>
        <w:t>Situation des frais d’énergie</w:t>
      </w:r>
      <w:r w:rsidRPr="00484053">
        <w:rPr>
          <w:rFonts w:ascii="Bookman Old Style" w:hAnsi="Bookman Old Style"/>
          <w:b/>
        </w:rPr>
        <w:t>, de l’eau et de télécommunication</w:t>
      </w:r>
      <w:r w:rsidR="00406385">
        <w:rPr>
          <w:rFonts w:ascii="Bookman Old Style" w:hAnsi="Bookman Old Style"/>
          <w:b/>
        </w:rPr>
        <w:t>, chiffres en Millions de DJF</w:t>
      </w:r>
    </w:p>
    <w:p w:rsidR="00A814C6" w:rsidRDefault="00A814C6" w:rsidP="00F51197">
      <w:pPr>
        <w:spacing w:line="480" w:lineRule="auto"/>
        <w:jc w:val="both"/>
        <w:rPr>
          <w:rFonts w:ascii="Bookman Old Style" w:hAnsi="Bookman Old Style"/>
        </w:rPr>
      </w:pPr>
    </w:p>
    <w:tbl>
      <w:tblPr>
        <w:tblStyle w:val="Grilledutableau"/>
        <w:tblW w:w="0" w:type="auto"/>
        <w:tblLook w:val="04A0"/>
      </w:tblPr>
      <w:tblGrid>
        <w:gridCol w:w="1708"/>
        <w:gridCol w:w="1316"/>
        <w:gridCol w:w="1316"/>
        <w:gridCol w:w="1316"/>
        <w:gridCol w:w="1316"/>
      </w:tblGrid>
      <w:tr w:rsidR="00406385" w:rsidTr="00406385">
        <w:tc>
          <w:tcPr>
            <w:tcW w:w="1316" w:type="dxa"/>
          </w:tcPr>
          <w:p w:rsidR="00406385" w:rsidRDefault="00406385" w:rsidP="00F51197">
            <w:pPr>
              <w:spacing w:line="480" w:lineRule="auto"/>
              <w:jc w:val="both"/>
              <w:rPr>
                <w:rFonts w:ascii="Bookman Old Style" w:hAnsi="Bookman Old Style"/>
              </w:rPr>
            </w:pP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2007</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2008</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2009</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2010</w:t>
            </w:r>
          </w:p>
        </w:tc>
      </w:tr>
      <w:tr w:rsidR="00406385" w:rsidTr="00406385">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Electricité</w:t>
            </w:r>
          </w:p>
          <w:p w:rsidR="00406385" w:rsidRDefault="00406385" w:rsidP="00F51197">
            <w:pPr>
              <w:spacing w:line="480" w:lineRule="auto"/>
              <w:jc w:val="both"/>
              <w:rPr>
                <w:rFonts w:ascii="Bookman Old Style" w:hAnsi="Bookman Old Style"/>
              </w:rPr>
            </w:pPr>
            <w:r>
              <w:rPr>
                <w:rFonts w:ascii="Bookman Old Style" w:hAnsi="Bookman Old Style"/>
              </w:rPr>
              <w:t>de Djibouti</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151</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40</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56</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87</w:t>
            </w:r>
          </w:p>
        </w:tc>
      </w:tr>
      <w:tr w:rsidR="00406385" w:rsidTr="00406385">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Djiboutilecom</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21</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25</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29</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33</w:t>
            </w:r>
          </w:p>
        </w:tc>
      </w:tr>
      <w:tr w:rsidR="00406385" w:rsidTr="00406385">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Office de l’eau</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14</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16</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18</w:t>
            </w:r>
          </w:p>
        </w:tc>
        <w:tc>
          <w:tcPr>
            <w:tcW w:w="1316" w:type="dxa"/>
          </w:tcPr>
          <w:p w:rsidR="00406385" w:rsidRDefault="00406385" w:rsidP="00F51197">
            <w:pPr>
              <w:spacing w:line="480" w:lineRule="auto"/>
              <w:jc w:val="both"/>
              <w:rPr>
                <w:rFonts w:ascii="Bookman Old Style" w:hAnsi="Bookman Old Style"/>
              </w:rPr>
            </w:pPr>
            <w:r>
              <w:rPr>
                <w:rFonts w:ascii="Bookman Old Style" w:hAnsi="Bookman Old Style"/>
              </w:rPr>
              <w:t>19</w:t>
            </w:r>
          </w:p>
        </w:tc>
      </w:tr>
    </w:tbl>
    <w:p w:rsidR="0075180A" w:rsidRPr="00406385" w:rsidRDefault="00406385" w:rsidP="00F51197">
      <w:pPr>
        <w:spacing w:line="480" w:lineRule="auto"/>
        <w:jc w:val="both"/>
        <w:rPr>
          <w:rFonts w:ascii="Bookman Old Style" w:hAnsi="Bookman Old Style"/>
          <w:sz w:val="20"/>
          <w:szCs w:val="20"/>
        </w:rPr>
      </w:pPr>
      <w:r w:rsidRPr="00406385">
        <w:rPr>
          <w:rFonts w:ascii="Bookman Old Style" w:hAnsi="Bookman Old Style"/>
          <w:sz w:val="20"/>
          <w:szCs w:val="20"/>
        </w:rPr>
        <w:t>Source : Livres comptables du CERD</w:t>
      </w:r>
    </w:p>
    <w:p w:rsidR="0075180A" w:rsidRDefault="0075180A" w:rsidP="00F51197">
      <w:pPr>
        <w:spacing w:line="480" w:lineRule="auto"/>
        <w:jc w:val="both"/>
        <w:rPr>
          <w:rFonts w:ascii="Bookman Old Style" w:hAnsi="Bookman Old Style"/>
        </w:rPr>
      </w:pPr>
    </w:p>
    <w:p w:rsidR="001C479D" w:rsidRDefault="00406385" w:rsidP="00F51197">
      <w:pPr>
        <w:spacing w:line="480" w:lineRule="auto"/>
        <w:jc w:val="both"/>
        <w:rPr>
          <w:rFonts w:ascii="Bookman Old Style" w:hAnsi="Bookman Old Style"/>
        </w:rPr>
      </w:pPr>
      <w:r>
        <w:rPr>
          <w:rFonts w:ascii="Bookman Old Style" w:hAnsi="Bookman Old Style"/>
        </w:rPr>
        <w:t>L’établissement ne paie plus les frais de télécommunications qui ont connu un accroissement de 2007 à 2010 en passant d’environ 20 millions DFJ</w:t>
      </w:r>
      <w:r w:rsidR="009707AF">
        <w:rPr>
          <w:rFonts w:ascii="Bookman Old Style" w:hAnsi="Bookman Old Style"/>
        </w:rPr>
        <w:t xml:space="preserve"> à</w:t>
      </w:r>
      <w:r w:rsidR="001C27EA">
        <w:rPr>
          <w:rFonts w:ascii="Bookman Old Style" w:hAnsi="Bookman Old Style"/>
        </w:rPr>
        <w:t xml:space="preserve">  </w:t>
      </w:r>
      <w:r w:rsidR="009707AF">
        <w:rPr>
          <w:rFonts w:ascii="Bookman Old Style" w:hAnsi="Bookman Old Style"/>
        </w:rPr>
        <w:t xml:space="preserve"> 33 millions de FDJ. Du coup. Le service de téléphone avec l’extérieur  du CERD est coupé depuis 2009. Seul un système de télécommunication interne est fonctionnel.</w:t>
      </w:r>
      <w:r w:rsidR="00CF6CF0">
        <w:rPr>
          <w:rFonts w:ascii="Bookman Old Style" w:hAnsi="Bookman Old Style"/>
        </w:rPr>
        <w:t xml:space="preserve"> </w:t>
      </w:r>
      <w:r w:rsidR="00CF6CF0" w:rsidRPr="001C27EA">
        <w:rPr>
          <w:rFonts w:ascii="Bookman Old Style" w:hAnsi="Bookman Old Style"/>
          <w:color w:val="FF0000"/>
        </w:rPr>
        <w:t>En étant de donné la situation budgétaire</w:t>
      </w:r>
      <w:r w:rsidR="00CF6CF0">
        <w:rPr>
          <w:rFonts w:ascii="Bookman Old Style" w:hAnsi="Bookman Old Style"/>
        </w:rPr>
        <w:t xml:space="preserve"> et financière fortement déficitaire, le fonctionnement des laboratoires est très perturbé pour manque de budget d’entretien et de maintenance des équipes. L’insuffisance des ressources financières risquent d’hypothéquer les prestations scientifiques assurées par les laboratoires.</w:t>
      </w:r>
    </w:p>
    <w:p w:rsidR="001C479D" w:rsidRDefault="001C479D" w:rsidP="00F51197">
      <w:pPr>
        <w:spacing w:line="480" w:lineRule="auto"/>
        <w:jc w:val="both"/>
        <w:rPr>
          <w:rFonts w:ascii="Bookman Old Style" w:hAnsi="Bookman Old Style"/>
        </w:rPr>
      </w:pPr>
    </w:p>
    <w:p w:rsidR="00C45D62" w:rsidRPr="00C45D62" w:rsidRDefault="00C45D62" w:rsidP="00F51197">
      <w:pPr>
        <w:spacing w:line="480" w:lineRule="auto"/>
        <w:jc w:val="both"/>
        <w:rPr>
          <w:rFonts w:ascii="Bookman Old Style" w:hAnsi="Bookman Old Style"/>
          <w:b/>
          <w:sz w:val="28"/>
          <w:szCs w:val="28"/>
        </w:rPr>
      </w:pPr>
      <w:r>
        <w:rPr>
          <w:rFonts w:ascii="Bookman Old Style" w:hAnsi="Bookman Old Style"/>
          <w:b/>
          <w:sz w:val="28"/>
          <w:szCs w:val="28"/>
        </w:rPr>
        <w:t>Conclusion</w:t>
      </w:r>
    </w:p>
    <w:p w:rsidR="00C45D62" w:rsidRDefault="00C45D62" w:rsidP="00F51197">
      <w:pPr>
        <w:spacing w:line="480" w:lineRule="auto"/>
        <w:jc w:val="both"/>
        <w:rPr>
          <w:rFonts w:ascii="Bookman Old Style" w:hAnsi="Bookman Old Style"/>
        </w:rPr>
      </w:pPr>
    </w:p>
    <w:p w:rsidR="00C45D62" w:rsidRDefault="00C45D62" w:rsidP="00F51197">
      <w:pPr>
        <w:spacing w:line="480" w:lineRule="auto"/>
        <w:ind w:firstLine="706"/>
        <w:jc w:val="both"/>
        <w:rPr>
          <w:rFonts w:ascii="Bookman Old Style" w:hAnsi="Bookman Old Style" w:cs="Arial"/>
          <w:bCs/>
        </w:rPr>
      </w:pPr>
      <w:r>
        <w:rPr>
          <w:rFonts w:ascii="Bookman Old Style" w:hAnsi="Bookman Old Style"/>
          <w:szCs w:val="28"/>
        </w:rPr>
        <w:t xml:space="preserve">Bien qu’elle prenne des formes différentes : privatisation, externalisation des activités du secteur public, nouvelle gestion publique, bonne gouvernance ou autre, </w:t>
      </w:r>
      <w:r w:rsidR="002D4C56">
        <w:rPr>
          <w:rFonts w:ascii="Bookman Old Style" w:hAnsi="Bookman Old Style"/>
          <w:szCs w:val="28"/>
        </w:rPr>
        <w:t xml:space="preserve"> Le Nouveau Management Public </w:t>
      </w:r>
      <w:r>
        <w:rPr>
          <w:rFonts w:ascii="Bookman Old Style" w:hAnsi="Bookman Old Style"/>
          <w:szCs w:val="28"/>
        </w:rPr>
        <w:t xml:space="preserve">résulte principalement la convergence de deux facteurs. Dans un contexte de crise économique </w:t>
      </w:r>
      <w:r w:rsidRPr="00153B39">
        <w:rPr>
          <w:rFonts w:ascii="Bookman Old Style" w:hAnsi="Bookman Old Style"/>
        </w:rPr>
        <w:t xml:space="preserve">avec des dettes publiques qui suivent une courbe exponentielle </w:t>
      </w:r>
      <w:r>
        <w:rPr>
          <w:rFonts w:ascii="Bookman Old Style" w:hAnsi="Bookman Old Style"/>
        </w:rPr>
        <w:t>depuis quelques décennies, de mondialisation des échanges, les Etats tentent d’accroitre leur compétitivité en donnant la priorité à la réduction de leurs coûts salariaux et de leurs budgets sociaux.</w:t>
      </w:r>
      <w:r w:rsidRPr="00313252">
        <w:rPr>
          <w:rFonts w:ascii="Bookman Old Style" w:hAnsi="Bookman Old Style" w:cs="Arial"/>
          <w:bCs/>
        </w:rPr>
        <w:t xml:space="preserve"> </w:t>
      </w:r>
    </w:p>
    <w:p w:rsidR="00C45D62" w:rsidRDefault="00C45D62" w:rsidP="00F51197">
      <w:pPr>
        <w:spacing w:line="480" w:lineRule="auto"/>
        <w:ind w:firstLine="706"/>
        <w:jc w:val="both"/>
        <w:rPr>
          <w:rFonts w:ascii="Bookman Old Style" w:hAnsi="Bookman Old Style"/>
        </w:rPr>
      </w:pPr>
      <w:r>
        <w:rPr>
          <w:rFonts w:ascii="Bookman Old Style" w:hAnsi="Bookman Old Style" w:cs="Arial"/>
          <w:bCs/>
        </w:rPr>
        <w:t>Le deuxième facteur résulte d’</w:t>
      </w:r>
      <w:r>
        <w:rPr>
          <w:rFonts w:ascii="Bookman Old Style" w:hAnsi="Bookman Old Style"/>
          <w:szCs w:val="28"/>
        </w:rPr>
        <w:t>une forte influence de la pensée néolibérale qui cherche à déclasser en le cant</w:t>
      </w:r>
      <w:r w:rsidR="002D4C56">
        <w:rPr>
          <w:rFonts w:ascii="Bookman Old Style" w:hAnsi="Bookman Old Style"/>
          <w:szCs w:val="28"/>
        </w:rPr>
        <w:t>onnant aux missions régaliennes</w:t>
      </w:r>
      <w:r w:rsidR="002D4C56">
        <w:rPr>
          <w:rFonts w:ascii="Bookman Old Style" w:hAnsi="Bookman Old Style"/>
        </w:rPr>
        <w:t xml:space="preserve">. Il s’agit </w:t>
      </w:r>
      <w:r>
        <w:rPr>
          <w:rFonts w:ascii="Bookman Old Style" w:hAnsi="Bookman Old Style"/>
        </w:rPr>
        <w:t>de privatiser les services publics chaque fois que c’est possible et de leur appliquer les règles de concurrenc</w:t>
      </w:r>
      <w:r w:rsidR="002D4C56">
        <w:rPr>
          <w:rFonts w:ascii="Bookman Old Style" w:hAnsi="Bookman Old Style"/>
        </w:rPr>
        <w:t xml:space="preserve">e, de solvabilité individuelle </w:t>
      </w:r>
      <w:r>
        <w:rPr>
          <w:rFonts w:ascii="Bookman Old Style" w:hAnsi="Bookman Old Style"/>
        </w:rPr>
        <w:t xml:space="preserve">et finalement d’assimilation de l’efficacité à la rentabilité, calculée à partir d’un système de prix. </w:t>
      </w:r>
    </w:p>
    <w:p w:rsidR="00C45D62" w:rsidRDefault="00C45D62" w:rsidP="00F51197">
      <w:pPr>
        <w:spacing w:line="480" w:lineRule="auto"/>
        <w:ind w:firstLine="706"/>
        <w:jc w:val="both"/>
        <w:rPr>
          <w:rFonts w:ascii="Bookman Old Style" w:hAnsi="Bookman Old Style"/>
        </w:rPr>
      </w:pPr>
    </w:p>
    <w:p w:rsidR="00C45D62" w:rsidRDefault="00C45D62" w:rsidP="00F51197">
      <w:pPr>
        <w:spacing w:line="480" w:lineRule="auto"/>
        <w:ind w:firstLine="706"/>
        <w:jc w:val="both"/>
        <w:rPr>
          <w:rFonts w:ascii="Bookman Old Style" w:hAnsi="Bookman Old Style"/>
          <w:szCs w:val="28"/>
        </w:rPr>
      </w:pPr>
      <w:r>
        <w:rPr>
          <w:rFonts w:ascii="Bookman Old Style" w:hAnsi="Bookman Old Style"/>
          <w:lang w:val="fr-BE"/>
        </w:rPr>
        <w:t xml:space="preserve">A Djibouti, </w:t>
      </w:r>
      <w:r w:rsidR="002D4C56">
        <w:rPr>
          <w:rFonts w:ascii="Bookman Old Style" w:hAnsi="Bookman Old Style"/>
          <w:lang w:val="fr-BE"/>
        </w:rPr>
        <w:t>le Nouveau Management Public</w:t>
      </w:r>
      <w:r>
        <w:rPr>
          <w:rFonts w:ascii="Bookman Old Style" w:hAnsi="Bookman Old Style"/>
          <w:lang w:val="fr-BE"/>
        </w:rPr>
        <w:t xml:space="preserve"> résulte d’une crise économique aiguë au début des années 1990 et une pression de bailleurs de fonds. Ces derniers  ont prôné des réformes structurelles centrées principalement sur l’assainissement des finances publiques la privatisation des entreprises. </w:t>
      </w:r>
      <w:r w:rsidRPr="005114BF">
        <w:rPr>
          <w:rFonts w:ascii="Bookman Old Style" w:hAnsi="Bookman Old Style"/>
          <w:bCs/>
          <w:szCs w:val="28"/>
        </w:rPr>
        <w:t>Cont</w:t>
      </w:r>
      <w:r>
        <w:rPr>
          <w:rFonts w:ascii="Bookman Old Style" w:hAnsi="Bookman Old Style"/>
          <w:bCs/>
          <w:szCs w:val="28"/>
        </w:rPr>
        <w:t xml:space="preserve">raint de réduire drastiquement </w:t>
      </w:r>
      <w:r w:rsidRPr="005114BF">
        <w:rPr>
          <w:rFonts w:ascii="Bookman Old Style" w:hAnsi="Bookman Old Style"/>
          <w:bCs/>
          <w:szCs w:val="28"/>
        </w:rPr>
        <w:t>les dépenses publiques, l’Etat s’est engagé dans une politique de</w:t>
      </w:r>
      <w:r>
        <w:rPr>
          <w:rFonts w:ascii="Bookman Old Style" w:hAnsi="Bookman Old Style"/>
          <w:bCs/>
          <w:szCs w:val="28"/>
        </w:rPr>
        <w:t xml:space="preserve"> rigueur se traduisant</w:t>
      </w:r>
      <w:r w:rsidRPr="005114BF">
        <w:rPr>
          <w:rFonts w:ascii="Bookman Old Style" w:hAnsi="Bookman Old Style"/>
          <w:bCs/>
          <w:szCs w:val="28"/>
        </w:rPr>
        <w:t xml:space="preserve"> par des mesures de réduction dans les dépens</w:t>
      </w:r>
      <w:r>
        <w:rPr>
          <w:rFonts w:ascii="Bookman Old Style" w:hAnsi="Bookman Old Style"/>
          <w:bCs/>
          <w:szCs w:val="28"/>
        </w:rPr>
        <w:t>es du personnel et de matériel</w:t>
      </w:r>
      <w:r w:rsidRPr="005114BF">
        <w:rPr>
          <w:rFonts w:ascii="Bookman Old Style" w:hAnsi="Bookman Old Style"/>
        </w:rPr>
        <w:t xml:space="preserve">. Depuis 1998, les comptes publics ont renoué avec l’équilibre. Le pays a aussi retrouvé la croissance. Cependant cet équilibre reste précaire et </w:t>
      </w:r>
      <w:r w:rsidRPr="005114BF">
        <w:rPr>
          <w:rFonts w:ascii="Bookman Old Style" w:hAnsi="Bookman Old Style"/>
          <w:szCs w:val="28"/>
        </w:rPr>
        <w:t xml:space="preserve">la conjoncture sociale du pays a évolué négativement puisque le pays doit faire désormais face à une pauvreté généralisée. </w:t>
      </w:r>
      <w:r w:rsidRPr="00FC0B15">
        <w:rPr>
          <w:rFonts w:ascii="Bookman Old Style" w:hAnsi="Bookman Old Style"/>
          <w:szCs w:val="28"/>
        </w:rPr>
        <w:t>L’ajustement budgétaire</w:t>
      </w:r>
      <w:r>
        <w:rPr>
          <w:rFonts w:ascii="Bookman Old Style" w:hAnsi="Bookman Old Style"/>
          <w:szCs w:val="28"/>
        </w:rPr>
        <w:t xml:space="preserve"> est le </w:t>
      </w:r>
      <w:r w:rsidRPr="00FC0B15">
        <w:rPr>
          <w:rFonts w:ascii="Bookman Old Style" w:hAnsi="Bookman Old Style"/>
          <w:szCs w:val="28"/>
        </w:rPr>
        <w:t>pas dans la voie de la stabilité macroéconomique mais une croissance durable implique aussi qu’une attention importante soit accordée à la manière dont le déficit budgétaire de l’Etat est réduit qu’à la taille de la coupure.</w:t>
      </w:r>
      <w:r w:rsidR="003A003F">
        <w:rPr>
          <w:rFonts w:ascii="Bookman Old Style" w:hAnsi="Bookman Old Style"/>
          <w:szCs w:val="28"/>
        </w:rPr>
        <w:t xml:space="preserve"> </w:t>
      </w:r>
    </w:p>
    <w:p w:rsidR="00B07F88" w:rsidRDefault="003A003F" w:rsidP="00F51197">
      <w:pPr>
        <w:spacing w:line="480" w:lineRule="auto"/>
        <w:ind w:firstLine="706"/>
        <w:jc w:val="both"/>
        <w:rPr>
          <w:rFonts w:ascii="Bookman Old Style" w:hAnsi="Bookman Old Style"/>
          <w:szCs w:val="28"/>
        </w:rPr>
      </w:pPr>
      <w:r>
        <w:rPr>
          <w:rFonts w:ascii="Bookman Old Style" w:hAnsi="Bookman Old Style"/>
          <w:szCs w:val="28"/>
        </w:rPr>
        <w:t xml:space="preserve">Ce nouveau management public rend difficile le fonctionnement du seul centre de recherche du pays. Faute de budget le CERD ne peut plus par exemple communiquer avec l’extérieur. La communication avec l’extérieur est pourtant nécessaire pour le bon fonctionnement du CERD. Dans un courrier datant le 5 décembre 2012, L’Electricité de Djibouti prévient également au CERD que faute de règlement d’une </w:t>
      </w:r>
      <w:r w:rsidR="00B07F88">
        <w:rPr>
          <w:rFonts w:ascii="Bookman Old Style" w:hAnsi="Bookman Old Style"/>
          <w:szCs w:val="28"/>
        </w:rPr>
        <w:t>somme de 160 millions de FDJ constituant les impayées des factures du CERD, l’Etablissement chargé de la production et de la distribution de l’électricité suspendra sa fourniture d’énergie au CERD.</w:t>
      </w:r>
    </w:p>
    <w:p w:rsidR="001C479D" w:rsidRDefault="001C479D" w:rsidP="00F51197">
      <w:pPr>
        <w:spacing w:line="480" w:lineRule="auto"/>
        <w:rPr>
          <w:rFonts w:ascii="Bookman Old Style" w:hAnsi="Bookman Old Style"/>
          <w:sz w:val="28"/>
          <w:szCs w:val="28"/>
        </w:rPr>
      </w:pPr>
    </w:p>
    <w:p w:rsidR="003A003F" w:rsidRDefault="003A003F"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B07F88" w:rsidRDefault="00B07F88" w:rsidP="00F51197">
      <w:pPr>
        <w:spacing w:line="480" w:lineRule="auto"/>
        <w:rPr>
          <w:rFonts w:ascii="Bookman Old Style" w:hAnsi="Bookman Old Style"/>
          <w:sz w:val="28"/>
          <w:szCs w:val="28"/>
        </w:rPr>
      </w:pPr>
    </w:p>
    <w:p w:rsidR="00D77BE1" w:rsidRDefault="00B07F88" w:rsidP="00F51197">
      <w:pPr>
        <w:spacing w:line="480" w:lineRule="auto"/>
        <w:rPr>
          <w:rFonts w:ascii="Bookman Old Style" w:hAnsi="Bookman Old Style"/>
          <w:b/>
          <w:sz w:val="28"/>
          <w:szCs w:val="28"/>
        </w:rPr>
      </w:pPr>
      <w:r w:rsidRPr="00B07F88">
        <w:rPr>
          <w:rFonts w:ascii="Bookman Old Style" w:hAnsi="Bookman Old Style"/>
          <w:b/>
          <w:sz w:val="28"/>
          <w:szCs w:val="28"/>
        </w:rPr>
        <w:t>Bibliographie</w:t>
      </w:r>
    </w:p>
    <w:p w:rsidR="00D77BE1" w:rsidRPr="00D77BE1" w:rsidRDefault="00D77BE1" w:rsidP="00F51197">
      <w:pPr>
        <w:spacing w:line="480" w:lineRule="auto"/>
        <w:rPr>
          <w:rFonts w:ascii="Bookman Old Style" w:hAnsi="Bookman Old Style"/>
          <w:sz w:val="28"/>
          <w:szCs w:val="28"/>
        </w:rPr>
      </w:pPr>
    </w:p>
    <w:p w:rsidR="006E5B70" w:rsidRDefault="006E5B70" w:rsidP="00F51197">
      <w:pPr>
        <w:spacing w:line="480" w:lineRule="auto"/>
        <w:jc w:val="both"/>
        <w:rPr>
          <w:rFonts w:ascii="Bookman Old Style" w:hAnsi="Bookman Old Style"/>
        </w:rPr>
      </w:pPr>
      <w:r w:rsidRPr="00F54411">
        <w:rPr>
          <w:rFonts w:ascii="Bookman Old Style" w:hAnsi="Bookman Old Style"/>
        </w:rPr>
        <w:t xml:space="preserve">Bartoli A (1997), </w:t>
      </w:r>
      <w:r w:rsidRPr="00F54411">
        <w:rPr>
          <w:rFonts w:ascii="Bookman Old Style" w:hAnsi="Bookman Old Style"/>
          <w:i/>
        </w:rPr>
        <w:t>Le management dans les organisations publiques</w:t>
      </w:r>
      <w:r w:rsidRPr="00F54411">
        <w:rPr>
          <w:rFonts w:ascii="Bookman Old Style" w:hAnsi="Bookman Old Style"/>
        </w:rPr>
        <w:t>, Dunod, Paris.</w:t>
      </w:r>
    </w:p>
    <w:p w:rsidR="00D77BE1" w:rsidRDefault="00D77BE1" w:rsidP="00F51197">
      <w:pPr>
        <w:spacing w:line="480" w:lineRule="auto"/>
        <w:rPr>
          <w:rFonts w:ascii="Bookman Old Style" w:hAnsi="Bookman Old Style"/>
          <w:sz w:val="28"/>
          <w:szCs w:val="28"/>
        </w:rPr>
      </w:pPr>
    </w:p>
    <w:p w:rsidR="00D77BE1" w:rsidRPr="0091780D" w:rsidRDefault="00D77BE1" w:rsidP="00F51197">
      <w:pPr>
        <w:spacing w:line="480" w:lineRule="auto"/>
        <w:jc w:val="both"/>
        <w:rPr>
          <w:rFonts w:ascii="Bookman Old Style" w:hAnsi="Bookman Old Style"/>
          <w:b/>
        </w:rPr>
      </w:pPr>
      <w:r w:rsidRPr="0091780D">
        <w:rPr>
          <w:rFonts w:ascii="Bookman Old Style" w:hAnsi="Bookman Old Style"/>
          <w:b/>
        </w:rPr>
        <w:t>Banque central</w:t>
      </w:r>
      <w:r w:rsidR="001C27EA">
        <w:rPr>
          <w:rFonts w:ascii="Bookman Old Style" w:hAnsi="Bookman Old Style"/>
          <w:b/>
        </w:rPr>
        <w:t>e</w:t>
      </w:r>
      <w:r w:rsidRPr="0091780D">
        <w:rPr>
          <w:rFonts w:ascii="Bookman Old Style" w:hAnsi="Bookman Old Style"/>
          <w:b/>
        </w:rPr>
        <w:t xml:space="preserve"> de Djibouti </w:t>
      </w:r>
    </w:p>
    <w:p w:rsidR="00D77BE1" w:rsidRPr="00F54411" w:rsidRDefault="00D77BE1" w:rsidP="00F51197">
      <w:pPr>
        <w:spacing w:line="480" w:lineRule="auto"/>
        <w:jc w:val="both"/>
        <w:rPr>
          <w:rFonts w:ascii="Bookman Old Style" w:hAnsi="Bookman Old Style"/>
        </w:rPr>
      </w:pPr>
      <w:r w:rsidRPr="00F54411">
        <w:rPr>
          <w:rFonts w:ascii="Bookman Old Style" w:hAnsi="Bookman Old Style"/>
          <w:i/>
        </w:rPr>
        <w:t>Rapport annuel</w:t>
      </w:r>
      <w:r>
        <w:rPr>
          <w:rFonts w:ascii="Bookman Old Style" w:hAnsi="Bookman Old Style"/>
          <w:i/>
        </w:rPr>
        <w:t xml:space="preserve"> </w:t>
      </w:r>
      <w:r w:rsidRPr="003C60BF">
        <w:rPr>
          <w:rFonts w:ascii="Bookman Old Style" w:hAnsi="Bookman Old Style"/>
        </w:rPr>
        <w:t>de</w:t>
      </w:r>
      <w:r>
        <w:rPr>
          <w:rFonts w:ascii="Bookman Old Style" w:hAnsi="Bookman Old Style"/>
          <w:i/>
        </w:rPr>
        <w:t xml:space="preserve"> </w:t>
      </w:r>
      <w:r w:rsidRPr="003C60BF">
        <w:rPr>
          <w:rFonts w:ascii="Bookman Old Style" w:hAnsi="Bookman Old Style"/>
          <w:i/>
        </w:rPr>
        <w:t>2007</w:t>
      </w:r>
    </w:p>
    <w:p w:rsidR="00D77BE1" w:rsidRDefault="00D77BE1" w:rsidP="00F51197">
      <w:pPr>
        <w:spacing w:line="480" w:lineRule="auto"/>
        <w:jc w:val="both"/>
        <w:rPr>
          <w:rFonts w:ascii="Bookman Old Style" w:hAnsi="Bookman Old Style"/>
          <w:i/>
        </w:rPr>
      </w:pPr>
      <w:r w:rsidRPr="00F54411">
        <w:rPr>
          <w:rFonts w:ascii="Bookman Old Style" w:hAnsi="Bookman Old Style"/>
          <w:i/>
        </w:rPr>
        <w:t>Rapport annuel</w:t>
      </w:r>
      <w:r>
        <w:rPr>
          <w:rFonts w:ascii="Bookman Old Style" w:hAnsi="Bookman Old Style"/>
        </w:rPr>
        <w:t xml:space="preserve"> </w:t>
      </w:r>
      <w:r w:rsidRPr="003C60BF">
        <w:rPr>
          <w:rFonts w:ascii="Bookman Old Style" w:hAnsi="Bookman Old Style"/>
          <w:i/>
        </w:rPr>
        <w:t>de</w:t>
      </w:r>
      <w:r>
        <w:rPr>
          <w:rFonts w:ascii="Bookman Old Style" w:hAnsi="Bookman Old Style"/>
        </w:rPr>
        <w:t xml:space="preserve"> </w:t>
      </w:r>
      <w:r w:rsidRPr="003C60BF">
        <w:rPr>
          <w:rFonts w:ascii="Bookman Old Style" w:hAnsi="Bookman Old Style"/>
          <w:i/>
        </w:rPr>
        <w:t>2008</w:t>
      </w:r>
    </w:p>
    <w:p w:rsidR="00D77BE1" w:rsidRPr="0091780D" w:rsidRDefault="00D77BE1" w:rsidP="00F51197">
      <w:pPr>
        <w:spacing w:line="480" w:lineRule="auto"/>
        <w:jc w:val="both"/>
        <w:rPr>
          <w:rFonts w:ascii="Bookman Old Style" w:hAnsi="Bookman Old Style"/>
          <w:b/>
        </w:rPr>
      </w:pPr>
    </w:p>
    <w:p w:rsidR="00D77BE1" w:rsidRDefault="001C27EA" w:rsidP="00F51197">
      <w:pPr>
        <w:spacing w:line="480" w:lineRule="auto"/>
        <w:jc w:val="both"/>
        <w:rPr>
          <w:rFonts w:ascii="Bookman Old Style" w:hAnsi="Bookman Old Style"/>
          <w:b/>
        </w:rPr>
      </w:pPr>
      <w:r>
        <w:rPr>
          <w:rFonts w:ascii="Bookman Old Style" w:hAnsi="Bookman Old Style"/>
          <w:b/>
        </w:rPr>
        <w:t>Banque mondiale</w:t>
      </w:r>
    </w:p>
    <w:p w:rsidR="007475F5" w:rsidRDefault="007475F5" w:rsidP="00F51197">
      <w:pPr>
        <w:spacing w:line="480" w:lineRule="auto"/>
        <w:jc w:val="both"/>
        <w:rPr>
          <w:rFonts w:ascii="Bookman Old Style" w:hAnsi="Bookman Old Style"/>
        </w:rPr>
      </w:pPr>
      <w:r>
        <w:rPr>
          <w:rFonts w:ascii="Bookman Old Style" w:hAnsi="Bookman Old Style"/>
        </w:rPr>
        <w:t xml:space="preserve">2000 : </w:t>
      </w:r>
      <w:r w:rsidRPr="00F54411">
        <w:rPr>
          <w:rFonts w:ascii="Bookman Old Style" w:hAnsi="Bookman Old Style"/>
        </w:rPr>
        <w:t>Rapport</w:t>
      </w:r>
      <w:r w:rsidRPr="00F54411">
        <w:rPr>
          <w:rFonts w:ascii="Bookman Old Style" w:hAnsi="Bookman Old Style"/>
          <w:i/>
        </w:rPr>
        <w:t xml:space="preserve"> n°21414, stratégie de coopération avec la république de Djibouti,</w:t>
      </w:r>
      <w:r w:rsidRPr="00F54411">
        <w:rPr>
          <w:rFonts w:ascii="Bookman Old Style" w:hAnsi="Bookman Old Style"/>
        </w:rPr>
        <w:t xml:space="preserve"> Djibouti.</w:t>
      </w:r>
    </w:p>
    <w:p w:rsidR="007475F5" w:rsidRPr="00F54411" w:rsidRDefault="007475F5" w:rsidP="00F51197">
      <w:pPr>
        <w:spacing w:line="480" w:lineRule="auto"/>
        <w:jc w:val="both"/>
        <w:rPr>
          <w:rFonts w:ascii="Bookman Old Style" w:hAnsi="Bookman Old Style"/>
        </w:rPr>
      </w:pPr>
      <w:r>
        <w:rPr>
          <w:rFonts w:ascii="Bookman Old Style" w:hAnsi="Bookman Old Style"/>
        </w:rPr>
        <w:t xml:space="preserve">2002 : </w:t>
      </w:r>
      <w:r w:rsidRPr="00F54411">
        <w:rPr>
          <w:rFonts w:ascii="Bookman Old Style" w:hAnsi="Bookman Old Style"/>
        </w:rPr>
        <w:t>Enquête</w:t>
      </w:r>
      <w:r w:rsidRPr="00F54411">
        <w:rPr>
          <w:rFonts w:ascii="Bookman Old Style" w:hAnsi="Bookman Old Style"/>
          <w:i/>
        </w:rPr>
        <w:t xml:space="preserve"> djiboutienne auprès de ménages 2</w:t>
      </w:r>
      <w:r w:rsidRPr="00F54411">
        <w:rPr>
          <w:rFonts w:ascii="Bookman Old Style" w:hAnsi="Bookman Old Style"/>
        </w:rPr>
        <w:t>, (EDAM-2) Djibouti.</w:t>
      </w:r>
    </w:p>
    <w:p w:rsidR="007475F5" w:rsidRPr="00F54411" w:rsidRDefault="007475F5" w:rsidP="00F51197">
      <w:pPr>
        <w:spacing w:line="480" w:lineRule="auto"/>
        <w:jc w:val="both"/>
        <w:rPr>
          <w:rFonts w:ascii="Bookman Old Style" w:hAnsi="Bookman Old Style"/>
        </w:rPr>
      </w:pPr>
      <w:r>
        <w:rPr>
          <w:rFonts w:ascii="Bookman Old Style" w:hAnsi="Bookman Old Style"/>
        </w:rPr>
        <w:t>2005 :</w:t>
      </w:r>
      <w:r w:rsidRPr="00F54411">
        <w:rPr>
          <w:rFonts w:ascii="Bookman Old Style" w:hAnsi="Bookman Old Style"/>
        </w:rPr>
        <w:t xml:space="preserve"> </w:t>
      </w:r>
      <w:r w:rsidRPr="00F54411">
        <w:rPr>
          <w:rFonts w:ascii="Bookman Old Style" w:hAnsi="Bookman Old Style"/>
          <w:i/>
        </w:rPr>
        <w:t>Analyse d’Impact social et pauvreté : secteur énergétique</w:t>
      </w:r>
      <w:r w:rsidRPr="00F54411">
        <w:rPr>
          <w:rFonts w:ascii="Bookman Old Style" w:hAnsi="Bookman Old Style"/>
        </w:rPr>
        <w:t>, Djibouti.</w:t>
      </w:r>
    </w:p>
    <w:p w:rsidR="007475F5" w:rsidRDefault="007475F5" w:rsidP="00F51197">
      <w:pPr>
        <w:spacing w:line="480" w:lineRule="auto"/>
        <w:jc w:val="both"/>
        <w:rPr>
          <w:rFonts w:ascii="Bookman Old Style" w:hAnsi="Bookman Old Style"/>
        </w:rPr>
      </w:pPr>
      <w:r>
        <w:rPr>
          <w:rFonts w:ascii="Bookman Old Style" w:hAnsi="Bookman Old Style"/>
        </w:rPr>
        <w:t xml:space="preserve">2006 : </w:t>
      </w:r>
      <w:r w:rsidRPr="00F54411">
        <w:rPr>
          <w:rFonts w:ascii="Bookman Old Style" w:hAnsi="Bookman Old Style"/>
          <w:i/>
        </w:rPr>
        <w:t>Analyse des dépenses publiques de Djibouti : mettre les finances publiques au service de la croissance et de la réduction de la pauvreté</w:t>
      </w:r>
      <w:r w:rsidRPr="00F54411">
        <w:rPr>
          <w:rFonts w:ascii="Bookman Old Style" w:hAnsi="Bookman Old Style"/>
        </w:rPr>
        <w:t>, Djibouti.</w:t>
      </w:r>
    </w:p>
    <w:p w:rsidR="007475F5" w:rsidRDefault="007475F5" w:rsidP="00F51197">
      <w:pPr>
        <w:spacing w:line="480" w:lineRule="auto"/>
        <w:jc w:val="both"/>
        <w:rPr>
          <w:rFonts w:ascii="Bookman Old Style" w:hAnsi="Bookman Old Style"/>
        </w:rPr>
      </w:pPr>
    </w:p>
    <w:p w:rsidR="007475F5" w:rsidRDefault="007475F5" w:rsidP="00F51197">
      <w:pPr>
        <w:spacing w:line="480" w:lineRule="auto"/>
        <w:jc w:val="both"/>
        <w:rPr>
          <w:rFonts w:ascii="Bookman Old Style" w:hAnsi="Bookman Old Style"/>
          <w:lang w:val="en-US"/>
        </w:rPr>
      </w:pPr>
      <w:r>
        <w:rPr>
          <w:rFonts w:ascii="Bookman Old Style" w:hAnsi="Bookman Old Style"/>
          <w:lang w:val="en-US"/>
        </w:rPr>
        <w:t>2012:</w:t>
      </w:r>
      <w:r w:rsidRPr="00BB7051">
        <w:rPr>
          <w:rFonts w:ascii="Bookman Old Style" w:hAnsi="Bookman Old Style"/>
          <w:lang w:val="en-US"/>
        </w:rPr>
        <w:t xml:space="preserve"> Doing Business, </w:t>
      </w:r>
      <w:smartTag w:uri="urn:schemas-microsoft-com:office:smarttags" w:element="State">
        <w:smartTag w:uri="urn:schemas-microsoft-com:office:smarttags" w:element="place">
          <w:r w:rsidRPr="00BB7051">
            <w:rPr>
              <w:rFonts w:ascii="Bookman Old Style" w:hAnsi="Bookman Old Style"/>
              <w:lang w:val="en-US"/>
            </w:rPr>
            <w:t>Washington</w:t>
          </w:r>
        </w:smartTag>
      </w:smartTag>
      <w:r w:rsidRPr="00BB7051">
        <w:rPr>
          <w:rFonts w:ascii="Bookman Old Style" w:hAnsi="Bookman Old Style"/>
          <w:lang w:val="en-US"/>
        </w:rPr>
        <w:t>.</w:t>
      </w:r>
    </w:p>
    <w:p w:rsidR="007475F5" w:rsidRPr="00BB7051" w:rsidRDefault="007475F5" w:rsidP="00F51197">
      <w:pPr>
        <w:spacing w:line="480" w:lineRule="auto"/>
        <w:jc w:val="both"/>
        <w:rPr>
          <w:rFonts w:ascii="Bookman Old Style" w:hAnsi="Bookman Old Style"/>
          <w:lang w:val="en-US"/>
        </w:rPr>
      </w:pPr>
    </w:p>
    <w:p w:rsidR="006E5B70" w:rsidRPr="006E5B70" w:rsidRDefault="006E5B70" w:rsidP="00F51197">
      <w:pPr>
        <w:spacing w:line="480" w:lineRule="auto"/>
        <w:jc w:val="both"/>
        <w:rPr>
          <w:rFonts w:ascii="Bookman Old Style" w:hAnsi="Bookman Old Style"/>
          <w:lang w:val="en-US"/>
        </w:rPr>
      </w:pPr>
    </w:p>
    <w:p w:rsidR="006E5B70" w:rsidRDefault="006E5B70" w:rsidP="00F51197">
      <w:pPr>
        <w:spacing w:line="480" w:lineRule="auto"/>
        <w:jc w:val="both"/>
        <w:rPr>
          <w:rFonts w:ascii="Bookman Old Style" w:hAnsi="Bookman Old Style"/>
        </w:rPr>
      </w:pPr>
      <w:r w:rsidRPr="00F54411">
        <w:rPr>
          <w:rFonts w:ascii="Bookman Old Style" w:hAnsi="Bookman Old Style"/>
        </w:rPr>
        <w:t>Bénie</w:t>
      </w:r>
      <w:r w:rsidR="00945899">
        <w:rPr>
          <w:rFonts w:ascii="Bookman Old Style" w:hAnsi="Bookman Old Style"/>
        </w:rPr>
        <w:t>.</w:t>
      </w:r>
      <w:r w:rsidRPr="00F54411">
        <w:rPr>
          <w:rFonts w:ascii="Bookman Old Style" w:hAnsi="Bookman Old Style"/>
        </w:rPr>
        <w:t xml:space="preserve"> M (1991), Restructuration, et évolution de l’emploi dans le secteur public et para-public en Côte d’Ivoire,  </w:t>
      </w:r>
      <w:r w:rsidRPr="00F54411">
        <w:rPr>
          <w:rFonts w:ascii="Bookman Old Style" w:hAnsi="Bookman Old Style"/>
          <w:i/>
        </w:rPr>
        <w:t>Tiers-Monde</w:t>
      </w:r>
      <w:r w:rsidRPr="00F54411">
        <w:rPr>
          <w:rFonts w:ascii="Bookman Old Style" w:hAnsi="Bookman Old Style"/>
        </w:rPr>
        <w:t>, tome 32 n°126, pp. 451-464.</w:t>
      </w:r>
    </w:p>
    <w:p w:rsidR="003D76E4" w:rsidRPr="00F54411" w:rsidRDefault="003D76E4" w:rsidP="00F51197">
      <w:pPr>
        <w:spacing w:line="480" w:lineRule="auto"/>
        <w:jc w:val="both"/>
        <w:rPr>
          <w:rFonts w:ascii="Bookman Old Style" w:hAnsi="Bookman Old Style"/>
        </w:rPr>
      </w:pPr>
    </w:p>
    <w:p w:rsidR="00945899" w:rsidRDefault="00945899" w:rsidP="00F51197">
      <w:pPr>
        <w:spacing w:line="480" w:lineRule="auto"/>
        <w:jc w:val="both"/>
        <w:rPr>
          <w:rFonts w:ascii="Bookman Old Style" w:hAnsi="Bookman Old Style"/>
        </w:rPr>
      </w:pPr>
      <w:r w:rsidRPr="00F54411">
        <w:rPr>
          <w:rFonts w:ascii="Bookman Old Style" w:hAnsi="Bookman Old Style"/>
        </w:rPr>
        <w:t>Cissé</w:t>
      </w:r>
      <w:r>
        <w:rPr>
          <w:rFonts w:ascii="Bookman Old Style" w:hAnsi="Bookman Old Style"/>
        </w:rPr>
        <w:t>.</w:t>
      </w:r>
      <w:r w:rsidRPr="00F54411">
        <w:rPr>
          <w:rFonts w:ascii="Bookman Old Style" w:hAnsi="Bookman Old Style"/>
        </w:rPr>
        <w:t xml:space="preserve"> M (2010), </w:t>
      </w:r>
      <w:r w:rsidRPr="00F54411">
        <w:rPr>
          <w:rFonts w:ascii="Bookman Old Style" w:hAnsi="Bookman Old Style"/>
          <w:i/>
        </w:rPr>
        <w:t>L’évolution des différents modes de délivrance des servi</w:t>
      </w:r>
      <w:r>
        <w:rPr>
          <w:rFonts w:ascii="Bookman Old Style" w:hAnsi="Bookman Old Style"/>
          <w:i/>
        </w:rPr>
        <w:t>ces publics dans les Etats</w:t>
      </w:r>
      <w:r w:rsidRPr="00F54411">
        <w:rPr>
          <w:rFonts w:ascii="Bookman Old Style" w:hAnsi="Bookman Old Style"/>
          <w:i/>
        </w:rPr>
        <w:t xml:space="preserve"> africains</w:t>
      </w:r>
      <w:r w:rsidRPr="00F54411">
        <w:rPr>
          <w:rFonts w:ascii="Bookman Old Style" w:hAnsi="Bookman Old Style"/>
        </w:rPr>
        <w:t>, communication présenté au colloque sous-régional sur « l’Etat et le service public en Afrique de l’Ouest de novembre 2010, Dakar.</w:t>
      </w:r>
    </w:p>
    <w:p w:rsidR="003D76E4" w:rsidRDefault="003D76E4" w:rsidP="00F51197">
      <w:pPr>
        <w:spacing w:line="480" w:lineRule="auto"/>
        <w:jc w:val="both"/>
        <w:rPr>
          <w:rFonts w:ascii="Bookman Old Style" w:hAnsi="Bookman Old Style"/>
        </w:rPr>
      </w:pPr>
    </w:p>
    <w:p w:rsidR="003D76E4" w:rsidRDefault="003D76E4" w:rsidP="00F51197">
      <w:pPr>
        <w:spacing w:line="480" w:lineRule="auto"/>
        <w:jc w:val="both"/>
        <w:rPr>
          <w:rFonts w:ascii="Bookman Old Style" w:hAnsi="Bookman Old Style"/>
        </w:rPr>
      </w:pPr>
      <w:r w:rsidRPr="00F54411">
        <w:rPr>
          <w:rFonts w:ascii="Bookman Old Style" w:hAnsi="Bookman Old Style"/>
        </w:rPr>
        <w:t xml:space="preserve">Commission Economique des Nations Unies pour l’Afrique (2007), </w:t>
      </w:r>
      <w:r w:rsidRPr="00F54411">
        <w:rPr>
          <w:rFonts w:ascii="Bookman Old Style" w:hAnsi="Bookman Old Style"/>
          <w:i/>
        </w:rPr>
        <w:t>Rapport sur la gouvernance à Djibout</w:t>
      </w:r>
      <w:r w:rsidRPr="00F54411">
        <w:rPr>
          <w:rFonts w:ascii="Bookman Old Style" w:hAnsi="Bookman Old Style"/>
        </w:rPr>
        <w:t>i, Djibouti.</w:t>
      </w:r>
    </w:p>
    <w:p w:rsidR="003D76E4" w:rsidRPr="00F54411" w:rsidRDefault="003D76E4" w:rsidP="00F51197">
      <w:pPr>
        <w:spacing w:line="480" w:lineRule="auto"/>
        <w:jc w:val="both"/>
        <w:rPr>
          <w:rFonts w:ascii="Bookman Old Style" w:hAnsi="Bookman Old Style"/>
        </w:rPr>
      </w:pPr>
    </w:p>
    <w:p w:rsidR="00945899" w:rsidRDefault="00945899" w:rsidP="00F51197">
      <w:pPr>
        <w:spacing w:line="480" w:lineRule="auto"/>
        <w:jc w:val="both"/>
        <w:rPr>
          <w:rFonts w:ascii="Bookman Old Style" w:hAnsi="Bookman Old Style"/>
        </w:rPr>
      </w:pPr>
      <w:r w:rsidRPr="00F54411">
        <w:rPr>
          <w:rFonts w:ascii="Bookman Old Style" w:hAnsi="Bookman Old Style"/>
        </w:rPr>
        <w:t>Gombor</w:t>
      </w:r>
      <w:r>
        <w:rPr>
          <w:rFonts w:ascii="Bookman Old Style" w:hAnsi="Bookman Old Style"/>
        </w:rPr>
        <w:t>.</w:t>
      </w:r>
      <w:r w:rsidRPr="00F54411">
        <w:rPr>
          <w:rFonts w:ascii="Bookman Old Style" w:hAnsi="Bookman Old Style"/>
        </w:rPr>
        <w:t xml:space="preserve"> A</w:t>
      </w:r>
      <w:r>
        <w:rPr>
          <w:rFonts w:ascii="Bookman Old Style" w:hAnsi="Bookman Old Style"/>
        </w:rPr>
        <w:t xml:space="preserve"> Aptidon</w:t>
      </w:r>
      <w:r w:rsidRPr="00F54411">
        <w:rPr>
          <w:rFonts w:ascii="Bookman Old Style" w:hAnsi="Bookman Old Style"/>
        </w:rPr>
        <w:t xml:space="preserve"> (2011), </w:t>
      </w:r>
      <w:r w:rsidRPr="00F54411">
        <w:rPr>
          <w:rFonts w:ascii="Bookman Old Style" w:hAnsi="Bookman Old Style"/>
          <w:i/>
        </w:rPr>
        <w:t>Les réseaux de transport, à Djibouti et le développement économique et social</w:t>
      </w:r>
      <w:r w:rsidRPr="00F54411">
        <w:rPr>
          <w:rFonts w:ascii="Bookman Old Style" w:hAnsi="Bookman Old Style"/>
        </w:rPr>
        <w:t>, Thèse de doctorat, Université de Grenoble.</w:t>
      </w:r>
    </w:p>
    <w:p w:rsidR="003D76E4" w:rsidRPr="003D76E4" w:rsidRDefault="003D76E4" w:rsidP="00F51197">
      <w:pPr>
        <w:spacing w:line="480" w:lineRule="auto"/>
        <w:jc w:val="both"/>
        <w:rPr>
          <w:rFonts w:ascii="Bookman Old Style" w:hAnsi="Bookman Old Style"/>
        </w:rPr>
      </w:pPr>
      <w:r w:rsidRPr="003D76E4">
        <w:rPr>
          <w:rFonts w:ascii="Bookman Old Style" w:hAnsi="Bookman Old Style"/>
        </w:rPr>
        <w:t xml:space="preserve">Holly D (2003), </w:t>
      </w:r>
      <w:r w:rsidRPr="003D76E4">
        <w:rPr>
          <w:rFonts w:ascii="Bookman Old Style" w:hAnsi="Bookman Old Style"/>
          <w:i/>
        </w:rPr>
        <w:t>Les Nations unies et la mondialisation</w:t>
      </w:r>
      <w:r w:rsidRPr="003D76E4">
        <w:rPr>
          <w:rFonts w:ascii="Bookman Old Style" w:hAnsi="Bookman Old Style"/>
        </w:rPr>
        <w:t>, L’Harmattan, Paris.</w:t>
      </w:r>
    </w:p>
    <w:p w:rsidR="003D76E4" w:rsidRDefault="003D76E4" w:rsidP="00F51197">
      <w:pPr>
        <w:spacing w:line="480" w:lineRule="auto"/>
        <w:jc w:val="both"/>
        <w:rPr>
          <w:rFonts w:ascii="Bookman Old Style" w:hAnsi="Bookman Old Style"/>
          <w:lang w:val="en-US"/>
        </w:rPr>
      </w:pPr>
      <w:r w:rsidRPr="00F54411">
        <w:rPr>
          <w:rFonts w:ascii="Bookman Old Style" w:hAnsi="Bookman Old Style"/>
          <w:lang w:val="en-US"/>
        </w:rPr>
        <w:t xml:space="preserve">Hood C (1991), A public management for all seasons?, </w:t>
      </w:r>
      <w:r w:rsidRPr="00F54411">
        <w:rPr>
          <w:rFonts w:ascii="Bookman Old Style" w:hAnsi="Bookman Old Style"/>
          <w:i/>
          <w:lang w:val="en-US"/>
        </w:rPr>
        <w:t>Public Administration</w:t>
      </w:r>
      <w:r w:rsidRPr="00F54411">
        <w:rPr>
          <w:rFonts w:ascii="Bookman Old Style" w:hAnsi="Bookman Old Style"/>
          <w:lang w:val="en-US"/>
        </w:rPr>
        <w:t xml:space="preserve">, Vol. 6 N°1, p 3-19. </w:t>
      </w:r>
    </w:p>
    <w:p w:rsidR="003D76E4" w:rsidRPr="00F54411" w:rsidRDefault="003D76E4" w:rsidP="00F51197">
      <w:pPr>
        <w:spacing w:line="480" w:lineRule="auto"/>
        <w:jc w:val="both"/>
        <w:rPr>
          <w:rFonts w:ascii="Bookman Old Style" w:hAnsi="Bookman Old Style"/>
          <w:lang w:val="en-US"/>
        </w:rPr>
      </w:pPr>
    </w:p>
    <w:p w:rsidR="003D76E4" w:rsidRDefault="003D76E4" w:rsidP="00F51197">
      <w:pPr>
        <w:spacing w:line="480" w:lineRule="auto"/>
        <w:jc w:val="both"/>
        <w:rPr>
          <w:rFonts w:ascii="Bookman Old Style" w:hAnsi="Bookman Old Style"/>
          <w:lang w:val="en-US"/>
        </w:rPr>
      </w:pPr>
      <w:r w:rsidRPr="00F54411">
        <w:rPr>
          <w:rFonts w:ascii="Bookman Old Style" w:hAnsi="Bookman Old Style"/>
          <w:lang w:val="en-US"/>
        </w:rPr>
        <w:t xml:space="preserve">Hood C (1995), The New public management in the 1980s: variations on a themes; </w:t>
      </w:r>
      <w:r w:rsidRPr="00F54411">
        <w:rPr>
          <w:rFonts w:ascii="Bookman Old Style" w:hAnsi="Bookman Old Style"/>
          <w:i/>
          <w:lang w:val="en-US"/>
        </w:rPr>
        <w:t>Accounting, Organizations and Society</w:t>
      </w:r>
      <w:r w:rsidRPr="00F54411">
        <w:rPr>
          <w:rFonts w:ascii="Bookman Old Style" w:hAnsi="Bookman Old Style"/>
          <w:lang w:val="en-US"/>
        </w:rPr>
        <w:t>, Vol. 20, N°3, pp. 93-109.</w:t>
      </w:r>
    </w:p>
    <w:p w:rsidR="003D76E4" w:rsidRDefault="003D76E4" w:rsidP="00F51197">
      <w:pPr>
        <w:spacing w:line="480" w:lineRule="auto"/>
        <w:jc w:val="both"/>
        <w:rPr>
          <w:rFonts w:ascii="Bookman Old Style" w:hAnsi="Bookman Old Style"/>
          <w:lang w:val="en-US"/>
        </w:rPr>
      </w:pPr>
    </w:p>
    <w:p w:rsidR="003D76E4" w:rsidRDefault="003D76E4" w:rsidP="00F51197">
      <w:pPr>
        <w:spacing w:line="480" w:lineRule="auto"/>
        <w:jc w:val="both"/>
        <w:rPr>
          <w:rFonts w:ascii="Bookman Old Style" w:hAnsi="Bookman Old Style"/>
        </w:rPr>
      </w:pPr>
      <w:r w:rsidRPr="00F54411">
        <w:rPr>
          <w:rFonts w:ascii="Bookman Old Style" w:hAnsi="Bookman Old Style"/>
        </w:rPr>
        <w:t xml:space="preserve">Houssein M (2010), </w:t>
      </w:r>
      <w:r w:rsidRPr="00F54411">
        <w:rPr>
          <w:rFonts w:ascii="Bookman Old Style" w:hAnsi="Bookman Old Style"/>
          <w:i/>
        </w:rPr>
        <w:t>Essai de l’investissement en éducation : le cas de Djibouti</w:t>
      </w:r>
      <w:r w:rsidRPr="00F54411">
        <w:rPr>
          <w:rFonts w:ascii="Bookman Old Style" w:hAnsi="Bookman Old Style"/>
        </w:rPr>
        <w:t>, thèse de doctorat en sciences économiques, Université de Perpignan.</w:t>
      </w:r>
    </w:p>
    <w:p w:rsidR="003D76E4" w:rsidRDefault="003D76E4" w:rsidP="00F51197">
      <w:pPr>
        <w:spacing w:line="480" w:lineRule="auto"/>
        <w:jc w:val="both"/>
        <w:rPr>
          <w:rFonts w:ascii="Bookman Old Style" w:hAnsi="Bookman Old Style"/>
        </w:rPr>
      </w:pPr>
    </w:p>
    <w:p w:rsidR="00945899" w:rsidRDefault="00945899" w:rsidP="00F51197">
      <w:pPr>
        <w:spacing w:line="480" w:lineRule="auto"/>
        <w:jc w:val="both"/>
        <w:rPr>
          <w:rFonts w:ascii="Bookman Old Style" w:hAnsi="Bookman Old Style"/>
        </w:rPr>
      </w:pPr>
      <w:r w:rsidRPr="00F54411">
        <w:rPr>
          <w:rFonts w:ascii="Bookman Old Style" w:hAnsi="Bookman Old Style"/>
        </w:rPr>
        <w:t>Le Masne</w:t>
      </w:r>
      <w:r>
        <w:rPr>
          <w:rFonts w:ascii="Bookman Old Style" w:hAnsi="Bookman Old Style"/>
        </w:rPr>
        <w:t>.</w:t>
      </w:r>
      <w:r w:rsidRPr="00F54411">
        <w:rPr>
          <w:rFonts w:ascii="Bookman Old Style" w:hAnsi="Bookman Old Style"/>
        </w:rPr>
        <w:t xml:space="preserve"> P (2007), </w:t>
      </w:r>
      <w:r w:rsidRPr="00F54411">
        <w:rPr>
          <w:rFonts w:ascii="Bookman Old Style" w:hAnsi="Bookman Old Style"/>
          <w:i/>
        </w:rPr>
        <w:t>Les services publics approches économiques</w:t>
      </w:r>
      <w:r w:rsidRPr="00F54411">
        <w:rPr>
          <w:rFonts w:ascii="Bookman Old Style" w:hAnsi="Bookman Old Style"/>
        </w:rPr>
        <w:t xml:space="preserve"> </w:t>
      </w:r>
      <w:r w:rsidRPr="00F54411">
        <w:rPr>
          <w:rFonts w:ascii="Bookman Old Style" w:hAnsi="Bookman Old Style"/>
          <w:i/>
        </w:rPr>
        <w:t>et enjeux sociaux</w:t>
      </w:r>
      <w:r w:rsidRPr="00F54411">
        <w:rPr>
          <w:rFonts w:ascii="Bookman Old Style" w:hAnsi="Bookman Old Style"/>
        </w:rPr>
        <w:t>, PUR, Rennes.</w:t>
      </w:r>
    </w:p>
    <w:p w:rsidR="003D76E4" w:rsidRDefault="003D76E4" w:rsidP="00F51197">
      <w:pPr>
        <w:spacing w:line="480" w:lineRule="auto"/>
        <w:jc w:val="both"/>
        <w:rPr>
          <w:rFonts w:ascii="Bookman Old Style" w:hAnsi="Bookman Old Style"/>
        </w:rPr>
      </w:pPr>
    </w:p>
    <w:p w:rsidR="007E36CE" w:rsidRDefault="007E36CE" w:rsidP="00F51197">
      <w:pPr>
        <w:spacing w:line="480" w:lineRule="auto"/>
        <w:jc w:val="both"/>
        <w:rPr>
          <w:rFonts w:ascii="Bookman Old Style" w:hAnsi="Bookman Old Style"/>
        </w:rPr>
      </w:pPr>
      <w:r w:rsidRPr="00371652">
        <w:rPr>
          <w:rFonts w:ascii="Bookman Old Style" w:hAnsi="Bookman Old Style"/>
          <w:b/>
        </w:rPr>
        <w:t>Ministère d</w:t>
      </w:r>
      <w:r>
        <w:rPr>
          <w:rFonts w:ascii="Bookman Old Style" w:hAnsi="Bookman Old Style"/>
          <w:b/>
        </w:rPr>
        <w:t>jiboutien</w:t>
      </w:r>
      <w:r w:rsidRPr="00371652">
        <w:rPr>
          <w:rFonts w:ascii="Bookman Old Style" w:hAnsi="Bookman Old Style"/>
          <w:b/>
        </w:rPr>
        <w:t xml:space="preserve"> de l’Economie, des Finances et de </w:t>
      </w:r>
      <w:smartTag w:uri="urn:schemas-microsoft-com:office:smarttags" w:element="PersonName">
        <w:smartTagPr>
          <w:attr w:name="ProductID" w:val="la Planification"/>
        </w:smartTagPr>
        <w:r w:rsidRPr="00371652">
          <w:rPr>
            <w:rFonts w:ascii="Bookman Old Style" w:hAnsi="Bookman Old Style"/>
            <w:b/>
          </w:rPr>
          <w:t>la Planification</w:t>
        </w:r>
      </w:smartTag>
      <w:r w:rsidRPr="00371652">
        <w:rPr>
          <w:rFonts w:ascii="Bookman Old Style" w:hAnsi="Bookman Old Style"/>
          <w:b/>
        </w:rPr>
        <w:t>, chargé de la privatisation</w:t>
      </w:r>
      <w:r w:rsidRPr="00F54411">
        <w:rPr>
          <w:rFonts w:ascii="Bookman Old Style" w:hAnsi="Bookman Old Style"/>
        </w:rPr>
        <w:t xml:space="preserve"> </w:t>
      </w:r>
    </w:p>
    <w:p w:rsidR="007E36CE" w:rsidRDefault="007E36CE" w:rsidP="00F51197">
      <w:pPr>
        <w:spacing w:line="480" w:lineRule="auto"/>
        <w:jc w:val="both"/>
        <w:rPr>
          <w:rFonts w:ascii="Bookman Old Style" w:hAnsi="Bookman Old Style"/>
        </w:rPr>
      </w:pPr>
      <w:r>
        <w:rPr>
          <w:rFonts w:ascii="Bookman Old Style" w:hAnsi="Bookman Old Style"/>
        </w:rPr>
        <w:t>2005 :</w:t>
      </w:r>
      <w:r w:rsidRPr="00F54411">
        <w:rPr>
          <w:rFonts w:ascii="Bookman Old Style" w:hAnsi="Bookman Old Style"/>
        </w:rPr>
        <w:t xml:space="preserve"> Bilan de 1999-2004, </w:t>
      </w:r>
      <w:r w:rsidRPr="00F54411">
        <w:rPr>
          <w:rFonts w:ascii="Bookman Old Style" w:hAnsi="Bookman Old Style"/>
          <w:i/>
        </w:rPr>
        <w:t>De</w:t>
      </w:r>
      <w:r w:rsidRPr="00F54411">
        <w:rPr>
          <w:rFonts w:ascii="Bookman Old Style" w:hAnsi="Bookman Old Style"/>
        </w:rPr>
        <w:t xml:space="preserve"> </w:t>
      </w:r>
      <w:r w:rsidRPr="00F54411">
        <w:rPr>
          <w:rFonts w:ascii="Bookman Old Style" w:hAnsi="Bookman Old Style"/>
          <w:i/>
        </w:rPr>
        <w:t>l’ajustement au développement</w:t>
      </w:r>
      <w:r>
        <w:rPr>
          <w:rFonts w:ascii="Bookman Old Style" w:hAnsi="Bookman Old Style"/>
        </w:rPr>
        <w:t>.</w:t>
      </w:r>
    </w:p>
    <w:p w:rsidR="007E36CE" w:rsidRDefault="007E36CE" w:rsidP="00F51197">
      <w:pPr>
        <w:spacing w:line="480" w:lineRule="auto"/>
        <w:jc w:val="both"/>
        <w:rPr>
          <w:rFonts w:ascii="Bookman Old Style" w:hAnsi="Bookman Old Style"/>
        </w:rPr>
      </w:pPr>
      <w:r>
        <w:rPr>
          <w:rFonts w:ascii="Bookman Old Style" w:hAnsi="Bookman Old Style"/>
        </w:rPr>
        <w:t xml:space="preserve"> 2006 : </w:t>
      </w:r>
      <w:r w:rsidRPr="00F54411">
        <w:rPr>
          <w:rFonts w:ascii="Bookman Old Style" w:hAnsi="Bookman Old Style"/>
        </w:rPr>
        <w:t>Bulletin d’information de l’année 2006, Djibouti.</w:t>
      </w:r>
    </w:p>
    <w:p w:rsidR="007475F5" w:rsidRDefault="007475F5" w:rsidP="00F51197">
      <w:pPr>
        <w:spacing w:line="480" w:lineRule="auto"/>
        <w:jc w:val="both"/>
        <w:rPr>
          <w:rFonts w:ascii="Bookman Old Style" w:hAnsi="Bookman Old Style"/>
        </w:rPr>
      </w:pPr>
    </w:p>
    <w:p w:rsidR="007475F5" w:rsidRDefault="007475F5" w:rsidP="00F51197">
      <w:pPr>
        <w:spacing w:line="480" w:lineRule="auto"/>
        <w:jc w:val="both"/>
        <w:rPr>
          <w:rFonts w:ascii="Bookman Old Style" w:hAnsi="Bookman Old Style"/>
        </w:rPr>
      </w:pPr>
      <w:r w:rsidRPr="00F54411">
        <w:rPr>
          <w:rFonts w:ascii="Bookman Old Style" w:hAnsi="Bookman Old Style"/>
        </w:rPr>
        <w:t xml:space="preserve">Mahamoud I (2008), </w:t>
      </w:r>
      <w:r w:rsidRPr="00F54411">
        <w:rPr>
          <w:rFonts w:ascii="Bookman Old Style" w:hAnsi="Bookman Old Style"/>
          <w:i/>
        </w:rPr>
        <w:t>L’économie informelle, thèse en science économiques</w:t>
      </w:r>
      <w:r w:rsidRPr="00F54411">
        <w:rPr>
          <w:rFonts w:ascii="Bookman Old Style" w:hAnsi="Bookman Old Style"/>
        </w:rPr>
        <w:t>, Université de Paris 13.</w:t>
      </w:r>
    </w:p>
    <w:p w:rsidR="007475F5" w:rsidRDefault="007475F5" w:rsidP="00F51197">
      <w:pPr>
        <w:spacing w:line="480" w:lineRule="auto"/>
        <w:jc w:val="both"/>
        <w:rPr>
          <w:rFonts w:ascii="Bookman Old Style" w:hAnsi="Bookman Old Style"/>
        </w:rPr>
      </w:pPr>
    </w:p>
    <w:p w:rsidR="007475F5" w:rsidRDefault="007475F5" w:rsidP="00F51197">
      <w:pPr>
        <w:spacing w:line="480" w:lineRule="auto"/>
        <w:jc w:val="both"/>
        <w:rPr>
          <w:rFonts w:ascii="Bookman Old Style" w:hAnsi="Bookman Old Style"/>
        </w:rPr>
      </w:pPr>
    </w:p>
    <w:p w:rsidR="00EA35CA" w:rsidRDefault="003D76E4" w:rsidP="00F51197">
      <w:pPr>
        <w:spacing w:line="480" w:lineRule="auto"/>
        <w:jc w:val="both"/>
        <w:rPr>
          <w:rFonts w:ascii="Bookman Old Style" w:hAnsi="Bookman Old Style"/>
        </w:rPr>
      </w:pPr>
      <w:r>
        <w:rPr>
          <w:rFonts w:ascii="Bookman Old Style" w:hAnsi="Bookman Old Style"/>
          <w:b/>
        </w:rPr>
        <w:t>PNUD (</w:t>
      </w:r>
      <w:r>
        <w:rPr>
          <w:rFonts w:ascii="Bookman Old Style" w:hAnsi="Bookman Old Style"/>
        </w:rPr>
        <w:t xml:space="preserve">2004) : </w:t>
      </w:r>
      <w:r w:rsidRPr="00F54411">
        <w:rPr>
          <w:rFonts w:ascii="Bookman Old Style" w:hAnsi="Bookman Old Style"/>
        </w:rPr>
        <w:t>Cadre</w:t>
      </w:r>
      <w:r w:rsidRPr="00F54411">
        <w:rPr>
          <w:rFonts w:ascii="Bookman Old Style" w:hAnsi="Bookman Old Style"/>
          <w:i/>
        </w:rPr>
        <w:t xml:space="preserve"> Intégré, Etude Diagnostic d’Intégration par le Commerce</w:t>
      </w:r>
      <w:r w:rsidRPr="00F54411">
        <w:rPr>
          <w:rFonts w:ascii="Bookman Old Style" w:hAnsi="Bookman Old Style"/>
        </w:rPr>
        <w:t>, Djibouti</w:t>
      </w:r>
      <w:r>
        <w:rPr>
          <w:rFonts w:ascii="Bookman Old Style" w:hAnsi="Bookman Old Style"/>
        </w:rPr>
        <w:t>.</w:t>
      </w:r>
    </w:p>
    <w:p w:rsidR="003D76E4" w:rsidRDefault="003D76E4" w:rsidP="00F51197">
      <w:pPr>
        <w:spacing w:line="480" w:lineRule="auto"/>
        <w:jc w:val="both"/>
        <w:rPr>
          <w:rFonts w:ascii="Bookman Old Style" w:hAnsi="Bookman Old Style"/>
        </w:rPr>
      </w:pPr>
    </w:p>
    <w:p w:rsidR="00EA35CA" w:rsidRDefault="00EA35CA" w:rsidP="00F51197">
      <w:pPr>
        <w:spacing w:line="480" w:lineRule="auto"/>
        <w:jc w:val="both"/>
        <w:rPr>
          <w:rFonts w:ascii="Bookman Old Style" w:hAnsi="Bookman Old Style"/>
          <w:lang w:val="en-US"/>
        </w:rPr>
      </w:pPr>
      <w:r w:rsidRPr="00F54411">
        <w:rPr>
          <w:rFonts w:ascii="Bookman Old Style" w:hAnsi="Bookman Old Style"/>
          <w:lang w:val="en-US"/>
        </w:rPr>
        <w:t xml:space="preserve">Pollitt C et Boukaet Geert (2004), Public Management Reform: A Comparative Analysis, </w:t>
      </w:r>
      <w:r w:rsidRPr="00F54411">
        <w:rPr>
          <w:rFonts w:ascii="Bookman Old Style" w:hAnsi="Bookman Old Style"/>
          <w:i/>
          <w:lang w:val="en-US"/>
        </w:rPr>
        <w:t>Oxford University Press</w:t>
      </w:r>
      <w:r w:rsidRPr="00F54411">
        <w:rPr>
          <w:rFonts w:ascii="Bookman Old Style" w:hAnsi="Bookman Old Style"/>
          <w:lang w:val="en-US"/>
        </w:rPr>
        <w:t xml:space="preserve">, </w:t>
      </w:r>
      <w:smartTag w:uri="urn:schemas-microsoft-com:office:smarttags" w:element="City">
        <w:smartTag w:uri="urn:schemas-microsoft-com:office:smarttags" w:element="place">
          <w:r w:rsidRPr="00F54411">
            <w:rPr>
              <w:rFonts w:ascii="Bookman Old Style" w:hAnsi="Bookman Old Style"/>
              <w:lang w:val="en-US"/>
            </w:rPr>
            <w:t>Oxford</w:t>
          </w:r>
        </w:smartTag>
      </w:smartTag>
      <w:r w:rsidRPr="00F54411">
        <w:rPr>
          <w:rFonts w:ascii="Bookman Old Style" w:hAnsi="Bookman Old Style"/>
          <w:lang w:val="en-US"/>
        </w:rPr>
        <w:t>, 2 (edition).</w:t>
      </w:r>
    </w:p>
    <w:p w:rsidR="00EA35CA" w:rsidRPr="00EA35CA" w:rsidRDefault="00EA35CA" w:rsidP="00F51197">
      <w:pPr>
        <w:spacing w:line="480" w:lineRule="auto"/>
        <w:jc w:val="both"/>
        <w:rPr>
          <w:rFonts w:ascii="Bookman Old Style" w:hAnsi="Bookman Old Style"/>
          <w:lang w:val="en-US"/>
        </w:rPr>
      </w:pPr>
    </w:p>
    <w:p w:rsidR="00EA35CA" w:rsidRDefault="00EA35CA" w:rsidP="00F51197">
      <w:pPr>
        <w:spacing w:line="480" w:lineRule="auto"/>
        <w:jc w:val="both"/>
        <w:rPr>
          <w:rFonts w:ascii="Bookman Old Style" w:hAnsi="Bookman Old Style"/>
        </w:rPr>
      </w:pPr>
      <w:r w:rsidRPr="00F54411">
        <w:rPr>
          <w:rFonts w:ascii="Bookman Old Style" w:hAnsi="Bookman Old Style"/>
        </w:rPr>
        <w:t xml:space="preserve">Trosa S (2008), </w:t>
      </w:r>
      <w:r w:rsidRPr="00F54411">
        <w:rPr>
          <w:rFonts w:ascii="Bookman Old Style" w:hAnsi="Bookman Old Style"/>
          <w:i/>
        </w:rPr>
        <w:t>La réforme de l’Etat : un nouveau management</w:t>
      </w:r>
      <w:r w:rsidRPr="00F54411">
        <w:rPr>
          <w:rFonts w:ascii="Bookman Old Style" w:hAnsi="Bookman Old Style"/>
        </w:rPr>
        <w:t> ?, Ellipses, Paris.</w:t>
      </w:r>
    </w:p>
    <w:p w:rsidR="00EA35CA" w:rsidRPr="00EA35CA" w:rsidRDefault="00EA35CA" w:rsidP="00F51197">
      <w:pPr>
        <w:spacing w:line="480" w:lineRule="auto"/>
        <w:jc w:val="both"/>
        <w:rPr>
          <w:rFonts w:ascii="Bookman Old Style" w:hAnsi="Bookman Old Style"/>
        </w:rPr>
      </w:pPr>
    </w:p>
    <w:p w:rsidR="00B07F88" w:rsidRPr="006E5B70" w:rsidRDefault="00B07F88" w:rsidP="00F51197">
      <w:pPr>
        <w:tabs>
          <w:tab w:val="left" w:pos="1005"/>
        </w:tabs>
        <w:spacing w:line="480" w:lineRule="auto"/>
        <w:rPr>
          <w:rFonts w:ascii="Bookman Old Style" w:hAnsi="Bookman Old Style"/>
          <w:sz w:val="28"/>
          <w:szCs w:val="28"/>
        </w:rPr>
      </w:pPr>
    </w:p>
    <w:sectPr w:rsidR="00B07F88" w:rsidRPr="006E5B70" w:rsidSect="00A22F5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47" w:rsidRDefault="00530847" w:rsidP="0034718C">
      <w:r>
        <w:separator/>
      </w:r>
    </w:p>
  </w:endnote>
  <w:endnote w:type="continuationSeparator" w:id="1">
    <w:p w:rsidR="00530847" w:rsidRDefault="00530847" w:rsidP="0034718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84329"/>
      <w:docPartObj>
        <w:docPartGallery w:val="Page Numbers (Bottom of Page)"/>
        <w:docPartUnique/>
      </w:docPartObj>
    </w:sdtPr>
    <w:sdtContent>
      <w:p w:rsidR="00CC3E03" w:rsidRDefault="00F81EA2">
        <w:pPr>
          <w:pStyle w:val="Pieddepage"/>
          <w:jc w:val="right"/>
        </w:pPr>
        <w:fldSimple w:instr=" PAGE   \* MERGEFORMAT ">
          <w:r w:rsidR="0043354F">
            <w:rPr>
              <w:noProof/>
            </w:rPr>
            <w:t>55</w:t>
          </w:r>
        </w:fldSimple>
      </w:p>
    </w:sdtContent>
  </w:sdt>
  <w:p w:rsidR="00CC3E03" w:rsidRDefault="00CC3E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47" w:rsidRDefault="00530847" w:rsidP="0034718C">
      <w:r>
        <w:separator/>
      </w:r>
    </w:p>
  </w:footnote>
  <w:footnote w:type="continuationSeparator" w:id="1">
    <w:p w:rsidR="00530847" w:rsidRDefault="00530847" w:rsidP="0034718C">
      <w:r>
        <w:continuationSeparator/>
      </w:r>
    </w:p>
  </w:footnote>
  <w:footnote w:id="2">
    <w:p w:rsidR="00CC3E03" w:rsidRPr="00EE0A25" w:rsidRDefault="00CC3E03" w:rsidP="0034718C">
      <w:pPr>
        <w:pStyle w:val="Notedebasdepage"/>
        <w:rPr>
          <w:sz w:val="24"/>
          <w:szCs w:val="24"/>
        </w:rPr>
      </w:pPr>
      <w:r w:rsidRPr="00EE0A25">
        <w:rPr>
          <w:rStyle w:val="Appelnotedebasdep"/>
          <w:sz w:val="24"/>
          <w:szCs w:val="24"/>
        </w:rPr>
        <w:footnoteRef/>
      </w:r>
      <w:r w:rsidRPr="00EE0A25">
        <w:rPr>
          <w:sz w:val="24"/>
          <w:szCs w:val="24"/>
        </w:rPr>
        <w:t xml:space="preserve"> </w:t>
      </w:r>
      <w:r>
        <w:rPr>
          <w:sz w:val="24"/>
          <w:szCs w:val="24"/>
        </w:rPr>
        <w:t>Centre d'Etudes et de Recherches de Djibouti (</w:t>
      </w:r>
      <w:r w:rsidRPr="00EE0A25">
        <w:rPr>
          <w:sz w:val="24"/>
          <w:szCs w:val="24"/>
        </w:rPr>
        <w:t>Organisme public de recherche</w:t>
      </w:r>
      <w:r>
        <w:rPr>
          <w:sz w:val="24"/>
          <w:szCs w:val="24"/>
        </w:rPr>
        <w:t>).</w:t>
      </w:r>
    </w:p>
    <w:p w:rsidR="00CC3E03" w:rsidRDefault="00CC3E03" w:rsidP="0034718C">
      <w:pPr>
        <w:pStyle w:val="Notedebasdepage"/>
      </w:pPr>
    </w:p>
  </w:footnote>
  <w:footnote w:id="3">
    <w:p w:rsidR="00CC3E03" w:rsidRDefault="00CC3E03">
      <w:pPr>
        <w:pStyle w:val="Notedebasdepage"/>
      </w:pPr>
      <w:r>
        <w:rPr>
          <w:rStyle w:val="Appelnotedebasdep"/>
        </w:rPr>
        <w:footnoteRef/>
      </w:r>
      <w:r>
        <w:t xml:space="preserve">  Electricité deDjibouti.</w:t>
      </w:r>
    </w:p>
  </w:footnote>
  <w:footnote w:id="4">
    <w:p w:rsidR="00CC3E03" w:rsidRDefault="00CC3E03">
      <w:pPr>
        <w:pStyle w:val="Notedebasdepage"/>
      </w:pPr>
      <w:r>
        <w:rPr>
          <w:rStyle w:val="Appelnotedebasdep"/>
        </w:rPr>
        <w:footnoteRef/>
      </w:r>
      <w:r>
        <w:t xml:space="preserve">  Office Nationale de l’Eau de l’Assainissement de Djibouti.</w:t>
      </w:r>
    </w:p>
  </w:footnote>
  <w:footnote w:id="5">
    <w:p w:rsidR="00CC3E03" w:rsidRPr="002C17F9" w:rsidRDefault="00CC3E03" w:rsidP="003E60F7">
      <w:pPr>
        <w:pStyle w:val="Notedebasdepage"/>
        <w:jc w:val="both"/>
        <w:rPr>
          <w:rFonts w:ascii="Bookman Old Style" w:hAnsi="Bookman Old Style"/>
        </w:rPr>
      </w:pPr>
      <w:r w:rsidRPr="002C17F9">
        <w:rPr>
          <w:rStyle w:val="Appelnotedebasdep"/>
          <w:rFonts w:ascii="Bookman Old Style" w:hAnsi="Bookman Old Style"/>
        </w:rPr>
        <w:footnoteRef/>
      </w:r>
      <w:r w:rsidRPr="002C17F9">
        <w:rPr>
          <w:rFonts w:ascii="Bookman Old Style" w:hAnsi="Bookman Old Style"/>
        </w:rPr>
        <w:t xml:space="preserve">  Document rédigé par le Gouvernement en 2011 qui a pour ambition de faire de Djibouti d’ici 2015 selon le Gouvernement « </w:t>
      </w:r>
      <w:r w:rsidRPr="00FD0093">
        <w:rPr>
          <w:rFonts w:ascii="Bookman Old Style" w:hAnsi="Bookman Old Style"/>
          <w:i/>
        </w:rPr>
        <w:t>un pays  paisible, moderne, équitable, ouvert, économiquement performant, mieux géré et où  la fracture sociale, la pauvreté, la marginalisation et l’exclusion sont combattues et à terme supprimées</w:t>
      </w:r>
      <w:r w:rsidRPr="002C17F9">
        <w:rPr>
          <w:rFonts w:ascii="Bookman Old Style" w:hAnsi="Bookman Old Style"/>
        </w:rPr>
        <w:t>».</w:t>
      </w:r>
    </w:p>
    <w:p w:rsidR="00CC3E03" w:rsidRDefault="00CC3E03" w:rsidP="003E60F7">
      <w:pPr>
        <w:pStyle w:val="Notedebasdepage"/>
      </w:pPr>
    </w:p>
  </w:footnote>
  <w:footnote w:id="6">
    <w:p w:rsidR="00CC3E03" w:rsidRPr="00513B72" w:rsidRDefault="00CC3E03" w:rsidP="003E60F7">
      <w:pPr>
        <w:pStyle w:val="Notedebasdepage"/>
        <w:jc w:val="both"/>
        <w:rPr>
          <w:rFonts w:ascii="Bookman Old Style" w:hAnsi="Bookman Old Style"/>
        </w:rPr>
      </w:pPr>
      <w:r>
        <w:rPr>
          <w:rStyle w:val="Appelnotedebasdep"/>
        </w:rPr>
        <w:footnoteRef/>
      </w:r>
      <w:r>
        <w:t xml:space="preserve"> </w:t>
      </w:r>
      <w:r>
        <w:rPr>
          <w:rFonts w:ascii="Bookman Old Style" w:hAnsi="Bookman Old Style"/>
        </w:rPr>
        <w:t xml:space="preserve">Il s’agit d’une enquête approfondie sur la pauvreté réalisée en 2002 par la Direction de la Statistique et des Etudes Démographiques (DISED), sous financement de la Banque mondiale, le PNUD, la Mission de la coopération française. </w:t>
      </w:r>
    </w:p>
    <w:p w:rsidR="00CC3E03" w:rsidRDefault="00CC3E03" w:rsidP="003E60F7">
      <w:pPr>
        <w:pStyle w:val="Notedebasdepage"/>
      </w:pPr>
    </w:p>
  </w:footnote>
  <w:footnote w:id="7">
    <w:p w:rsidR="00CC3E03" w:rsidRPr="002C17F9" w:rsidRDefault="00CC3E03" w:rsidP="003E60F7">
      <w:pPr>
        <w:pStyle w:val="Notedebasdepage"/>
        <w:jc w:val="both"/>
        <w:rPr>
          <w:rFonts w:ascii="Bookman Old Style" w:hAnsi="Bookman Old Style"/>
        </w:rPr>
      </w:pPr>
      <w:r w:rsidRPr="002C17F9">
        <w:rPr>
          <w:rFonts w:ascii="Bookman Old Style" w:hAnsi="Bookman Old Style"/>
        </w:rPr>
        <w:footnoteRef/>
      </w:r>
      <w:r w:rsidRPr="002C17F9">
        <w:rPr>
          <w:rFonts w:ascii="Bookman Old Style" w:hAnsi="Bookman Old Style"/>
        </w:rPr>
        <w:t xml:space="preserve"> La pauvreté est un phénomène multidimensionnel qui renvoie à la fois à une insuffisance de revenus, au manque d’emploi et aux difficultés d’accès  aux besoins essentiels. La pauvreté monétaire retrace ainsi une insuffisance de revenus monétaires pour faire face aux dépenses alimentaires et non alimentaires indispensables. Elle est appréhendé à partir de deux seuils en dessous desquels une personne est considérée comme pauvre relatif ou extrême : un seuil de pauvreté relative, calculé à partir de la part de la dépense  alimentaire dans la dépense totale  des ménages du deuxième quintile de dépenses équivalentes adultes, et un seuil de pauvreté extrême, déterminé sur la base des besoins alimentaires minimaux correspondant à un apport calorifique journalier de 2115 calories par équivalent adulte. Le seuil de pauvreté relative a été estimé à  198 229FD et le seuil de pauvreté absolue à 114 096FD par an en 2002, ce qui correspond respectivement à 3.3$ et 1.8$ par personne et par jour (1US$ = 177,721FD). Le seuil de pauvreté relative particulièrement élevé, comparé à celui fixé  dans le cadre de </w:t>
      </w:r>
      <w:smartTag w:uri="urn:schemas-microsoft-com:office:smarttags" w:element="PersonName">
        <w:smartTagPr>
          <w:attr w:name="ProductID" w:val="//www.iie.com/publications/papers/ĲĈ桀ヹᢈ樜ヹ̀ム큈ˊ阠ˉᘰˀ"/>
        </w:smartTagPr>
        <w:r w:rsidRPr="002C17F9">
          <w:rPr>
            <w:rFonts w:ascii="Bookman Old Style" w:hAnsi="Bookman Old Style"/>
          </w:rPr>
          <w:t>la</w:t>
        </w:r>
        <w:r w:rsidRPr="002C17F9">
          <w:rPr>
            <w:rFonts w:ascii="Bookman Old Style" w:hAnsi="Bookman Old Style"/>
            <w:sz w:val="24"/>
            <w:szCs w:val="24"/>
          </w:rPr>
          <w:t xml:space="preserve"> </w:t>
        </w:r>
        <w:r w:rsidRPr="002C17F9">
          <w:rPr>
            <w:rFonts w:ascii="Bookman Old Style" w:hAnsi="Bookman Old Style"/>
          </w:rPr>
          <w:t>Déclaration</w:t>
        </w:r>
      </w:smartTag>
      <w:r w:rsidRPr="002C17F9">
        <w:rPr>
          <w:rFonts w:ascii="Bookman Old Style" w:hAnsi="Bookman Old Style"/>
        </w:rPr>
        <w:t xml:space="preserve"> du Millénaire (2$ par personne et par jour), traduit le niveau élevé des prix à Djibouti et son incidence sur les conditions de vie des ménages. Ainsi, la pauvreté monétaire est engendrée par une insuffisance de revenus et un faible pouvoir d’achat dans un contexte fortement marqué par une crise du marché du travail (DSRP- 2004).</w:t>
      </w:r>
    </w:p>
  </w:footnote>
  <w:footnote w:id="8">
    <w:p w:rsidR="00CC3E03" w:rsidRPr="009E2DD1" w:rsidRDefault="00CC3E03" w:rsidP="003E60F7">
      <w:pPr>
        <w:pStyle w:val="Notedebasdepage"/>
        <w:jc w:val="both"/>
        <w:rPr>
          <w:rFonts w:ascii="Bookman Old Style" w:hAnsi="Bookman Old Style"/>
        </w:rPr>
      </w:pPr>
      <w:r w:rsidRPr="009E2DD1">
        <w:rPr>
          <w:rStyle w:val="Appelnotedebasdep"/>
          <w:rFonts w:ascii="Bookman Old Style" w:hAnsi="Bookman Old Style"/>
        </w:rPr>
        <w:footnoteRef/>
      </w:r>
      <w:r w:rsidRPr="009E2DD1">
        <w:rPr>
          <w:rFonts w:ascii="Bookman Old Style" w:hAnsi="Bookman Old Style"/>
        </w:rPr>
        <w:t xml:space="preserve">  Les économies sont divisées par groupe selon le revenu par habitant. En 2008, les groupes sont  les suivants : faible revenu, moins 975 dollars US, revenu  moyen  inferieur, de 975 à 3855 dollars US, revenu moyen supérieur, 3856 à 11905 dollars US, revenu élevé 11906 dollars US.   </w:t>
      </w:r>
    </w:p>
  </w:footnote>
  <w:footnote w:id="9">
    <w:p w:rsidR="00CC3E03" w:rsidRPr="00D72D09" w:rsidRDefault="00CC3E03" w:rsidP="00126BBD">
      <w:pPr>
        <w:jc w:val="both"/>
        <w:rPr>
          <w:rFonts w:ascii="Bookman Old Style" w:hAnsi="Bookman Old Style"/>
          <w:sz w:val="20"/>
          <w:szCs w:val="20"/>
          <w:lang w:val="fr-BE" w:eastAsia="ja-JP"/>
        </w:rPr>
      </w:pPr>
      <w:r w:rsidRPr="00D72D09">
        <w:rPr>
          <w:rStyle w:val="Appelnotedebasdep"/>
          <w:rFonts w:ascii="Bookman Old Style" w:hAnsi="Bookman Old Style"/>
          <w:sz w:val="20"/>
          <w:szCs w:val="20"/>
        </w:rPr>
        <w:footnoteRef/>
      </w:r>
      <w:r w:rsidRPr="00D72D09">
        <w:rPr>
          <w:rFonts w:ascii="Bookman Old Style" w:hAnsi="Bookman Old Style"/>
          <w:sz w:val="20"/>
          <w:szCs w:val="20"/>
        </w:rPr>
        <w:t xml:space="preserve"> Les taux d’intérêt  des prêts vari</w:t>
      </w:r>
      <w:r>
        <w:rPr>
          <w:rFonts w:ascii="Bookman Old Style" w:hAnsi="Bookman Old Style"/>
          <w:sz w:val="20"/>
          <w:szCs w:val="20"/>
        </w:rPr>
        <w:t>ent à Djibouti entre 18 et 25 %</w:t>
      </w:r>
      <w:r w:rsidRPr="00D72D09">
        <w:rPr>
          <w:rFonts w:ascii="Bookman Old Style" w:hAnsi="Bookman Old Style"/>
          <w:sz w:val="20"/>
          <w:szCs w:val="20"/>
        </w:rPr>
        <w:t xml:space="preserve">. Les deux </w:t>
      </w:r>
      <w:r>
        <w:rPr>
          <w:rFonts w:ascii="Bookman Old Style" w:hAnsi="Bookman Old Style"/>
          <w:sz w:val="20"/>
          <w:szCs w:val="20"/>
        </w:rPr>
        <w:t xml:space="preserve"> principales </w:t>
      </w:r>
      <w:r w:rsidRPr="00D72D09">
        <w:rPr>
          <w:rFonts w:ascii="Bookman Old Style" w:hAnsi="Bookman Old Style"/>
          <w:sz w:val="20"/>
          <w:szCs w:val="20"/>
        </w:rPr>
        <w:t>banques</w:t>
      </w:r>
      <w:r>
        <w:rPr>
          <w:rFonts w:ascii="Bookman Old Style" w:hAnsi="Bookman Old Style"/>
          <w:sz w:val="20"/>
          <w:szCs w:val="20"/>
        </w:rPr>
        <w:t xml:space="preserve"> du pays</w:t>
      </w:r>
      <w:r w:rsidRPr="00D72D09">
        <w:rPr>
          <w:rFonts w:ascii="Bookman Old Style" w:hAnsi="Bookman Old Style"/>
          <w:sz w:val="20"/>
          <w:szCs w:val="20"/>
        </w:rPr>
        <w:t xml:space="preserve"> n’ont pas forcement le dynamisme qu’on observe sur un marché plus concurrentiel, elles doivent cependant faire face un certain nombre de risques qui aboutissent à une situation où le crédit est à la fois très couteux et fortement rationné à Djibouti. Les banques ne peuvent pas récupérer leurs fonds en cas de faillite du débiteur. Les micro-entreprises qui dominent à Djibouti n’ont pas généralement des nantissements à faire valoir comme garantie. Ensuite les banques disposent </w:t>
      </w:r>
      <w:r>
        <w:rPr>
          <w:rFonts w:ascii="Bookman Old Style" w:hAnsi="Bookman Old Style"/>
          <w:sz w:val="20"/>
          <w:szCs w:val="20"/>
        </w:rPr>
        <w:t xml:space="preserve">de </w:t>
      </w:r>
      <w:r w:rsidRPr="00D72D09">
        <w:rPr>
          <w:rFonts w:ascii="Bookman Old Style" w:hAnsi="Bookman Old Style"/>
          <w:sz w:val="20"/>
          <w:szCs w:val="20"/>
        </w:rPr>
        <w:t xml:space="preserve">très peu d’information concernant leurs clients. Ce manque d’information avant la concrétisation de prêt engendre des problèmes de sélection adverse. Les deux banques ne pouvant pas discriminer les entreprises, elles traduisent le risque par une hausse des taux d’intérêt. Les banques observent aussi une certaine prudence à cause des problèmes de recouvrement des créances consenties dans les années 1980. </w:t>
      </w:r>
    </w:p>
    <w:p w:rsidR="00CC3E03" w:rsidRPr="00D72D09" w:rsidRDefault="00CC3E03" w:rsidP="00126BBD">
      <w:pPr>
        <w:pStyle w:val="Notedebasdepage"/>
        <w:jc w:val="both"/>
        <w:rPr>
          <w:rFonts w:ascii="Bookman Old Style" w:hAnsi="Bookman Old Style"/>
          <w:lang w:val="fr-BE"/>
        </w:rPr>
      </w:pPr>
    </w:p>
  </w:footnote>
  <w:footnote w:id="10">
    <w:p w:rsidR="00CC3E03" w:rsidRPr="00D557E1" w:rsidRDefault="00CC3E03" w:rsidP="00126BBD">
      <w:pPr>
        <w:pStyle w:val="Notedebasdepage"/>
        <w:jc w:val="both"/>
        <w:rPr>
          <w:rFonts w:ascii="Bookman Old Style" w:hAnsi="Bookman Old Style"/>
        </w:rPr>
      </w:pPr>
      <w:r w:rsidRPr="00D557E1">
        <w:rPr>
          <w:rStyle w:val="Appelnotedebasdep"/>
          <w:rFonts w:ascii="Bookman Old Style" w:hAnsi="Bookman Old Style"/>
        </w:rPr>
        <w:footnoteRef/>
      </w:r>
      <w:r w:rsidRPr="00D557E1">
        <w:rPr>
          <w:rFonts w:ascii="Bookman Old Style" w:hAnsi="Bookman Old Style"/>
        </w:rPr>
        <w:t xml:space="preserve">  Parmi les ports</w:t>
      </w:r>
      <w:r>
        <w:rPr>
          <w:rFonts w:ascii="Bookman Old Style" w:hAnsi="Bookman Old Style"/>
        </w:rPr>
        <w:t xml:space="preserve"> de la région, Aden (Yémen) et S</w:t>
      </w:r>
      <w:r w:rsidRPr="00D557E1">
        <w:rPr>
          <w:rFonts w:ascii="Bookman Old Style" w:hAnsi="Bookman Old Style"/>
        </w:rPr>
        <w:t>alaalah (Oman</w:t>
      </w:r>
      <w:r>
        <w:rPr>
          <w:rFonts w:ascii="Bookman Old Style" w:hAnsi="Bookman Old Style"/>
        </w:rPr>
        <w:t>)</w:t>
      </w:r>
      <w:r w:rsidRPr="00D557E1">
        <w:rPr>
          <w:rFonts w:ascii="Bookman Old Style" w:hAnsi="Bookman Old Style"/>
        </w:rPr>
        <w:t xml:space="preserve"> sont les concurrents directs de Djibouti sur l’activité de transbordement.</w:t>
      </w:r>
    </w:p>
  </w:footnote>
  <w:footnote w:id="11">
    <w:p w:rsidR="00CC3E03" w:rsidRPr="00AC55B5" w:rsidRDefault="00CC3E03" w:rsidP="00840CF5">
      <w:pPr>
        <w:pStyle w:val="Notedebasdepage"/>
        <w:jc w:val="both"/>
        <w:rPr>
          <w:rFonts w:ascii="Bookman Old Style" w:hAnsi="Bookman Old Style"/>
        </w:rPr>
      </w:pPr>
      <w:r>
        <w:rPr>
          <w:rStyle w:val="Appelnotedebasdep"/>
        </w:rPr>
        <w:footnoteRef/>
      </w:r>
      <w:r>
        <w:t xml:space="preserve"> </w:t>
      </w:r>
      <w:r w:rsidRPr="00AC55B5">
        <w:rPr>
          <w:rFonts w:ascii="Bookman Old Style" w:hAnsi="Bookman Old Style"/>
        </w:rPr>
        <w:t xml:space="preserve">L’indice de perception de la corruption mesure les perceptions de corruption par le milieu des affaires et les analystes par pays.  </w:t>
      </w:r>
      <w:r>
        <w:rPr>
          <w:rFonts w:ascii="Bookman Old Style" w:hAnsi="Bookman Old Style"/>
        </w:rPr>
        <w:t>Il varie entre</w:t>
      </w:r>
      <w:r w:rsidRPr="00AC55B5">
        <w:rPr>
          <w:rFonts w:ascii="Bookman Old Style" w:hAnsi="Bookman Old Style"/>
        </w:rPr>
        <w:t xml:space="preserve"> 10 (niveau de corruption très bas) et 0 (très corrompu).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25EBB"/>
    <w:multiLevelType w:val="hybridMultilevel"/>
    <w:tmpl w:val="52D65F70"/>
    <w:lvl w:ilvl="0" w:tplc="B626586A">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718C"/>
    <w:rsid w:val="00070470"/>
    <w:rsid w:val="000A1208"/>
    <w:rsid w:val="000E2462"/>
    <w:rsid w:val="00126BBD"/>
    <w:rsid w:val="00172DE3"/>
    <w:rsid w:val="00196209"/>
    <w:rsid w:val="001C27EA"/>
    <w:rsid w:val="001C479D"/>
    <w:rsid w:val="001D7CE5"/>
    <w:rsid w:val="001F15DF"/>
    <w:rsid w:val="002108E2"/>
    <w:rsid w:val="00252E69"/>
    <w:rsid w:val="0026182B"/>
    <w:rsid w:val="002B42F1"/>
    <w:rsid w:val="002D4C56"/>
    <w:rsid w:val="0034718C"/>
    <w:rsid w:val="00395091"/>
    <w:rsid w:val="003A003F"/>
    <w:rsid w:val="003A1455"/>
    <w:rsid w:val="003D76E4"/>
    <w:rsid w:val="003E60F7"/>
    <w:rsid w:val="003F4A7A"/>
    <w:rsid w:val="00406385"/>
    <w:rsid w:val="0043354F"/>
    <w:rsid w:val="00484053"/>
    <w:rsid w:val="004D1794"/>
    <w:rsid w:val="004D7834"/>
    <w:rsid w:val="00530847"/>
    <w:rsid w:val="00580AE7"/>
    <w:rsid w:val="005A5758"/>
    <w:rsid w:val="005E6B78"/>
    <w:rsid w:val="005F31DA"/>
    <w:rsid w:val="00650C95"/>
    <w:rsid w:val="006518F5"/>
    <w:rsid w:val="006807E2"/>
    <w:rsid w:val="006E5B70"/>
    <w:rsid w:val="007475F5"/>
    <w:rsid w:val="0075180A"/>
    <w:rsid w:val="007748A7"/>
    <w:rsid w:val="007B2D32"/>
    <w:rsid w:val="007D2495"/>
    <w:rsid w:val="007E36CE"/>
    <w:rsid w:val="00840CF5"/>
    <w:rsid w:val="008424EE"/>
    <w:rsid w:val="00862DCF"/>
    <w:rsid w:val="008B4DB4"/>
    <w:rsid w:val="008D29EB"/>
    <w:rsid w:val="0091208B"/>
    <w:rsid w:val="009329D6"/>
    <w:rsid w:val="00945899"/>
    <w:rsid w:val="009707AF"/>
    <w:rsid w:val="009B0AFA"/>
    <w:rsid w:val="009E7CB8"/>
    <w:rsid w:val="00A1255D"/>
    <w:rsid w:val="00A22F5B"/>
    <w:rsid w:val="00A762CC"/>
    <w:rsid w:val="00A814C6"/>
    <w:rsid w:val="00AE5EBF"/>
    <w:rsid w:val="00AE78F0"/>
    <w:rsid w:val="00AF6E39"/>
    <w:rsid w:val="00B07F88"/>
    <w:rsid w:val="00B61E10"/>
    <w:rsid w:val="00B72665"/>
    <w:rsid w:val="00B975CB"/>
    <w:rsid w:val="00C21DDD"/>
    <w:rsid w:val="00C33BED"/>
    <w:rsid w:val="00C45D62"/>
    <w:rsid w:val="00C568D3"/>
    <w:rsid w:val="00C61163"/>
    <w:rsid w:val="00C85525"/>
    <w:rsid w:val="00CC3E03"/>
    <w:rsid w:val="00CF6CF0"/>
    <w:rsid w:val="00D534CF"/>
    <w:rsid w:val="00D67523"/>
    <w:rsid w:val="00D77BE1"/>
    <w:rsid w:val="00E33F03"/>
    <w:rsid w:val="00E70C4C"/>
    <w:rsid w:val="00E93272"/>
    <w:rsid w:val="00EA35CA"/>
    <w:rsid w:val="00F30575"/>
    <w:rsid w:val="00F44B6D"/>
    <w:rsid w:val="00F51197"/>
    <w:rsid w:val="00F5500C"/>
    <w:rsid w:val="00F81EA2"/>
    <w:rsid w:val="00F858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8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4718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1"/>
    <w:qFormat/>
    <w:rsid w:val="009B0AF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B0AFA"/>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4718C"/>
    <w:rPr>
      <w:rFonts w:ascii="Arial" w:eastAsia="Times New Roman" w:hAnsi="Arial" w:cs="Arial"/>
      <w:b/>
      <w:bCs/>
      <w:i/>
      <w:iCs/>
      <w:sz w:val="28"/>
      <w:szCs w:val="28"/>
      <w:lang w:eastAsia="fr-FR"/>
    </w:rPr>
  </w:style>
  <w:style w:type="paragraph" w:styleId="En-tte">
    <w:name w:val="header"/>
    <w:basedOn w:val="Normal"/>
    <w:link w:val="En-tteCar"/>
    <w:uiPriority w:val="99"/>
    <w:semiHidden/>
    <w:unhideWhenUsed/>
    <w:rsid w:val="0034718C"/>
    <w:pPr>
      <w:tabs>
        <w:tab w:val="center" w:pos="4536"/>
        <w:tab w:val="right" w:pos="9072"/>
      </w:tabs>
    </w:pPr>
  </w:style>
  <w:style w:type="character" w:customStyle="1" w:styleId="En-tteCar">
    <w:name w:val="En-tête Car"/>
    <w:basedOn w:val="Policepardfaut"/>
    <w:link w:val="En-tte"/>
    <w:uiPriority w:val="99"/>
    <w:semiHidden/>
    <w:rsid w:val="0034718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4718C"/>
    <w:pPr>
      <w:tabs>
        <w:tab w:val="center" w:pos="4536"/>
        <w:tab w:val="right" w:pos="9072"/>
      </w:tabs>
    </w:pPr>
  </w:style>
  <w:style w:type="character" w:customStyle="1" w:styleId="PieddepageCar">
    <w:name w:val="Pied de page Car"/>
    <w:basedOn w:val="Policepardfaut"/>
    <w:link w:val="Pieddepage"/>
    <w:uiPriority w:val="99"/>
    <w:rsid w:val="0034718C"/>
    <w:rPr>
      <w:rFonts w:ascii="Times New Roman" w:eastAsia="Times New Roman" w:hAnsi="Times New Roman" w:cs="Times New Roman"/>
      <w:sz w:val="24"/>
      <w:szCs w:val="24"/>
      <w:lang w:eastAsia="fr-FR"/>
    </w:rPr>
  </w:style>
  <w:style w:type="paragraph" w:styleId="Notedebasdepage">
    <w:name w:val="footnote text"/>
    <w:aliases w:val="FOOTNOTES,fn,single space,footnote text Car,footnote text"/>
    <w:basedOn w:val="Normal"/>
    <w:link w:val="NotedebasdepageCar"/>
    <w:semiHidden/>
    <w:rsid w:val="0034718C"/>
    <w:rPr>
      <w:rFonts w:ascii="Calibri" w:eastAsia="Calibri" w:hAnsi="Calibri"/>
      <w:sz w:val="20"/>
      <w:szCs w:val="20"/>
      <w:lang w:eastAsia="en-US"/>
    </w:rPr>
  </w:style>
  <w:style w:type="character" w:customStyle="1" w:styleId="NotedebasdepageCar">
    <w:name w:val="Note de bas de page Car"/>
    <w:aliases w:val="FOOTNOTES Car,fn Car,single space Car,footnote text Car Car,footnote text Car1"/>
    <w:basedOn w:val="Policepardfaut"/>
    <w:link w:val="Notedebasdepage"/>
    <w:semiHidden/>
    <w:rsid w:val="0034718C"/>
    <w:rPr>
      <w:rFonts w:ascii="Calibri" w:eastAsia="Calibri" w:hAnsi="Calibri" w:cs="Times New Roman"/>
      <w:sz w:val="20"/>
      <w:szCs w:val="20"/>
    </w:rPr>
  </w:style>
  <w:style w:type="character" w:styleId="Appelnotedebasdep">
    <w:name w:val="footnote reference"/>
    <w:basedOn w:val="Policepardfaut"/>
    <w:semiHidden/>
    <w:rsid w:val="0034718C"/>
    <w:rPr>
      <w:rFonts w:cs="Times New Roman"/>
      <w:vertAlign w:val="superscript"/>
    </w:rPr>
  </w:style>
  <w:style w:type="paragraph" w:styleId="Lgende">
    <w:name w:val="caption"/>
    <w:basedOn w:val="Normal"/>
    <w:next w:val="Normal"/>
    <w:qFormat/>
    <w:rsid w:val="003F4A7A"/>
    <w:pPr>
      <w:widowControl w:val="0"/>
      <w:tabs>
        <w:tab w:val="center" w:pos="4377"/>
      </w:tabs>
      <w:autoSpaceDE w:val="0"/>
      <w:autoSpaceDN w:val="0"/>
      <w:adjustRightInd w:val="0"/>
      <w:jc w:val="both"/>
    </w:pPr>
    <w:rPr>
      <w:rFonts w:ascii="Garamond" w:hAnsi="Garamond" w:cs="Arial"/>
      <w:b/>
      <w:bCs/>
      <w:color w:val="000000"/>
    </w:rPr>
  </w:style>
  <w:style w:type="paragraph" w:styleId="Paragraphedeliste">
    <w:name w:val="List Paragraph"/>
    <w:basedOn w:val="Normal"/>
    <w:qFormat/>
    <w:rsid w:val="003F4A7A"/>
    <w:pPr>
      <w:ind w:left="708"/>
    </w:pPr>
  </w:style>
  <w:style w:type="character" w:customStyle="1" w:styleId="Titre3Car">
    <w:name w:val="Titre 3 Car"/>
    <w:basedOn w:val="Policepardfaut"/>
    <w:link w:val="Titre3"/>
    <w:uiPriority w:val="9"/>
    <w:semiHidden/>
    <w:rsid w:val="009B0AFA"/>
    <w:rPr>
      <w:rFonts w:asciiTheme="majorHAnsi" w:eastAsiaTheme="majorEastAsia" w:hAnsiTheme="majorHAnsi" w:cstheme="majorBidi"/>
      <w:b/>
      <w:bCs/>
      <w:color w:val="4F81BD" w:themeColor="accent1"/>
      <w:sz w:val="24"/>
      <w:szCs w:val="24"/>
      <w:lang w:eastAsia="fr-FR"/>
    </w:rPr>
  </w:style>
  <w:style w:type="character" w:customStyle="1" w:styleId="Titre3Car1">
    <w:name w:val="Titre 3 Car1"/>
    <w:basedOn w:val="Policepardfaut"/>
    <w:link w:val="Titre3"/>
    <w:rsid w:val="009B0AFA"/>
    <w:rPr>
      <w:rFonts w:ascii="Arial" w:eastAsia="Times New Roman" w:hAnsi="Arial" w:cs="Arial"/>
      <w:b/>
      <w:bCs/>
      <w:sz w:val="26"/>
      <w:szCs w:val="26"/>
      <w:lang w:eastAsia="fr-FR"/>
    </w:rPr>
  </w:style>
  <w:style w:type="character" w:customStyle="1" w:styleId="Titre4Car">
    <w:name w:val="Titre 4 Car"/>
    <w:basedOn w:val="Policepardfaut"/>
    <w:link w:val="Titre4"/>
    <w:rsid w:val="009B0AFA"/>
    <w:rPr>
      <w:rFonts w:ascii="Times New Roman" w:eastAsia="Times New Roman" w:hAnsi="Times New Roman" w:cs="Times New Roman"/>
      <w:b/>
      <w:bCs/>
      <w:sz w:val="28"/>
      <w:szCs w:val="28"/>
      <w:lang w:eastAsia="fr-FR"/>
    </w:rPr>
  </w:style>
  <w:style w:type="character" w:styleId="lev">
    <w:name w:val="Strong"/>
    <w:basedOn w:val="Policepardfaut"/>
    <w:qFormat/>
    <w:rsid w:val="003E60F7"/>
    <w:rPr>
      <w:b/>
      <w:bCs/>
    </w:rPr>
  </w:style>
  <w:style w:type="table" w:styleId="Grilledutableau">
    <w:name w:val="Table Grid"/>
    <w:basedOn w:val="TableauNormal"/>
    <w:uiPriority w:val="59"/>
    <w:rsid w:val="004063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C6DC-608B-4446-8EB3-0CC287A6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15840</Words>
  <Characters>87123</Characters>
  <Application>Microsoft Office Word</Application>
  <DocSecurity>0</DocSecurity>
  <Lines>726</Lines>
  <Paragraphs>205</Paragraphs>
  <ScaleCrop>false</ScaleCrop>
  <HeadingPairs>
    <vt:vector size="2" baseType="variant">
      <vt:variant>
        <vt:lpstr>Titre</vt:lpstr>
      </vt:variant>
      <vt:variant>
        <vt:i4>1</vt:i4>
      </vt:variant>
    </vt:vector>
  </HeadingPairs>
  <TitlesOfParts>
    <vt:vector size="1" baseType="lpstr">
      <vt:lpstr/>
    </vt:vector>
  </TitlesOfParts>
  <Company>Mega</Company>
  <LinksUpToDate>false</LinksUpToDate>
  <CharactersWithSpaces>102758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mohamed_guedi_yabe</dc:creator>
  <cp:lastModifiedBy>CLIENT</cp:lastModifiedBy>
  <cp:revision>2</cp:revision>
  <dcterms:created xsi:type="dcterms:W3CDTF">2014-09-25T17:51:00Z</dcterms:created>
  <dcterms:modified xsi:type="dcterms:W3CDTF">2014-09-25T17:51:00Z</dcterms:modified>
</cp:coreProperties>
</file>