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6653"/>
        <w:gridCol w:w="1884"/>
      </w:tblGrid>
      <w:tr w:rsidR="009F2AE2" w:rsidTr="00737A84">
        <w:tc>
          <w:tcPr>
            <w:tcW w:w="6653" w:type="dxa"/>
            <w:vAlign w:val="center"/>
          </w:tcPr>
          <w:p w:rsidR="009F2AE2" w:rsidRPr="00EC07D1" w:rsidRDefault="009F2AE2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9F2AE2">
              <w:rPr>
                <w:rFonts w:ascii="Arial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المؤسسة</w:t>
            </w:r>
            <w:proofErr w:type="gramEnd"/>
          </w:p>
        </w:tc>
        <w:tc>
          <w:tcPr>
            <w:tcW w:w="1884" w:type="dxa"/>
            <w:vAlign w:val="center"/>
          </w:tcPr>
          <w:p w:rsidR="009F2AE2" w:rsidRPr="00EC07D1" w:rsidRDefault="009F2AE2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9F2AE2" w:rsidTr="00737A84">
        <w:tc>
          <w:tcPr>
            <w:tcW w:w="6653" w:type="dxa"/>
            <w:vAlign w:val="center"/>
          </w:tcPr>
          <w:p w:rsidR="009F2AE2" w:rsidRPr="00EC07D1" w:rsidRDefault="009F2AE2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المعهد العالي للدراسات البحرية</w:t>
            </w:r>
          </w:p>
        </w:tc>
        <w:tc>
          <w:tcPr>
            <w:tcW w:w="1884" w:type="dxa"/>
          </w:tcPr>
          <w:p w:rsidR="009F2AE2" w:rsidRDefault="009F2AE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9F2AE2" w:rsidTr="00737A84">
        <w:tc>
          <w:tcPr>
            <w:tcW w:w="6653" w:type="dxa"/>
            <w:vAlign w:val="center"/>
          </w:tcPr>
          <w:p w:rsidR="009F2AE2" w:rsidRPr="00EC07D1" w:rsidRDefault="009F2AE2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المعهد العالي للصيد البحري</w:t>
            </w:r>
          </w:p>
        </w:tc>
        <w:tc>
          <w:tcPr>
            <w:tcW w:w="1884" w:type="dxa"/>
          </w:tcPr>
          <w:p w:rsidR="009F2AE2" w:rsidRDefault="009F2AE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9F2AE2" w:rsidTr="00737A84">
        <w:tc>
          <w:tcPr>
            <w:tcW w:w="6653" w:type="dxa"/>
            <w:vAlign w:val="center"/>
          </w:tcPr>
          <w:p w:rsidR="009F2AE2" w:rsidRPr="00EC07D1" w:rsidRDefault="009F2AE2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معاهد</w:t>
            </w:r>
            <w:proofErr w:type="gramEnd"/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تكنولوجيا الصيد البحري</w:t>
            </w:r>
          </w:p>
        </w:tc>
        <w:tc>
          <w:tcPr>
            <w:tcW w:w="1884" w:type="dxa"/>
          </w:tcPr>
          <w:p w:rsidR="009F2AE2" w:rsidRDefault="009F2AE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</w:tbl>
    <w:p w:rsidR="00593BE8" w:rsidRDefault="00593BE8">
      <w:pPr>
        <w:rPr>
          <w:rtl/>
        </w:rPr>
      </w:pPr>
    </w:p>
    <w:p w:rsidR="009F2AE2" w:rsidRPr="009F2AE2" w:rsidRDefault="009F2AE2" w:rsidP="009F2AE2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9F2AE2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 العالي للدراسات البحرية</w:t>
      </w:r>
      <w:r w:rsidR="00756A29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 xml:space="preserve">   </w:t>
      </w:r>
      <w:r w:rsidR="00756A29" w:rsidRPr="00756A29">
        <w:rPr>
          <w:b/>
          <w:bCs/>
          <w:sz w:val="20"/>
          <w:szCs w:val="20"/>
          <w:rtl/>
        </w:rPr>
        <w:t xml:space="preserve"> </w:t>
      </w:r>
      <w:r w:rsidR="00756A29" w:rsidRPr="00756A29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الدار البيضاء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2892"/>
        <w:gridCol w:w="2991"/>
      </w:tblGrid>
      <w:tr w:rsidR="00756A29" w:rsidRPr="00A56CB5" w:rsidTr="005213E2">
        <w:trPr>
          <w:jc w:val="center"/>
        </w:trPr>
        <w:tc>
          <w:tcPr>
            <w:tcW w:w="2284" w:type="dxa"/>
            <w:vAlign w:val="center"/>
          </w:tcPr>
          <w:p w:rsidR="00756A29" w:rsidRPr="00756A29" w:rsidRDefault="00756A29" w:rsidP="005213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كم </w:t>
            </w:r>
            <w:proofErr w:type="spell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7،</w:t>
            </w:r>
            <w:proofErr w:type="spell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طريق</w:t>
            </w:r>
            <w:proofErr w:type="gram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الجديدة </w:t>
            </w:r>
          </w:p>
          <w:p w:rsidR="00756A29" w:rsidRPr="00756A29" w:rsidRDefault="00756A29" w:rsidP="005213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الدار</w:t>
            </w:r>
            <w:proofErr w:type="gram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البيضاء</w:t>
            </w:r>
          </w:p>
        </w:tc>
        <w:tc>
          <w:tcPr>
            <w:tcW w:w="2892" w:type="dxa"/>
            <w:vAlign w:val="center"/>
          </w:tcPr>
          <w:p w:rsidR="00756A29" w:rsidRPr="00756A29" w:rsidRDefault="00756A29" w:rsidP="005213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هاتف</w:t>
            </w:r>
            <w:proofErr w:type="gram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:46/</w:t>
            </w:r>
            <w:proofErr w:type="spell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44/0522230740</w:t>
            </w:r>
          </w:p>
          <w:p w:rsidR="00756A29" w:rsidRPr="00756A29" w:rsidRDefault="00756A29" w:rsidP="005213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فاكس:0522231568</w:t>
            </w:r>
          </w:p>
        </w:tc>
        <w:tc>
          <w:tcPr>
            <w:tcW w:w="2991" w:type="dxa"/>
            <w:vAlign w:val="center"/>
          </w:tcPr>
          <w:p w:rsidR="00756A29" w:rsidRPr="00756A29" w:rsidRDefault="00BA786C" w:rsidP="005213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hyperlink r:id="rId7" w:history="1">
              <w:r w:rsidR="00756A29" w:rsidRPr="00756A29">
                <w:rPr>
                  <w:rStyle w:val="Lienhypertexte"/>
                  <w:rFonts w:asciiTheme="minorBidi" w:hAnsiTheme="minorBidi" w:cstheme="minorBidi"/>
                  <w:b/>
                  <w:bCs/>
                  <w:sz w:val="24"/>
                  <w:szCs w:val="24"/>
                </w:rPr>
                <w:t>www.isem.ac.ma</w:t>
              </w:r>
            </w:hyperlink>
          </w:p>
        </w:tc>
      </w:tr>
    </w:tbl>
    <w:p w:rsidR="00756A29" w:rsidRPr="00756A29" w:rsidRDefault="00756A29" w:rsidP="00756A29">
      <w:pPr>
        <w:spacing w:line="360" w:lineRule="auto"/>
        <w:jc w:val="center"/>
        <w:rPr>
          <w:b/>
          <w:bCs/>
          <w:sz w:val="28"/>
          <w:szCs w:val="28"/>
          <w:rtl/>
        </w:rPr>
      </w:pPr>
      <w:proofErr w:type="gramStart"/>
      <w:r w:rsidRPr="00756A29">
        <w:rPr>
          <w:b/>
          <w:bCs/>
          <w:sz w:val="28"/>
          <w:szCs w:val="28"/>
          <w:rtl/>
        </w:rPr>
        <w:t>التكوين</w:t>
      </w:r>
      <w:proofErr w:type="gramEnd"/>
      <w:r w:rsidRPr="00756A29">
        <w:rPr>
          <w:b/>
          <w:bCs/>
          <w:sz w:val="28"/>
          <w:szCs w:val="28"/>
          <w:rtl/>
        </w:rPr>
        <w:t xml:space="preserve"> وشروط الالتحاق</w:t>
      </w:r>
    </w:p>
    <w:p w:rsidR="00756A29" w:rsidRPr="00756A29" w:rsidRDefault="00756A29" w:rsidP="00756A29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r w:rsidRPr="00756A29">
        <w:rPr>
          <w:rFonts w:asciiTheme="minorBidi" w:hAnsiTheme="minorBidi"/>
          <w:sz w:val="28"/>
          <w:szCs w:val="28"/>
          <w:rtl/>
        </w:rPr>
        <w:t xml:space="preserve">يتم التكوين بشعبتي السطح والآلة خلال أربع سنوات لفائدة حاملي البكالوريا العلمية أو التقنية الذين اجتازوا مباراة دخول المعهد بنجاح. </w:t>
      </w:r>
      <w:proofErr w:type="gramStart"/>
      <w:r w:rsidRPr="00756A29">
        <w:rPr>
          <w:rFonts w:asciiTheme="minorBidi" w:hAnsiTheme="minorBidi"/>
          <w:sz w:val="28"/>
          <w:szCs w:val="28"/>
          <w:rtl/>
        </w:rPr>
        <w:t>ويشترط</w:t>
      </w:r>
      <w:proofErr w:type="gramEnd"/>
      <w:r w:rsidRPr="00756A29">
        <w:rPr>
          <w:rFonts w:asciiTheme="minorBidi" w:hAnsiTheme="minorBidi"/>
          <w:sz w:val="28"/>
          <w:szCs w:val="28"/>
          <w:rtl/>
        </w:rPr>
        <w:t xml:space="preserve"> في المرشحين أن يكونوا قادرين على تحمل مهنة البحرية وأن لا تتجاوز أعمارهم 21 سنة.</w:t>
      </w:r>
    </w:p>
    <w:p w:rsidR="00756A29" w:rsidRPr="00756A29" w:rsidRDefault="00756A29" w:rsidP="00756A29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r w:rsidRPr="00756A29">
        <w:rPr>
          <w:rFonts w:asciiTheme="minorBidi" w:hAnsiTheme="minorBidi"/>
          <w:sz w:val="28"/>
          <w:szCs w:val="28"/>
          <w:rtl/>
        </w:rPr>
        <w:t xml:space="preserve">يوفر المعهد تكوينا </w:t>
      </w:r>
      <w:proofErr w:type="gramStart"/>
      <w:r w:rsidRPr="00756A29">
        <w:rPr>
          <w:rFonts w:asciiTheme="minorBidi" w:hAnsiTheme="minorBidi"/>
          <w:sz w:val="28"/>
          <w:szCs w:val="28"/>
          <w:rtl/>
        </w:rPr>
        <w:t>يمتد</w:t>
      </w:r>
      <w:proofErr w:type="gramEnd"/>
      <w:r w:rsidRPr="00756A29">
        <w:rPr>
          <w:rFonts w:asciiTheme="minorBidi" w:hAnsiTheme="minorBidi"/>
          <w:sz w:val="28"/>
          <w:szCs w:val="28"/>
          <w:rtl/>
        </w:rPr>
        <w:t xml:space="preserve"> لسلكيين:</w:t>
      </w:r>
    </w:p>
    <w:p w:rsidR="00756A29" w:rsidRPr="00756A29" w:rsidRDefault="00756A29" w:rsidP="00756A29">
      <w:pPr>
        <w:numPr>
          <w:ilvl w:val="0"/>
          <w:numId w:val="1"/>
        </w:numPr>
        <w:tabs>
          <w:tab w:val="clear" w:pos="1013"/>
          <w:tab w:val="num" w:pos="319"/>
        </w:tabs>
        <w:bidi/>
        <w:spacing w:line="360" w:lineRule="auto"/>
        <w:ind w:left="0" w:firstLine="0"/>
        <w:rPr>
          <w:rFonts w:asciiTheme="minorBidi" w:hAnsiTheme="minorBidi"/>
          <w:sz w:val="28"/>
          <w:szCs w:val="28"/>
        </w:rPr>
      </w:pPr>
      <w:r w:rsidRPr="00756A29">
        <w:rPr>
          <w:rFonts w:asciiTheme="minorBidi" w:hAnsiTheme="minorBidi"/>
          <w:b/>
          <w:bCs/>
          <w:sz w:val="28"/>
          <w:szCs w:val="28"/>
          <w:rtl/>
        </w:rPr>
        <w:t xml:space="preserve">السلك العادي في أربع سنوات </w:t>
      </w:r>
      <w:r w:rsidRPr="00756A29">
        <w:rPr>
          <w:rFonts w:asciiTheme="minorBidi" w:hAnsiTheme="minorBidi"/>
          <w:sz w:val="28"/>
          <w:szCs w:val="28"/>
          <w:rtl/>
        </w:rPr>
        <w:t xml:space="preserve">: شعبة علوم الإبحار يتوج بدبلوم ملازم أعالي البحار وشعبة الطاقة والدفع تتوج بدبلوم ملازم ميكانيكي الدرجة الأولى </w:t>
      </w:r>
    </w:p>
    <w:p w:rsidR="00756A29" w:rsidRPr="00756A29" w:rsidRDefault="00756A29" w:rsidP="00756A29">
      <w:pPr>
        <w:numPr>
          <w:ilvl w:val="0"/>
          <w:numId w:val="1"/>
        </w:numPr>
        <w:tabs>
          <w:tab w:val="clear" w:pos="1013"/>
          <w:tab w:val="num" w:pos="319"/>
        </w:tabs>
        <w:bidi/>
        <w:spacing w:line="360" w:lineRule="auto"/>
        <w:ind w:left="0" w:firstLine="0"/>
        <w:rPr>
          <w:rFonts w:asciiTheme="minorBidi" w:hAnsiTheme="minorBidi"/>
          <w:sz w:val="28"/>
          <w:szCs w:val="28"/>
        </w:rPr>
      </w:pPr>
      <w:r w:rsidRPr="00756A29">
        <w:rPr>
          <w:rFonts w:asciiTheme="minorBidi" w:hAnsiTheme="minorBidi"/>
          <w:b/>
          <w:bCs/>
          <w:sz w:val="28"/>
          <w:szCs w:val="28"/>
          <w:rtl/>
        </w:rPr>
        <w:t xml:space="preserve">السلك العالي في سنة </w:t>
      </w:r>
      <w:proofErr w:type="spellStart"/>
      <w:r w:rsidRPr="00756A29">
        <w:rPr>
          <w:rFonts w:asciiTheme="minorBidi" w:hAnsiTheme="minorBidi"/>
          <w:b/>
          <w:bCs/>
          <w:sz w:val="28"/>
          <w:szCs w:val="28"/>
          <w:rtl/>
        </w:rPr>
        <w:t>واحدة</w:t>
      </w:r>
      <w:r w:rsidRPr="00756A29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للحاصلين على دبلوم السلك العادي يتوج بالحصول على دبلوم ضابط ميكانيكي الدرجة الأولى أو قبطان أعالي البحار.</w:t>
      </w:r>
    </w:p>
    <w:p w:rsidR="00756A29" w:rsidRPr="00756A29" w:rsidRDefault="00756A29" w:rsidP="00756A29">
      <w:pPr>
        <w:jc w:val="right"/>
        <w:rPr>
          <w:rFonts w:asciiTheme="minorBidi" w:hAnsiTheme="minorBidi"/>
          <w:sz w:val="28"/>
          <w:szCs w:val="28"/>
        </w:rPr>
      </w:pPr>
      <w:r w:rsidRPr="00756A29">
        <w:rPr>
          <w:rFonts w:asciiTheme="minorBidi" w:hAnsiTheme="minorBidi"/>
          <w:sz w:val="28"/>
          <w:szCs w:val="28"/>
          <w:rtl/>
        </w:rPr>
        <w:t xml:space="preserve">يعتمد في المباراة على المواد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التالية: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756A29">
        <w:rPr>
          <w:rFonts w:asciiTheme="minorBidi" w:hAnsiTheme="minorBidi"/>
          <w:sz w:val="28"/>
          <w:szCs w:val="28"/>
          <w:rtl/>
        </w:rPr>
        <w:t>الرياضيات</w:t>
      </w:r>
      <w:proofErr w:type="gramEnd"/>
      <w:r w:rsidRPr="00756A29">
        <w:rPr>
          <w:rFonts w:asciiTheme="minorBidi" w:hAnsiTheme="minorBidi"/>
          <w:sz w:val="28"/>
          <w:szCs w:val="28"/>
          <w:rtl/>
        </w:rPr>
        <w:t xml:space="preserve"> والفيزياء والإنجليزية.</w:t>
      </w:r>
    </w:p>
    <w:p w:rsidR="00756A29" w:rsidRPr="00756A29" w:rsidRDefault="00756A29" w:rsidP="00756A29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756A29">
        <w:rPr>
          <w:rFonts w:asciiTheme="minorBidi" w:hAnsiTheme="minorBidi"/>
          <w:b/>
          <w:bCs/>
          <w:sz w:val="28"/>
          <w:szCs w:val="28"/>
          <w:rtl/>
        </w:rPr>
        <w:t>ملف</w:t>
      </w:r>
      <w:proofErr w:type="gramEnd"/>
      <w:r w:rsidRPr="00756A29">
        <w:rPr>
          <w:rFonts w:asciiTheme="minorBidi" w:hAnsiTheme="minorBidi"/>
          <w:b/>
          <w:bCs/>
          <w:sz w:val="28"/>
          <w:szCs w:val="28"/>
          <w:rtl/>
        </w:rPr>
        <w:t xml:space="preserve"> الترشيح</w:t>
      </w:r>
    </w:p>
    <w:p w:rsidR="00756A29" w:rsidRDefault="00756A29" w:rsidP="00756A29">
      <w:pPr>
        <w:jc w:val="right"/>
        <w:rPr>
          <w:rFonts w:asciiTheme="minorBidi" w:hAnsiTheme="minorBidi"/>
          <w:sz w:val="28"/>
          <w:szCs w:val="28"/>
          <w:rtl/>
          <w:lang w:bidi="ar-MA"/>
        </w:rPr>
      </w:pPr>
      <w:r w:rsidRPr="00756A29">
        <w:rPr>
          <w:rFonts w:asciiTheme="minorBidi" w:hAnsiTheme="minorBidi"/>
          <w:sz w:val="28"/>
          <w:szCs w:val="28"/>
          <w:rtl/>
        </w:rPr>
        <w:t xml:space="preserve">طلب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خطي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شهادة مدرسية للسنة النهائية بالتعليم الثانوي أو نسخة مصادق عليها من شهادة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البكالوريا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شهادة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طبية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نسخة  مصادق</w:t>
      </w:r>
      <w:r>
        <w:rPr>
          <w:rFonts w:asciiTheme="minorBidi" w:hAnsiTheme="minorBidi"/>
          <w:sz w:val="28"/>
          <w:szCs w:val="28"/>
          <w:rtl/>
        </w:rPr>
        <w:t xml:space="preserve"> عليها من بطاقة التعريف </w:t>
      </w:r>
      <w:proofErr w:type="spellStart"/>
      <w:r>
        <w:rPr>
          <w:rFonts w:asciiTheme="minorBidi" w:hAnsiTheme="minorBidi"/>
          <w:sz w:val="28"/>
          <w:szCs w:val="28"/>
          <w:rtl/>
        </w:rPr>
        <w:t>الوطنية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صورتان للمترشح  حجم </w:t>
      </w:r>
      <w:r w:rsidRPr="00756A29">
        <w:rPr>
          <w:rFonts w:asciiTheme="minorBidi" w:hAnsiTheme="minorBidi"/>
          <w:sz w:val="28"/>
          <w:szCs w:val="28"/>
        </w:rPr>
        <w:t>4x4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ظرفان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متنبران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756A29">
        <w:rPr>
          <w:rFonts w:asciiTheme="minorBidi" w:hAnsiTheme="minorBidi"/>
          <w:sz w:val="28"/>
          <w:szCs w:val="28"/>
          <w:rtl/>
        </w:rPr>
        <w:t>عاديان،</w:t>
      </w:r>
      <w:proofErr w:type="spellEnd"/>
      <w:r w:rsidRPr="00756A29">
        <w:rPr>
          <w:rFonts w:asciiTheme="minorBidi" w:hAnsiTheme="minorBidi"/>
          <w:sz w:val="28"/>
          <w:szCs w:val="28"/>
          <w:rtl/>
        </w:rPr>
        <w:t xml:space="preserve"> وواحد للبريد المضمون</w:t>
      </w:r>
      <w:r>
        <w:rPr>
          <w:rFonts w:asciiTheme="minorBidi" w:hAnsiTheme="minorBidi" w:hint="cs"/>
          <w:sz w:val="28"/>
          <w:szCs w:val="28"/>
          <w:rtl/>
        </w:rPr>
        <w:t xml:space="preserve">.         </w:t>
      </w:r>
      <w:r w:rsidRPr="00756A29">
        <w:rPr>
          <w:rFonts w:asciiTheme="minorBidi" w:hAnsiTheme="minorBidi"/>
          <w:b/>
          <w:bCs/>
          <w:sz w:val="28"/>
          <w:szCs w:val="28"/>
          <w:rtl/>
        </w:rPr>
        <w:t xml:space="preserve"> يودع  الملف بالمدرسة قبل 30 يونيو</w:t>
      </w:r>
    </w:p>
    <w:p w:rsidR="009F2AE2" w:rsidRPr="009F2AE2" w:rsidRDefault="009F2AE2" w:rsidP="009F2AE2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9F2AE2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 العالي للصيد البحري</w:t>
      </w:r>
    </w:p>
    <w:tbl>
      <w:tblPr>
        <w:bidiVisual/>
        <w:tblW w:w="8150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8"/>
        <w:gridCol w:w="3045"/>
        <w:gridCol w:w="2367"/>
      </w:tblGrid>
      <w:tr w:rsidR="00756A29" w:rsidRPr="00A56CB5" w:rsidTr="00756A29">
        <w:trPr>
          <w:jc w:val="center"/>
        </w:trPr>
        <w:tc>
          <w:tcPr>
            <w:tcW w:w="2738" w:type="dxa"/>
            <w:tcBorders>
              <w:bottom w:val="nil"/>
            </w:tcBorders>
            <w:vAlign w:val="center"/>
          </w:tcPr>
          <w:p w:rsidR="00756A29" w:rsidRDefault="00756A29" w:rsidP="00756A29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طريق </w:t>
            </w:r>
            <w:proofErr w:type="spell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انزااغزديس</w:t>
            </w:r>
            <w:proofErr w:type="spellEnd"/>
          </w:p>
          <w:p w:rsidR="00756A29" w:rsidRPr="00756A29" w:rsidRDefault="00756A29" w:rsidP="00756A29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479 </w:t>
            </w:r>
            <w:proofErr w:type="spell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أكادير</w:t>
            </w:r>
          </w:p>
        </w:tc>
        <w:tc>
          <w:tcPr>
            <w:tcW w:w="3045" w:type="dxa"/>
            <w:tcBorders>
              <w:bottom w:val="nil"/>
            </w:tcBorders>
            <w:vAlign w:val="center"/>
          </w:tcPr>
          <w:p w:rsidR="00756A29" w:rsidRPr="00756A29" w:rsidRDefault="00756A29" w:rsidP="00756A29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هاتف</w:t>
            </w:r>
            <w:proofErr w:type="gramEnd"/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:0528844170</w:t>
            </w:r>
          </w:p>
          <w:p w:rsidR="00756A29" w:rsidRPr="00756A29" w:rsidRDefault="00756A29" w:rsidP="00756A29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فاكس:0528845858</w:t>
            </w:r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:rsidR="00756A29" w:rsidRPr="00756A29" w:rsidRDefault="00756A29" w:rsidP="00756A29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56A29">
              <w:rPr>
                <w:rFonts w:asciiTheme="minorBidi" w:hAnsiTheme="minorBidi"/>
                <w:b/>
                <w:bCs/>
                <w:sz w:val="24"/>
                <w:szCs w:val="24"/>
              </w:rPr>
              <w:t>www.ispm.ac.ma</w:t>
            </w:r>
          </w:p>
        </w:tc>
      </w:tr>
    </w:tbl>
    <w:p w:rsidR="00756A29" w:rsidRPr="00756A29" w:rsidRDefault="00756A29" w:rsidP="00756A29">
      <w:pPr>
        <w:spacing w:line="288" w:lineRule="auto"/>
        <w:jc w:val="center"/>
        <w:rPr>
          <w:b/>
          <w:bCs/>
          <w:sz w:val="28"/>
          <w:szCs w:val="28"/>
        </w:rPr>
      </w:pPr>
      <w:proofErr w:type="gramStart"/>
      <w:r w:rsidRPr="00756A29">
        <w:rPr>
          <w:b/>
          <w:bCs/>
          <w:sz w:val="28"/>
          <w:szCs w:val="28"/>
          <w:rtl/>
        </w:rPr>
        <w:t>التكوين</w:t>
      </w:r>
      <w:proofErr w:type="gramEnd"/>
      <w:r w:rsidRPr="00756A29">
        <w:rPr>
          <w:b/>
          <w:bCs/>
          <w:sz w:val="28"/>
          <w:szCs w:val="28"/>
          <w:rtl/>
        </w:rPr>
        <w:t xml:space="preserve"> وشروط الالتحاق</w:t>
      </w:r>
    </w:p>
    <w:p w:rsidR="00756A29" w:rsidRPr="00756A29" w:rsidRDefault="00756A29" w:rsidP="00756A29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  <w:r w:rsidRPr="00756A29">
        <w:rPr>
          <w:rFonts w:asciiTheme="minorBidi" w:hAnsiTheme="minorBidi" w:hint="cs"/>
          <w:sz w:val="28"/>
          <w:szCs w:val="28"/>
          <w:rtl/>
        </w:rPr>
        <w:t xml:space="preserve">ينظم المعهد العالي للصيد البحري بأكادير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مبارة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ولوج السلك الأول من المعهد لفائدة تلاميذ البكالوريا لتحضير الشواهد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التالية: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ملازم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الصيد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ملازم ميكانيكي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للصيد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معالجة وتثمين منتجات الصيد،</w:t>
      </w:r>
    </w:p>
    <w:p w:rsidR="00756A29" w:rsidRPr="00756A29" w:rsidRDefault="00756A29" w:rsidP="00756A29">
      <w:pPr>
        <w:spacing w:line="288" w:lineRule="auto"/>
        <w:jc w:val="center"/>
        <w:rPr>
          <w:b/>
          <w:bCs/>
          <w:sz w:val="28"/>
          <w:szCs w:val="28"/>
          <w:rtl/>
        </w:rPr>
      </w:pPr>
      <w:r w:rsidRPr="00756A29">
        <w:rPr>
          <w:rFonts w:hint="cs"/>
          <w:b/>
          <w:bCs/>
          <w:sz w:val="28"/>
          <w:szCs w:val="28"/>
          <w:rtl/>
        </w:rPr>
        <w:t>شروط ولوج المبارة</w:t>
      </w:r>
    </w:p>
    <w:p w:rsidR="00756A29" w:rsidRPr="00756A29" w:rsidRDefault="00756A29" w:rsidP="00756A29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  <w:r w:rsidRPr="00756A29">
        <w:rPr>
          <w:rFonts w:asciiTheme="minorBidi" w:hAnsiTheme="minorBidi" w:hint="cs"/>
          <w:sz w:val="28"/>
          <w:szCs w:val="28"/>
          <w:rtl/>
        </w:rPr>
        <w:t xml:space="preserve">بكالوريا علمية أو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تقنية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21 سنة على الأكثر في 31 دجنبر</w:t>
      </w:r>
      <w:r>
        <w:t>.</w:t>
      </w:r>
    </w:p>
    <w:p w:rsidR="00756A29" w:rsidRPr="00756A29" w:rsidRDefault="00756A29" w:rsidP="00756A29">
      <w:pPr>
        <w:spacing w:line="288" w:lineRule="auto"/>
        <w:jc w:val="center"/>
        <w:rPr>
          <w:b/>
          <w:bCs/>
          <w:sz w:val="28"/>
          <w:szCs w:val="28"/>
          <w:rtl/>
        </w:rPr>
      </w:pPr>
      <w:proofErr w:type="gramStart"/>
      <w:r w:rsidRPr="00756A29">
        <w:rPr>
          <w:rFonts w:hint="cs"/>
          <w:b/>
          <w:bCs/>
          <w:sz w:val="28"/>
          <w:szCs w:val="28"/>
          <w:rtl/>
        </w:rPr>
        <w:t>مسطرة</w:t>
      </w:r>
      <w:proofErr w:type="gramEnd"/>
      <w:r w:rsidRPr="00756A29">
        <w:rPr>
          <w:rFonts w:hint="cs"/>
          <w:b/>
          <w:bCs/>
          <w:sz w:val="28"/>
          <w:szCs w:val="28"/>
          <w:rtl/>
        </w:rPr>
        <w:t xml:space="preserve"> الترشيح</w:t>
      </w:r>
    </w:p>
    <w:p w:rsidR="00756A29" w:rsidRPr="00756A29" w:rsidRDefault="00756A29" w:rsidP="00756A29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756A29">
        <w:rPr>
          <w:rFonts w:asciiTheme="minorBidi" w:hAnsiTheme="minorBidi" w:hint="cs"/>
          <w:sz w:val="28"/>
          <w:szCs w:val="28"/>
          <w:rtl/>
        </w:rPr>
        <w:lastRenderedPageBreak/>
        <w:t>يتم</w:t>
      </w:r>
      <w:proofErr w:type="gramEnd"/>
      <w:r w:rsidRPr="00756A29">
        <w:rPr>
          <w:rFonts w:asciiTheme="minorBidi" w:hAnsiTheme="minorBidi" w:hint="cs"/>
          <w:sz w:val="28"/>
          <w:szCs w:val="28"/>
          <w:rtl/>
        </w:rPr>
        <w:t xml:space="preserve"> التسجيل عبر الموقع الإلكتروني وإرسال ملف الترشيح المكون من الوثائق التالية قبل 15 غشت.</w:t>
      </w:r>
    </w:p>
    <w:p w:rsidR="00756A29" w:rsidRPr="00756A29" w:rsidRDefault="00756A29" w:rsidP="00756A29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</w:rPr>
      </w:pPr>
      <w:r w:rsidRPr="00756A29">
        <w:rPr>
          <w:rFonts w:asciiTheme="minorBidi" w:hAnsiTheme="minorBidi" w:hint="cs"/>
          <w:sz w:val="28"/>
          <w:szCs w:val="28"/>
          <w:rtl/>
        </w:rPr>
        <w:t xml:space="preserve">طلب خطي يحدد فيه المترشح الشعبة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المختارة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بيان نقط البكالوريا مصادق عليه من طرف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الأكاديمية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نسخة  مصادق عليها من بطاقة التعريف الوطنية.</w:t>
      </w:r>
    </w:p>
    <w:p w:rsidR="00756A29" w:rsidRPr="00756A29" w:rsidRDefault="00756A29" w:rsidP="00756A29">
      <w:pPr>
        <w:spacing w:line="288" w:lineRule="auto"/>
        <w:jc w:val="center"/>
        <w:rPr>
          <w:b/>
          <w:bCs/>
          <w:sz w:val="28"/>
          <w:szCs w:val="28"/>
          <w:rtl/>
        </w:rPr>
      </w:pPr>
      <w:r w:rsidRPr="00756A29">
        <w:rPr>
          <w:rFonts w:hint="cs"/>
          <w:b/>
          <w:bCs/>
          <w:sz w:val="28"/>
          <w:szCs w:val="28"/>
          <w:rtl/>
        </w:rPr>
        <w:t>مراحل المباراة</w:t>
      </w:r>
    </w:p>
    <w:p w:rsidR="00756A29" w:rsidRPr="00756A29" w:rsidRDefault="00756A29" w:rsidP="00E4140F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756A29">
        <w:rPr>
          <w:rFonts w:asciiTheme="minorBidi" w:hAnsiTheme="minorBidi" w:hint="cs"/>
          <w:sz w:val="28"/>
          <w:szCs w:val="28"/>
          <w:rtl/>
        </w:rPr>
        <w:t>انتقاء</w:t>
      </w:r>
      <w:proofErr w:type="gramEnd"/>
      <w:r w:rsidRPr="00756A29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أولي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مباراة كتابية تتضمن امتحانا في الرياضيات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(المدة: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ساعتان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)،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امتحانا في العلوم الفيزيائية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(المدة: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ساعتان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)،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امتحانا في الث</w:t>
      </w:r>
      <w:r w:rsidR="00E4140F">
        <w:rPr>
          <w:rFonts w:asciiTheme="minorBidi" w:hAnsiTheme="minorBidi" w:hint="cs"/>
          <w:sz w:val="28"/>
          <w:szCs w:val="28"/>
          <w:rtl/>
        </w:rPr>
        <w:t xml:space="preserve">قافة العامة </w:t>
      </w:r>
      <w:proofErr w:type="spellStart"/>
      <w:r w:rsidR="00E4140F">
        <w:rPr>
          <w:rFonts w:asciiTheme="minorBidi" w:hAnsiTheme="minorBidi" w:hint="cs"/>
          <w:sz w:val="28"/>
          <w:szCs w:val="28"/>
          <w:rtl/>
        </w:rPr>
        <w:t>(المدة:</w:t>
      </w:r>
      <w:proofErr w:type="spellEnd"/>
      <w:r w:rsidR="00E4140F">
        <w:rPr>
          <w:rFonts w:asciiTheme="minorBidi" w:hAnsiTheme="minorBidi" w:hint="cs"/>
          <w:sz w:val="28"/>
          <w:szCs w:val="28"/>
          <w:rtl/>
        </w:rPr>
        <w:t xml:space="preserve"> ساعة واحدة</w:t>
      </w:r>
      <w:proofErr w:type="spellStart"/>
      <w:r w:rsidR="00E4140F">
        <w:rPr>
          <w:rFonts w:asciiTheme="minorBidi" w:hAnsiTheme="minorBidi" w:hint="cs"/>
          <w:sz w:val="28"/>
          <w:szCs w:val="28"/>
          <w:rtl/>
        </w:rPr>
        <w:t>)</w:t>
      </w:r>
      <w:proofErr w:type="spellEnd"/>
    </w:p>
    <w:p w:rsidR="00E4140F" w:rsidRPr="00756A29" w:rsidRDefault="00756A29" w:rsidP="00E4140F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  <w:proofErr w:type="spellStart"/>
      <w:r w:rsidRPr="00E4140F">
        <w:rPr>
          <w:rFonts w:asciiTheme="minorBidi" w:hAnsiTheme="minorBidi" w:hint="cs"/>
          <w:b/>
          <w:bCs/>
          <w:sz w:val="28"/>
          <w:szCs w:val="28"/>
          <w:rtl/>
        </w:rPr>
        <w:t>ملحوظة:</w:t>
      </w:r>
      <w:proofErr w:type="spellEnd"/>
      <w:r w:rsidRPr="00756A29">
        <w:rPr>
          <w:rFonts w:asciiTheme="minorBidi" w:hAnsiTheme="minorBidi" w:hint="cs"/>
          <w:sz w:val="28"/>
          <w:szCs w:val="28"/>
          <w:rtl/>
        </w:rPr>
        <w:t xml:space="preserve">  يشترط في المترشحين الناجحين قبل تسجيلهم بصفة </w:t>
      </w:r>
      <w:proofErr w:type="spellStart"/>
      <w:r w:rsidRPr="00756A29">
        <w:rPr>
          <w:rFonts w:asciiTheme="minorBidi" w:hAnsiTheme="minorBidi" w:hint="cs"/>
          <w:sz w:val="28"/>
          <w:szCs w:val="28"/>
          <w:rtl/>
        </w:rPr>
        <w:t>نهائية:</w:t>
      </w:r>
      <w:proofErr w:type="spellEnd"/>
      <w:r w:rsidR="00E4140F" w:rsidRPr="00E4140F">
        <w:rPr>
          <w:rFonts w:asciiTheme="minorBidi" w:hAnsiTheme="minorBidi" w:hint="cs"/>
          <w:sz w:val="28"/>
          <w:szCs w:val="28"/>
          <w:rtl/>
        </w:rPr>
        <w:t xml:space="preserve"> </w:t>
      </w:r>
      <w:r w:rsidR="00E4140F" w:rsidRPr="00756A29">
        <w:rPr>
          <w:rFonts w:asciiTheme="minorBidi" w:hAnsiTheme="minorBidi" w:hint="cs"/>
          <w:sz w:val="28"/>
          <w:szCs w:val="28"/>
          <w:rtl/>
        </w:rPr>
        <w:t xml:space="preserve">الإدلاء بشهادة طبية </w:t>
      </w:r>
      <w:proofErr w:type="spellStart"/>
      <w:r w:rsidR="00E4140F" w:rsidRPr="00756A29">
        <w:rPr>
          <w:rFonts w:asciiTheme="minorBidi" w:hAnsiTheme="minorBidi" w:hint="cs"/>
          <w:sz w:val="28"/>
          <w:szCs w:val="28"/>
          <w:rtl/>
        </w:rPr>
        <w:t>تتبث</w:t>
      </w:r>
      <w:proofErr w:type="spellEnd"/>
      <w:r w:rsidR="00E4140F" w:rsidRPr="00756A29">
        <w:rPr>
          <w:rFonts w:asciiTheme="minorBidi" w:hAnsiTheme="minorBidi" w:hint="cs"/>
          <w:sz w:val="28"/>
          <w:szCs w:val="28"/>
          <w:rtl/>
        </w:rPr>
        <w:t xml:space="preserve"> قدرتهم الصحية</w:t>
      </w:r>
      <w:r w:rsidR="00E4140F">
        <w:rPr>
          <w:rFonts w:asciiTheme="minorBidi" w:hAnsiTheme="minorBidi" w:hint="cs"/>
          <w:sz w:val="28"/>
          <w:szCs w:val="28"/>
          <w:rtl/>
        </w:rPr>
        <w:t xml:space="preserve"> و</w:t>
      </w:r>
      <w:r w:rsidR="00E4140F" w:rsidRPr="00E4140F">
        <w:rPr>
          <w:rFonts w:asciiTheme="minorBidi" w:hAnsiTheme="minorBidi" w:hint="cs"/>
          <w:sz w:val="28"/>
          <w:szCs w:val="28"/>
          <w:rtl/>
        </w:rPr>
        <w:t xml:space="preserve"> </w:t>
      </w:r>
      <w:r w:rsidR="00E4140F" w:rsidRPr="00756A29">
        <w:rPr>
          <w:rFonts w:asciiTheme="minorBidi" w:hAnsiTheme="minorBidi" w:hint="cs"/>
          <w:sz w:val="28"/>
          <w:szCs w:val="28"/>
          <w:rtl/>
        </w:rPr>
        <w:t xml:space="preserve">النجاح في </w:t>
      </w:r>
      <w:proofErr w:type="spellStart"/>
      <w:r w:rsidR="00E4140F" w:rsidRPr="00756A29">
        <w:rPr>
          <w:rFonts w:asciiTheme="minorBidi" w:hAnsiTheme="minorBidi" w:hint="cs"/>
          <w:sz w:val="28"/>
          <w:szCs w:val="28"/>
          <w:rtl/>
        </w:rPr>
        <w:t>رائز</w:t>
      </w:r>
      <w:proofErr w:type="spellEnd"/>
      <w:r w:rsidR="00E4140F" w:rsidRPr="00756A29">
        <w:rPr>
          <w:rFonts w:asciiTheme="minorBidi" w:hAnsiTheme="minorBidi" w:hint="cs"/>
          <w:sz w:val="28"/>
          <w:szCs w:val="28"/>
          <w:rtl/>
        </w:rPr>
        <w:t xml:space="preserve"> القدرة على مزاولة مهنة بحار.</w:t>
      </w:r>
    </w:p>
    <w:p w:rsidR="00E4140F" w:rsidRPr="00756A29" w:rsidRDefault="00E4140F" w:rsidP="00E4140F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</w:p>
    <w:p w:rsidR="00756A29" w:rsidRPr="00756A29" w:rsidRDefault="00756A29" w:rsidP="00756A29">
      <w:pPr>
        <w:tabs>
          <w:tab w:val="num" w:pos="439"/>
          <w:tab w:val="num" w:pos="781"/>
          <w:tab w:val="num" w:pos="900"/>
        </w:tabs>
        <w:bidi/>
        <w:rPr>
          <w:rFonts w:asciiTheme="minorBidi" w:hAnsiTheme="minorBidi"/>
          <w:sz w:val="28"/>
          <w:szCs w:val="28"/>
          <w:rtl/>
        </w:rPr>
      </w:pPr>
    </w:p>
    <w:p w:rsidR="009F2AE2" w:rsidRDefault="009F2AE2">
      <w:pPr>
        <w:rPr>
          <w:rFonts w:asciiTheme="minorBidi" w:hAnsiTheme="minorBidi"/>
          <w:sz w:val="28"/>
          <w:szCs w:val="28"/>
          <w:rtl/>
        </w:rPr>
      </w:pPr>
    </w:p>
    <w:p w:rsidR="009F2AE2" w:rsidRPr="009F2AE2" w:rsidRDefault="009F2AE2" w:rsidP="009F2AE2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lang w:eastAsia="ko-KR"/>
        </w:rPr>
      </w:pPr>
      <w:proofErr w:type="gramStart"/>
      <w:r w:rsidRPr="009F2AE2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معاهد</w:t>
      </w:r>
      <w:proofErr w:type="gramEnd"/>
      <w:r w:rsidRPr="009F2AE2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 xml:space="preserve"> تكنولوجيا الصيد البحري</w:t>
      </w:r>
    </w:p>
    <w:sectPr w:rsidR="009F2AE2" w:rsidRPr="009F2AE2" w:rsidSect="0059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775" w:rsidRDefault="00EA0775" w:rsidP="009B39F9">
      <w:r>
        <w:separator/>
      </w:r>
    </w:p>
  </w:endnote>
  <w:endnote w:type="continuationSeparator" w:id="0">
    <w:p w:rsidR="00EA0775" w:rsidRDefault="00EA0775" w:rsidP="009B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775" w:rsidRDefault="00EA0775" w:rsidP="009B39F9">
      <w:r>
        <w:separator/>
      </w:r>
    </w:p>
  </w:footnote>
  <w:footnote w:type="continuationSeparator" w:id="0">
    <w:p w:rsidR="00EA0775" w:rsidRDefault="00EA0775" w:rsidP="009B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 w:rsidP="009B39F9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436914" cy="1436914"/>
          <wp:effectExtent l="19050" t="0" r="0" b="0"/>
          <wp:docPr id="2" name="Image 1" descr="G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431" cy="1436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229.3pt;height:59.9pt" adj="5665" fillcolor="black">
          <v:shadow color="#868686"/>
          <v:textpath style="font-family:&quot;Impact&quot;;v-text-kern:t" trim="t" fitpath="t" xscale="f" string="الصيد البحري و الملاح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9" w:rsidRDefault="009B39F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A59"/>
    <w:multiLevelType w:val="hybridMultilevel"/>
    <w:tmpl w:val="43880816"/>
    <w:lvl w:ilvl="0" w:tplc="A232091C">
      <w:numFmt w:val="bullet"/>
      <w:lvlText w:val="-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1">
    <w:nsid w:val="22E4311B"/>
    <w:multiLevelType w:val="hybridMultilevel"/>
    <w:tmpl w:val="14FA356A"/>
    <w:lvl w:ilvl="0" w:tplc="040C000D">
      <w:start w:val="1"/>
      <w:numFmt w:val="bullet"/>
      <w:lvlText w:val="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2">
    <w:nsid w:val="4C7D1F82"/>
    <w:multiLevelType w:val="hybridMultilevel"/>
    <w:tmpl w:val="170C917A"/>
    <w:lvl w:ilvl="0" w:tplc="88FA5D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212"/>
    <w:rsid w:val="000C6AA5"/>
    <w:rsid w:val="00593BE8"/>
    <w:rsid w:val="005D76C2"/>
    <w:rsid w:val="00756A29"/>
    <w:rsid w:val="00850212"/>
    <w:rsid w:val="009B39F9"/>
    <w:rsid w:val="009F2AE2"/>
    <w:rsid w:val="00B12662"/>
    <w:rsid w:val="00BA786C"/>
    <w:rsid w:val="00E4140F"/>
    <w:rsid w:val="00EA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756A2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B39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39F9"/>
  </w:style>
  <w:style w:type="paragraph" w:styleId="Pieddepage">
    <w:name w:val="footer"/>
    <w:basedOn w:val="Normal"/>
    <w:link w:val="PieddepageCar"/>
    <w:uiPriority w:val="99"/>
    <w:semiHidden/>
    <w:unhideWhenUsed/>
    <w:rsid w:val="009B39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39F9"/>
  </w:style>
  <w:style w:type="paragraph" w:styleId="Textedebulles">
    <w:name w:val="Balloon Text"/>
    <w:basedOn w:val="Normal"/>
    <w:link w:val="TextedebullesCar"/>
    <w:uiPriority w:val="99"/>
    <w:semiHidden/>
    <w:unhideWhenUsed/>
    <w:rsid w:val="009B39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sem.ac.m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6</cp:revision>
  <cp:lastPrinted>2014-05-09T14:40:00Z</cp:lastPrinted>
  <dcterms:created xsi:type="dcterms:W3CDTF">2014-03-17T10:34:00Z</dcterms:created>
  <dcterms:modified xsi:type="dcterms:W3CDTF">2014-05-09T14:41:00Z</dcterms:modified>
</cp:coreProperties>
</file>