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D2" w:rsidRDefault="00FE07D2" w:rsidP="00FE07D2">
      <w:pPr>
        <w:jc w:val="center"/>
        <w:rPr>
          <w:rFonts w:ascii="Calibri" w:hAnsi="Calibri" w:cs="Calibri"/>
          <w:b/>
          <w:bCs/>
          <w:sz w:val="28"/>
          <w:szCs w:val="28"/>
        </w:rPr>
      </w:pPr>
      <w:r>
        <w:rPr>
          <w:b/>
          <w:bCs/>
          <w:sz w:val="28"/>
          <w:szCs w:val="28"/>
        </w:rPr>
        <w:t xml:space="preserve">Faculté des Sciences Juridiques, </w:t>
      </w:r>
      <w:r w:rsidRPr="00FE07D2">
        <w:rPr>
          <w:rFonts w:ascii="Calibri" w:hAnsi="Calibri" w:cs="Calibri"/>
          <w:b/>
          <w:bCs/>
          <w:sz w:val="28"/>
          <w:szCs w:val="28"/>
        </w:rPr>
        <w:t>É</w:t>
      </w:r>
      <w:r>
        <w:rPr>
          <w:rFonts w:ascii="Calibri" w:hAnsi="Calibri" w:cs="Calibri"/>
          <w:b/>
          <w:bCs/>
          <w:sz w:val="28"/>
          <w:szCs w:val="28"/>
        </w:rPr>
        <w:t>conomiques</w:t>
      </w:r>
    </w:p>
    <w:p w:rsidR="00FE07D2" w:rsidRDefault="00FE07D2" w:rsidP="00FE07D2">
      <w:pPr>
        <w:jc w:val="center"/>
        <w:rPr>
          <w:rFonts w:ascii="Calibri" w:hAnsi="Calibri" w:cs="Calibri"/>
          <w:b/>
          <w:bCs/>
          <w:sz w:val="28"/>
          <w:szCs w:val="28"/>
        </w:rPr>
      </w:pPr>
      <w:proofErr w:type="gramStart"/>
      <w:r>
        <w:rPr>
          <w:rFonts w:ascii="Calibri" w:hAnsi="Calibri" w:cs="Calibri"/>
          <w:b/>
          <w:bCs/>
          <w:sz w:val="28"/>
          <w:szCs w:val="28"/>
        </w:rPr>
        <w:t>et</w:t>
      </w:r>
      <w:proofErr w:type="gramEnd"/>
      <w:r>
        <w:rPr>
          <w:rFonts w:ascii="Calibri" w:hAnsi="Calibri" w:cs="Calibri"/>
          <w:b/>
          <w:bCs/>
          <w:sz w:val="28"/>
          <w:szCs w:val="28"/>
        </w:rPr>
        <w:t xml:space="preserve"> Sociales de Salé.</w:t>
      </w:r>
    </w:p>
    <w:p w:rsidR="00FE07D2" w:rsidRDefault="00FE07D2" w:rsidP="00FE07D2">
      <w:pPr>
        <w:jc w:val="center"/>
        <w:rPr>
          <w:rFonts w:ascii="Calibri" w:hAnsi="Calibri" w:cs="Calibri"/>
          <w:b/>
          <w:bCs/>
          <w:sz w:val="28"/>
          <w:szCs w:val="28"/>
        </w:rPr>
      </w:pPr>
    </w:p>
    <w:p w:rsidR="00FE07D2" w:rsidRDefault="00FE07D2" w:rsidP="00FE07D2">
      <w:pPr>
        <w:jc w:val="center"/>
        <w:rPr>
          <w:rFonts w:ascii="Calibri" w:hAnsi="Calibri" w:cs="Calibri"/>
          <w:b/>
          <w:bCs/>
          <w:sz w:val="36"/>
          <w:szCs w:val="36"/>
        </w:rPr>
      </w:pPr>
      <w:r w:rsidRPr="00FE07D2">
        <w:rPr>
          <w:rFonts w:ascii="Calibri" w:hAnsi="Calibri" w:cs="Calibri"/>
          <w:b/>
          <w:bCs/>
          <w:sz w:val="36"/>
          <w:szCs w:val="36"/>
        </w:rPr>
        <w:t>Contrôle continu en : Institutions politiques et financières.</w:t>
      </w:r>
    </w:p>
    <w:p w:rsidR="00FE07D2" w:rsidRDefault="00FE07D2" w:rsidP="00FE07D2">
      <w:pPr>
        <w:jc w:val="center"/>
        <w:rPr>
          <w:rFonts w:ascii="Calibri" w:hAnsi="Calibri" w:cs="Calibri"/>
          <w:b/>
          <w:bCs/>
          <w:sz w:val="36"/>
          <w:szCs w:val="36"/>
          <w:u w:val="single"/>
        </w:rPr>
      </w:pPr>
      <w:r w:rsidRPr="00FE07D2">
        <w:rPr>
          <w:rFonts w:ascii="Calibri" w:hAnsi="Calibri" w:cs="Calibri"/>
          <w:b/>
          <w:bCs/>
          <w:sz w:val="36"/>
          <w:szCs w:val="36"/>
          <w:u w:val="single"/>
        </w:rPr>
        <w:t>Sujet :</w:t>
      </w:r>
    </w:p>
    <w:p w:rsidR="00FE07D2" w:rsidRDefault="00FE07D2" w:rsidP="00FE07D2">
      <w:pPr>
        <w:jc w:val="center"/>
        <w:rPr>
          <w:rFonts w:ascii="Calibri" w:hAnsi="Calibri" w:cs="Calibri"/>
          <w:b/>
          <w:bCs/>
          <w:i/>
          <w:iCs/>
          <w:sz w:val="96"/>
          <w:szCs w:val="96"/>
        </w:rPr>
      </w:pPr>
      <w:r w:rsidRPr="00FE07D2">
        <w:rPr>
          <w:rFonts w:ascii="Calibri" w:hAnsi="Calibri" w:cs="Calibri"/>
          <w:b/>
          <w:bCs/>
          <w:i/>
          <w:iCs/>
          <w:sz w:val="96"/>
          <w:szCs w:val="96"/>
        </w:rPr>
        <w:t>Attributions de Sa Majesté le Roi dans la nouvelle constitution</w:t>
      </w:r>
      <w:r>
        <w:rPr>
          <w:rFonts w:ascii="Calibri" w:hAnsi="Calibri" w:cs="Calibri"/>
          <w:b/>
          <w:bCs/>
          <w:i/>
          <w:iCs/>
          <w:sz w:val="96"/>
          <w:szCs w:val="96"/>
        </w:rPr>
        <w:t>.</w:t>
      </w:r>
    </w:p>
    <w:p w:rsidR="00FE07D2" w:rsidRDefault="00FE07D2" w:rsidP="00FE07D2">
      <w:pPr>
        <w:jc w:val="center"/>
        <w:rPr>
          <w:rFonts w:ascii="Calibri" w:hAnsi="Calibri" w:cs="Calibri"/>
          <w:b/>
          <w:bCs/>
          <w:sz w:val="32"/>
          <w:szCs w:val="32"/>
        </w:rPr>
      </w:pPr>
    </w:p>
    <w:p w:rsidR="00FE07D2" w:rsidRPr="00FE07D2" w:rsidRDefault="00FE07D2" w:rsidP="00FE07D2">
      <w:pPr>
        <w:jc w:val="center"/>
        <w:rPr>
          <w:rFonts w:ascii="Calibri" w:hAnsi="Calibri" w:cs="Calibri"/>
          <w:b/>
          <w:bCs/>
          <w:sz w:val="32"/>
          <w:szCs w:val="32"/>
        </w:rPr>
      </w:pPr>
      <w:r>
        <w:rPr>
          <w:rFonts w:ascii="Calibri" w:hAnsi="Calibri" w:cs="Calibri"/>
          <w:b/>
          <w:bCs/>
          <w:sz w:val="32"/>
          <w:szCs w:val="32"/>
        </w:rPr>
        <w:t>Fait par :</w:t>
      </w:r>
    </w:p>
    <w:p w:rsidR="00FE07D2" w:rsidRDefault="00523DFC" w:rsidP="00FE07D2">
      <w:pPr>
        <w:jc w:val="center"/>
        <w:rPr>
          <w:b/>
          <w:bCs/>
          <w:sz w:val="40"/>
          <w:szCs w:val="40"/>
        </w:rPr>
      </w:pPr>
      <w:r>
        <w:rPr>
          <w:b/>
          <w:bCs/>
          <w:sz w:val="40"/>
          <w:szCs w:val="40"/>
        </w:rPr>
        <w:t xml:space="preserve">Mehdi </w:t>
      </w:r>
      <w:proofErr w:type="spellStart"/>
      <w:r>
        <w:rPr>
          <w:b/>
          <w:bCs/>
          <w:sz w:val="40"/>
          <w:szCs w:val="40"/>
        </w:rPr>
        <w:t>Sefiani</w:t>
      </w:r>
      <w:proofErr w:type="spellEnd"/>
    </w:p>
    <w:p w:rsidR="00523DFC" w:rsidRDefault="00523DFC" w:rsidP="00FE07D2">
      <w:pPr>
        <w:jc w:val="center"/>
        <w:rPr>
          <w:b/>
          <w:bCs/>
          <w:sz w:val="40"/>
          <w:szCs w:val="40"/>
        </w:rPr>
      </w:pPr>
    </w:p>
    <w:p w:rsidR="00523DFC" w:rsidRDefault="00523DFC" w:rsidP="00523DFC">
      <w:pPr>
        <w:rPr>
          <w:b/>
          <w:bCs/>
          <w:sz w:val="40"/>
          <w:szCs w:val="40"/>
        </w:rPr>
      </w:pPr>
      <w:r>
        <w:rPr>
          <w:b/>
          <w:bCs/>
          <w:sz w:val="40"/>
          <w:szCs w:val="40"/>
        </w:rPr>
        <w:t>Code APOGEE : 11002351</w:t>
      </w:r>
    </w:p>
    <w:p w:rsidR="00523DFC" w:rsidRPr="00523DFC" w:rsidRDefault="00523DFC" w:rsidP="00523DFC">
      <w:pPr>
        <w:rPr>
          <w:b/>
          <w:bCs/>
          <w:sz w:val="40"/>
          <w:szCs w:val="40"/>
        </w:rPr>
      </w:pPr>
      <w:r>
        <w:rPr>
          <w:b/>
          <w:bCs/>
          <w:sz w:val="40"/>
          <w:szCs w:val="40"/>
        </w:rPr>
        <w:t>C.N.E : 1129539111</w:t>
      </w:r>
    </w:p>
    <w:p w:rsidR="00FE07D2" w:rsidRDefault="00FE07D2" w:rsidP="00FE07D2">
      <w:pPr>
        <w:jc w:val="center"/>
        <w:rPr>
          <w:b/>
          <w:bCs/>
          <w:sz w:val="28"/>
          <w:szCs w:val="28"/>
        </w:rPr>
      </w:pPr>
    </w:p>
    <w:p w:rsidR="00FE07D2" w:rsidRDefault="00FE07D2" w:rsidP="00FE07D2">
      <w:pPr>
        <w:jc w:val="center"/>
        <w:rPr>
          <w:b/>
          <w:bCs/>
          <w:sz w:val="28"/>
          <w:szCs w:val="28"/>
        </w:rPr>
      </w:pPr>
    </w:p>
    <w:p w:rsidR="00FE07D2" w:rsidRDefault="00FE07D2" w:rsidP="00FE07D2">
      <w:pPr>
        <w:jc w:val="center"/>
        <w:rPr>
          <w:b/>
          <w:bCs/>
          <w:sz w:val="28"/>
          <w:szCs w:val="28"/>
        </w:rPr>
      </w:pPr>
    </w:p>
    <w:p w:rsidR="00FE07D2" w:rsidRDefault="00FE07D2" w:rsidP="00FE07D2">
      <w:pPr>
        <w:jc w:val="center"/>
        <w:rPr>
          <w:b/>
          <w:bCs/>
          <w:sz w:val="28"/>
          <w:szCs w:val="28"/>
        </w:rPr>
      </w:pPr>
    </w:p>
    <w:p w:rsidR="00E45C14" w:rsidRPr="00E45C14" w:rsidRDefault="00523DFC" w:rsidP="00E45C14">
      <w:pPr>
        <w:rPr>
          <w:rFonts w:asciiTheme="majorBidi" w:hAnsiTheme="majorBidi" w:cstheme="majorBidi"/>
          <w:b/>
          <w:bCs/>
          <w:sz w:val="36"/>
          <w:szCs w:val="36"/>
          <w:u w:val="single"/>
        </w:rPr>
      </w:pPr>
      <w:r w:rsidRPr="00E45C14">
        <w:rPr>
          <w:rFonts w:asciiTheme="majorBidi" w:hAnsiTheme="majorBidi" w:cstheme="majorBidi"/>
          <w:b/>
          <w:bCs/>
          <w:sz w:val="36"/>
          <w:szCs w:val="36"/>
          <w:u w:val="single"/>
        </w:rPr>
        <w:lastRenderedPageBreak/>
        <w:t>Préambule :</w:t>
      </w:r>
    </w:p>
    <w:p w:rsidR="00E45C14" w:rsidRPr="00E45C14" w:rsidRDefault="00E45C14" w:rsidP="00E45C14">
      <w:pPr>
        <w:rPr>
          <w:rFonts w:asciiTheme="majorBidi" w:hAnsiTheme="majorBidi" w:cstheme="majorBidi"/>
          <w:b/>
          <w:bCs/>
          <w:sz w:val="24"/>
          <w:szCs w:val="24"/>
          <w:u w:val="single"/>
        </w:rPr>
      </w:pPr>
      <w:r w:rsidRPr="00E45C14">
        <w:rPr>
          <w:rFonts w:asciiTheme="majorBidi" w:hAnsiTheme="majorBidi" w:cstheme="majorBidi"/>
          <w:sz w:val="24"/>
          <w:szCs w:val="24"/>
        </w:rPr>
        <w:t>La constitution comporte 14 titres et 180 articles. La rédaction a privilégié la forme d'annonces, tenté d'apporter un éclairage constitutionnel à des faits et événements survenus au cours des années de pratique de la constitution précédente et recherché des consensus politiques et sociaux. Elle a aussi intégré des dispositions contenues dans des lois existantes. Elle fixe aussi les contenus d'un certain nombre de principes tels que la Nation, l'État, les autorités publiques, les institutions politiques etc.</w:t>
      </w:r>
    </w:p>
    <w:p w:rsidR="00E45C14" w:rsidRPr="00E45C14" w:rsidRDefault="00E45C14" w:rsidP="00E45C14">
      <w:pPr>
        <w:pStyle w:val="NormalWeb"/>
        <w:rPr>
          <w:rFonts w:asciiTheme="majorBidi" w:hAnsiTheme="majorBidi" w:cstheme="majorBidi"/>
        </w:rPr>
      </w:pPr>
      <w:r w:rsidRPr="00E45C14">
        <w:rPr>
          <w:rFonts w:asciiTheme="majorBidi" w:hAnsiTheme="majorBidi" w:cstheme="majorBidi"/>
        </w:rPr>
        <w:t>L'article 1</w:t>
      </w:r>
      <w:r w:rsidRPr="00E45C14">
        <w:rPr>
          <w:rFonts w:asciiTheme="majorBidi" w:hAnsiTheme="majorBidi" w:cstheme="majorBidi"/>
          <w:vertAlign w:val="superscript"/>
        </w:rPr>
        <w:t>er</w:t>
      </w:r>
      <w:r w:rsidRPr="00E45C14">
        <w:rPr>
          <w:rFonts w:asciiTheme="majorBidi" w:hAnsiTheme="majorBidi" w:cstheme="majorBidi"/>
        </w:rPr>
        <w:t xml:space="preserve"> énonce que </w:t>
      </w:r>
      <w:r w:rsidRPr="00E45C14">
        <w:rPr>
          <w:rFonts w:asciiTheme="majorBidi" w:hAnsiTheme="majorBidi" w:cstheme="majorBidi"/>
          <w:i/>
          <w:iCs/>
        </w:rPr>
        <w:t>« Le Maroc est une monarchie constitutionnelle, démocratique, parlementaire et sociale »</w:t>
      </w:r>
      <w:r w:rsidRPr="00E45C14">
        <w:rPr>
          <w:rFonts w:asciiTheme="majorBidi" w:hAnsiTheme="majorBidi" w:cstheme="majorBidi"/>
        </w:rPr>
        <w:t>, seule manière de concilier les demandes de toutes les tendances politiques. Il s'agit d'une monarchie dite « active », dans la mesure où les prérogatives du Roi du Maroc, en matière de définition et d'exécution des politiques publiques, restent relativement importantes même si elles ont été réduites par rapport à la constitution précédente.</w:t>
      </w:r>
    </w:p>
    <w:p w:rsidR="00E45C14" w:rsidRDefault="00E45C14" w:rsidP="00E45C14">
      <w:pPr>
        <w:pStyle w:val="NormalWeb"/>
      </w:pPr>
      <w:r>
        <w:t xml:space="preserve">C'est aussi le roi qui nomme, sur proposition du chef du gouvernement et à l’initiative du ministre concerné, le gouverneur de la banque centrale, les ambassadeurs, les Walis et </w:t>
      </w:r>
      <w:r w:rsidRPr="00E45C14">
        <w:t>gouverneurs</w:t>
      </w:r>
      <w:r>
        <w:t xml:space="preserve"> (préfets des régions et provinces) et les responsables des administrations chargées de la sécurité intérieure du Royaume, ainsi que des responsables des établissements et entreprises publics stratégiques. Le chef du gouvernement, lui nomme aux autres emplois civils dans les administrations publiques et aux hautes fonctions des établissements et entreprises publics.</w:t>
      </w:r>
    </w:p>
    <w:p w:rsidR="00E45C14" w:rsidRDefault="00E45C14" w:rsidP="00E45C14">
      <w:pPr>
        <w:pStyle w:val="NormalWeb"/>
      </w:pPr>
      <w:r>
        <w:t xml:space="preserve">Le roi est aussi le chef suprême des </w:t>
      </w:r>
      <w:r w:rsidRPr="00E45C14">
        <w:t>Forces armées</w:t>
      </w:r>
      <w:r>
        <w:t xml:space="preserve">. Il préside à ce titre le </w:t>
      </w:r>
      <w:r w:rsidRPr="00E45C14">
        <w:t>Conseil supérieur de sécurité</w:t>
      </w:r>
      <w:r>
        <w:t xml:space="preserve">, instance de concertation sur les stratégies de sécurité intérieure et extérieure du pays, et de gestion des situations de crise. Il préside le </w:t>
      </w:r>
      <w:r w:rsidRPr="00E45C14">
        <w:t>Conseil supérieur du pouvoir judiciaire</w:t>
      </w:r>
      <w:r>
        <w:t xml:space="preserve"> et le </w:t>
      </w:r>
      <w:r w:rsidRPr="00E45C14">
        <w:t xml:space="preserve">Conseil </w:t>
      </w:r>
      <w:r w:rsidR="00032879">
        <w:t>supérieur des Oul</w:t>
      </w:r>
      <w:r w:rsidRPr="00E45C14">
        <w:t>émas</w:t>
      </w:r>
      <w:r>
        <w:t xml:space="preserve">, en sa qualité de </w:t>
      </w:r>
      <w:r w:rsidRPr="00E45C14">
        <w:t>Commandeur des croyants</w:t>
      </w:r>
      <w:r>
        <w:t>.</w:t>
      </w:r>
    </w:p>
    <w:p w:rsidR="00FE07D2" w:rsidRDefault="00032879" w:rsidP="00E45C14">
      <w:pPr>
        <w:rPr>
          <w:rFonts w:asciiTheme="majorBidi" w:hAnsiTheme="majorBidi" w:cstheme="majorBidi"/>
          <w:b/>
          <w:bCs/>
          <w:sz w:val="36"/>
          <w:szCs w:val="36"/>
          <w:u w:val="single"/>
        </w:rPr>
      </w:pPr>
      <w:r>
        <w:rPr>
          <w:rFonts w:asciiTheme="majorBidi" w:hAnsiTheme="majorBidi" w:cstheme="majorBidi"/>
          <w:b/>
          <w:bCs/>
          <w:sz w:val="36"/>
          <w:szCs w:val="36"/>
          <w:u w:val="single"/>
        </w:rPr>
        <w:t>Attributions du Roi avant la nouvelle constitution de 2011 :</w:t>
      </w:r>
    </w:p>
    <w:p w:rsidR="00032879" w:rsidRDefault="00032879" w:rsidP="00032879">
      <w:pPr>
        <w:pStyle w:val="NormalWeb"/>
      </w:pPr>
      <w:r>
        <w:rPr>
          <w:b/>
          <w:bCs/>
          <w:sz w:val="27"/>
          <w:szCs w:val="27"/>
        </w:rPr>
        <w:t>L</w:t>
      </w:r>
      <w:r>
        <w:t>a monarchie est le pilier institutionnel du Maroc. Le premier article de la Constitution codifie une légitimité établie depuis des siècles : « Le Maroc est une monarchie constitutionnelle, démocratique et sociale », et la devise du pays est : « Dieu, la Patrie, le Roi ».</w:t>
      </w:r>
    </w:p>
    <w:p w:rsidR="00032879" w:rsidRDefault="00032879" w:rsidP="00032879">
      <w:pPr>
        <w:pStyle w:val="NormalWeb"/>
      </w:pPr>
      <w:r>
        <w:rPr>
          <w:b/>
          <w:bCs/>
          <w:sz w:val="27"/>
          <w:szCs w:val="27"/>
        </w:rPr>
        <w:t>Le Roi</w:t>
      </w:r>
      <w:r>
        <w:t xml:space="preserve">  est « Amir Al </w:t>
      </w:r>
      <w:proofErr w:type="spellStart"/>
      <w:r>
        <w:t>Mouminine</w:t>
      </w:r>
      <w:proofErr w:type="spellEnd"/>
      <w:r>
        <w:t xml:space="preserve"> », Commandeur des croyants, et exerce sur la communauté islamique une autorité morale.</w:t>
      </w:r>
      <w:r>
        <w:br/>
      </w:r>
      <w:r>
        <w:br/>
        <w:t>La justification de ces pouvoirs repose sur treize siècles d’histoire et de religion et sur une dynastie au trône depuis plus de trois siècles.</w:t>
      </w:r>
    </w:p>
    <w:p w:rsidR="00032879" w:rsidRDefault="00032879" w:rsidP="00032879">
      <w:pPr>
        <w:pStyle w:val="NormalWeb"/>
      </w:pPr>
      <w:r>
        <w:rPr>
          <w:rStyle w:val="lev"/>
          <w:color w:val="800000"/>
          <w:sz w:val="27"/>
          <w:szCs w:val="27"/>
        </w:rPr>
        <w:t>Les pouvoirs du Roi</w:t>
      </w:r>
    </w:p>
    <w:p w:rsidR="00032879" w:rsidRDefault="00032879" w:rsidP="00032879">
      <w:pPr>
        <w:pStyle w:val="NormalWeb"/>
      </w:pPr>
      <w:r>
        <w:t xml:space="preserve">Les pouvoirs du Roi sont définis par la Constitution. Le Titre II (lien sur la constitution) de la Constitution, intitulé « De la Royauté », rappelle selon les principes de l’organisation islamique des pouvoirs publics que le Roi est « Amir Al </w:t>
      </w:r>
      <w:proofErr w:type="spellStart"/>
      <w:r>
        <w:t>Mouminine</w:t>
      </w:r>
      <w:proofErr w:type="spellEnd"/>
      <w:r>
        <w:t xml:space="preserve"> ». Il est également, aux termes de l’article 19, symbole de l’unité de la nation, garant de la pérennité et de la continuité de l’Etat ; il veille au respect de l’Islam et de la Constitution.</w:t>
      </w:r>
      <w:r>
        <w:br/>
        <w:t>Enfin, il est protecteur des droits et libertés des citoyens, des groupes sociaux et des collectivités, de même qu’il est le garant de l’indépendance et de l’intégrité territoriale du Royaume dans ses frontières authentiques.</w:t>
      </w:r>
    </w:p>
    <w:p w:rsidR="00032879" w:rsidRDefault="00032879" w:rsidP="00032879">
      <w:pPr>
        <w:pStyle w:val="NormalWeb"/>
      </w:pPr>
      <w:r>
        <w:t>Les attributions du Roi s’exercent à divers niveaux :</w:t>
      </w:r>
    </w:p>
    <w:p w:rsidR="00032879" w:rsidRPr="00032879" w:rsidRDefault="00032879" w:rsidP="00032879">
      <w:pPr>
        <w:pStyle w:val="NormalWeb"/>
        <w:rPr>
          <w:b/>
          <w:bCs/>
          <w:u w:val="single"/>
        </w:rPr>
      </w:pPr>
      <w:r w:rsidRPr="00032879">
        <w:rPr>
          <w:rStyle w:val="lev"/>
          <w:b w:val="0"/>
          <w:bCs w:val="0"/>
          <w:color w:val="800000"/>
          <w:u w:val="single"/>
        </w:rPr>
        <w:t>Le Roi nomme le Premier ministre.</w:t>
      </w:r>
    </w:p>
    <w:p w:rsidR="00032879" w:rsidRDefault="00032879" w:rsidP="00032879">
      <w:pPr>
        <w:pStyle w:val="NormalWeb"/>
      </w:pPr>
      <w:r>
        <w:t>Sur proposition du Premier ministre, Il nomme les autres membres du Gouvernement, Il peut mettre fin à leurs fonctions.</w:t>
      </w:r>
      <w:r>
        <w:br/>
      </w:r>
      <w:r>
        <w:br/>
        <w:t>Il met fin aux fonctions du Gouvernement, soit à son initiative, soit du fait de la démission du Gouvernement. Il préside le Conseil des Ministres, exerce le pouvoir réglementaire. Il est le Chef Suprême des Forces Armées Royales, nomme aux emplois civils et militaires et peut déléguer ce droit. Le Roi nomme et accrédite les ambassadeurs, signe et ratifie les traités internationaux. Toutefois, les traités engageant les finances de l'Etat ne peuvent être ratifiés sans avoir été préalablement approuvés par la loi (article 31).</w:t>
      </w:r>
      <w:r>
        <w:br/>
        <w:t>Il exerce le droit de grâce, préside le Conseil Supérieur de la Magistrature, le Conseil Supérieur de l'Enseignement et le Conseil Supérieur de la Promotion Nationale et du Plan.</w:t>
      </w:r>
      <w:r>
        <w:br/>
      </w:r>
      <w:r>
        <w:br/>
        <w:t>En cas de circonstances exceptionnelles, les pouvoirs du Roi sont définis par l’article 35 de la Constitution : « Lorsque l'intégrité du territoire national est menacée ou que se produisent des événements susceptibles de mettre en cause le fonctionnement des institutions constitutionnelles, le Roi peut, après avoir consulté le président de la Chambre des Représentants, le président de la Chambre des Conseillers ainsi que le président du Conseil Constitutionnel, et adressé un message à la Nation, proclamer, par dahir, l'état d'exception. De ce fait, Il est habilité, nonobstant toutes dispositions contraires, à prendre les mesures qu'imposent la défense de l'intégrité territoriale, le retour au fonctionnement des institutions constitutionnelles et la conduite des affaires de l'Etat.</w:t>
      </w:r>
      <w:r>
        <w:br/>
      </w:r>
      <w:r>
        <w:br/>
        <w:t>L'état d'exception n'entraîne pas la dissolution du Parlement.</w:t>
      </w:r>
      <w:r>
        <w:br/>
        <w:t>Il est mis fin à l'état d'exception dans les mêmes normes que sa proclamation ».</w:t>
      </w:r>
    </w:p>
    <w:p w:rsidR="00032879" w:rsidRDefault="00032879" w:rsidP="00032879">
      <w:pPr>
        <w:pStyle w:val="NormalWeb"/>
      </w:pPr>
      <w:r>
        <w:rPr>
          <w:color w:val="800000"/>
          <w:sz w:val="27"/>
          <w:szCs w:val="27"/>
        </w:rPr>
        <w:t> </w:t>
      </w:r>
      <w:hyperlink r:id="rId5" w:history="1">
        <w:r>
          <w:rPr>
            <w:rStyle w:val="Lienhypertexte"/>
            <w:color w:val="800000"/>
            <w:sz w:val="27"/>
            <w:szCs w:val="27"/>
          </w:rPr>
          <w:t>La succession dynastique</w:t>
        </w:r>
      </w:hyperlink>
    </w:p>
    <w:p w:rsidR="00032879" w:rsidRDefault="00032879" w:rsidP="00032879">
      <w:pPr>
        <w:pStyle w:val="NormalWeb"/>
      </w:pPr>
      <w:r>
        <w:t xml:space="preserve">Le régime de la succession dynastique a été codifié avec la première Constitution du Maroc indépendant et repris dans les Constituons suivantes avec des modifications apportées par la révision constitutionnelle du 23 mai 1980. </w:t>
      </w:r>
    </w:p>
    <w:p w:rsidR="00032879" w:rsidRDefault="00032879" w:rsidP="00032879">
      <w:pPr>
        <w:pStyle w:val="NormalWeb"/>
      </w:pPr>
      <w:r>
        <w:t>Dans son article 20, la Constitution actuelle dispose que  « La Couronne du Maroc et ses droits constitutionnels sont héréditaires et se transmettent de père en fils aux descendants mâles en ligne directe et par ordre de primogéniture de SA MAJESTE LE ROI HASSAN II, à moins que le Roi ne désigne, de son vivant, un successeur parmi ses fils, autre que son fils aîné. Lorsqu'il n'y a pas de descendants mâles en ligne directe, la succession au Trône est dévolue à la ligne collatérale mâle la plus proche et dans les mêmes conditions.»</w:t>
      </w:r>
    </w:p>
    <w:p w:rsidR="00032879" w:rsidRDefault="00032879" w:rsidP="00032879">
      <w:pPr>
        <w:pStyle w:val="NormalWeb"/>
      </w:pPr>
      <w:hyperlink r:id="rId6" w:history="1">
        <w:r>
          <w:rPr>
            <w:rStyle w:val="Lienhypertexte"/>
            <w:color w:val="800000"/>
            <w:sz w:val="27"/>
            <w:szCs w:val="27"/>
          </w:rPr>
          <w:t>La Régence</w:t>
        </w:r>
      </w:hyperlink>
    </w:p>
    <w:p w:rsidR="00032879" w:rsidRDefault="00032879" w:rsidP="00032879">
      <w:pPr>
        <w:pStyle w:val="NormalWeb"/>
      </w:pPr>
      <w:r>
        <w:t>La Constitution marocaine prévoit, en cas de minorité du Roi, l’institution de la Régence. La majorité du Roi, qui était de 18 ans dans les trois Constitutions, celles de 1963, 1970 et 1972, a été abaissée à 16 ans, à la suite de la révision constitutionnelle du 23 mai 1980.L’article 21 de la Constitution en vigueur stipule que « Le Roi est mineur jusqu'à seize ans accomplis. Durant la minorité du Roi, un Conseil de régence exerce les pouvoirs et les droits constitutionnels de la Couronne, sauf ceux relatifs à la révision de la Constitution. Le Conseil de régence fonctionnera comme organe consultatif auprès du Roi jusqu'au jour où il aura atteint l'âge de vingt ans (20) accomplis. Le Conseil de régence est présidé par le premier président de la Cour Suprême. Il se compose, en outre, du président de la Chambre des Représentants, du président de la Chambre des Conseillers, du Président du Conseil régional des oulémas des villes de Rabat et Salé et de dix personnalités désignées par le Roi intuitu personae.</w:t>
      </w:r>
      <w:r>
        <w:br/>
        <w:t>Les règles de fonctionnement du Conseil de régence sont fixées par une loi organique ».</w:t>
      </w:r>
    </w:p>
    <w:p w:rsidR="00032879" w:rsidRDefault="00032879" w:rsidP="00032879">
      <w:pPr>
        <w:pStyle w:val="NormalWeb"/>
      </w:pPr>
      <w:r>
        <w:t> </w:t>
      </w:r>
    </w:p>
    <w:p w:rsidR="00032879" w:rsidRDefault="00032879" w:rsidP="00E45C14">
      <w:pPr>
        <w:rPr>
          <w:rFonts w:asciiTheme="majorBidi" w:hAnsiTheme="majorBidi" w:cstheme="majorBidi"/>
          <w:sz w:val="24"/>
          <w:szCs w:val="24"/>
        </w:rPr>
      </w:pPr>
    </w:p>
    <w:p w:rsidR="00032879" w:rsidRDefault="00032879" w:rsidP="00E45C14">
      <w:pPr>
        <w:rPr>
          <w:rFonts w:asciiTheme="majorBidi" w:hAnsiTheme="majorBidi" w:cstheme="majorBidi"/>
          <w:b/>
          <w:bCs/>
          <w:sz w:val="36"/>
          <w:szCs w:val="36"/>
          <w:u w:val="single"/>
        </w:rPr>
      </w:pPr>
      <w:r>
        <w:rPr>
          <w:rFonts w:asciiTheme="majorBidi" w:hAnsiTheme="majorBidi" w:cstheme="majorBidi"/>
          <w:b/>
          <w:bCs/>
          <w:sz w:val="36"/>
          <w:szCs w:val="36"/>
          <w:u w:val="single"/>
        </w:rPr>
        <w:t>Attributions du Roi selon la nouvelle constitution de 2011 :</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47</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nomme le Chef du Gouvernement au sein du parti politique arrivé en tête des élections des membres de la Chambre des Représentants, et au vu de leurs résultats. Sur proposition du Chef du Gouvernement, Il nomme les membres du gouvernement. Le Roi peut, à Son initiative, et après consultation du Chef du Gouvernement, mettre fin aux fonctions d’un ou de plusieurs membres du gouvernement. Le Chef du Gouvernement peut demander au Roi de mettre fin aux fonctions d’un ou de plusieurs membres du gouvernement.</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Chef du Gouvernement peut demander au Roi de mettre fin aux fonctions d’un ou de plusieurs membres du gouvernement du fait de leur démission individuelle ou collective. A la suite de la démission du Chef du Gouvernement, le Roi met fin aux fonctions de l’ensemble du gouvernement. Le gouvernement démissionnaire expédie les affaires courantes jusqu’à la constitution du nouveau gouvernement.</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48</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préside le Conseil des ministres composé du Chef du Gouvernement et des ministres. Le Conseil des ministres se réunit à l’initiative du Roi ou à la demande du Chef du Gouvernement. Le Roi peut, sur la base d’un ordre du jour déterminé, déléguer au Chef du Gouvernement la présidence d’une réunion du Conseil des ministres.</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49</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Conseil des ministres délibère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orientations stratégiques de la politique de l’Etat,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projets de révision de la Constitution,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projets de lois organiques,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orientations générales du projet de loi de finances,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projets de loi-cadre visés à l’article 71 (2èmealinéa) de la présente Constitution,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du projet de loi d’amnistie,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des projets de textes relatifs au domaine militaire,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 la déclaration de l’état de siège,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de la déclaration de guerre, </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du projet de décret visé à l’article 104 de la présente Constitution,</w:t>
      </w:r>
    </w:p>
    <w:p w:rsidR="0053009A" w:rsidRPr="0053009A" w:rsidRDefault="0053009A" w:rsidP="005300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 xml:space="preserve"> de la nomination, sur proposition du Chef du Gouvernement et à l’initiative du ministre concerné, aux emplois civils de wali de Bank Al </w:t>
      </w:r>
      <w:proofErr w:type="spellStart"/>
      <w:r w:rsidRPr="0053009A">
        <w:rPr>
          <w:rFonts w:ascii="Times New Roman" w:eastAsia="Times New Roman" w:hAnsi="Times New Roman" w:cs="Times New Roman"/>
          <w:sz w:val="24"/>
          <w:szCs w:val="24"/>
        </w:rPr>
        <w:t>Maghrib</w:t>
      </w:r>
      <w:proofErr w:type="spellEnd"/>
      <w:r w:rsidRPr="0053009A">
        <w:rPr>
          <w:rFonts w:ascii="Times New Roman" w:eastAsia="Times New Roman" w:hAnsi="Times New Roman" w:cs="Times New Roman"/>
          <w:sz w:val="24"/>
          <w:szCs w:val="24"/>
        </w:rPr>
        <w:t>, d’ambassadeur, de wali et de gouverneur, et des responsables des administrations chargées de la sécurité intérieure du Royaume, ainsi que des responsables des établissements et entreprises publics stratégiques. Une loi organique précise la liste de ces établissements et entreprises stratégiques.</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50</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promulgue la loi dans les trente jours qui suivent la transmission au gouvernement de la loi définitivement adoptée. La loi ainsi promulguée doit faire l’objet de publication au Bulletin officiel du Royaume dans un délai n’excédant pas un mois, courant à compter de la date du dahir de sa promulgation.</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51</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peut dissoudre, par dahir, les deux Chambres du Parlement ou l’une d’elles dans les conditions prévues aux articles 96, 97 et 98.</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52</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peut adresser des messages à la Nation et au Parlement. Les messages sont lus devant l’une et l’autre Chambre et ne peuvent y faire l’objet d’aucun débat.</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53</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est le Chef Suprême des Forces Armées Royales. Il nomme aux emplois militaires et peut déléguer ce droit.</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54</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Il est créé un Conseil Supérieur de Sécurité, en tant qu’instance de concertation sur les stratégies de sécurité intérieure et extérieure du pays, et de gestion des situations de crise, qui veille également à l’institutionnalisation des normes d’une bonne gouvernance sécuritaire. Le Roi préside ce Conseil et peut déléguer au Chef du Gouvernement la présidence d’une réunion du Conseil, sur la base d’un ordre du jour déterminé. Le Conseil Supérieur de Sécurité comprend, outre le Chef du Gouvernement, le président de la Chambre des Représentants, le président de la Chambre des Conseillers, le président-délégué du Conseil Supérieur du pouvoir Judiciaire et les ministres chargés de l’Intérieur, des Affaires étrangères, de la Justice et de l’administration de la Défense nationale, ainsi que les responsables des administrations compétentes en matière sécuritaire, des officiers supérieurs des Forces Armées Royales et toute autre personnalité dont la présence est utile aux travaux dudit Conseil. Le règlement intérieur du Conseil fixe les règles de son organisation et de son fonctionnement.</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55</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accrédite les ambassadeurs auprès des puissances étrangères et des organismes internationaux. Les ambassadeurs ou les représentants des organismes internationaux sont accrédités auprès de Lui. Il signe et ratifie les traités. Toutefois, les traités de paix ou d’union, ou ceux relatifs à la délimitation des frontières, les traités de commerce ou ceux engageant les finances de l’Etat ou dont l’application nécessite des mesures législatives, ainsi que les traités relatifs aux droits et libertés individuelles ou collectives des citoyennes et des citoyens, ne peuvent être ratifiés qu’après avoir été préalablement approuvés par la loi.</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peut soumettre au Parlement tout autre traité avant sa ratification. Si la Cour Constitutionnelle, saisie par le Roi ou le Président de la Chambre des Représentants ou le Président de la Chambre des Conseillers ou le sixième des membres de la première Chambre ou le quart des membres de la deuxième Chambre, déclare qu’un engagement international comporte une disposition contraire à la Constitution, sa ratification ne peut intervenir qu’après la révision de la Constitution.</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56</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préside le Conseil Supérieur du Pouvoir Judiciaire.</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57</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approuve par dahir la nomination des magistrats par le Conseil Supérieur du Pouvoir Judiciaire.</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58</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Roi exerce le droit de grâce.</w:t>
      </w:r>
    </w:p>
    <w:p w:rsidR="0053009A" w:rsidRPr="0053009A" w:rsidRDefault="0053009A" w:rsidP="0053009A">
      <w:pPr>
        <w:spacing w:before="100" w:beforeAutospacing="1" w:after="100" w:afterAutospacing="1" w:line="240" w:lineRule="auto"/>
        <w:outlineLvl w:val="2"/>
        <w:rPr>
          <w:rFonts w:ascii="Times New Roman" w:eastAsia="Times New Roman" w:hAnsi="Times New Roman" w:cs="Times New Roman"/>
          <w:b/>
          <w:bCs/>
          <w:sz w:val="27"/>
          <w:szCs w:val="27"/>
        </w:rPr>
      </w:pPr>
      <w:r w:rsidRPr="0053009A">
        <w:rPr>
          <w:rFonts w:ascii="Times New Roman" w:eastAsia="Times New Roman" w:hAnsi="Times New Roman" w:cs="Times New Roman"/>
          <w:b/>
          <w:bCs/>
          <w:sz w:val="27"/>
          <w:szCs w:val="27"/>
        </w:rPr>
        <w:t>Article 59</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Lorsque l’intégrité du territoire national est menacée ou que se produisent des événements qui entravent le fonctionnement régulier des institutions constitutionnelles, le Roi peut, après avoir consulté le Chef du Gouvernement, le président de la Chambre des Représentant, le président de la Chambre des Conseillers, ainsi que le Président de la Cour Constitutionnelle, et adressé un message à la nation, proclamer par dahir l’état d’exception.</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De ce fait, le Roi est habilité à prendre les mesures qu’imposent la défense de l’intégrité territoriale et le retour, dans un moindre délai, au fonctionnement normal des institutions constitutionnelles.</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Le Parlement ne peut être dissous pendant l’exercice des pouvoirs exceptionnels. Les libertés et droits fondamentaux prévus par la présente Constitution demeurent garantis.</w:t>
      </w:r>
    </w:p>
    <w:p w:rsidR="0053009A" w:rsidRPr="0053009A" w:rsidRDefault="0053009A" w:rsidP="0053009A">
      <w:pPr>
        <w:spacing w:before="100" w:beforeAutospacing="1" w:after="100" w:afterAutospacing="1" w:line="240" w:lineRule="auto"/>
        <w:rPr>
          <w:rFonts w:ascii="Times New Roman" w:eastAsia="Times New Roman" w:hAnsi="Times New Roman" w:cs="Times New Roman"/>
          <w:sz w:val="24"/>
          <w:szCs w:val="24"/>
        </w:rPr>
      </w:pPr>
      <w:r w:rsidRPr="0053009A">
        <w:rPr>
          <w:rFonts w:ascii="Times New Roman" w:eastAsia="Times New Roman" w:hAnsi="Times New Roman" w:cs="Times New Roman"/>
          <w:sz w:val="24"/>
          <w:szCs w:val="24"/>
        </w:rPr>
        <w:t>Il est mis fin à l’état d’exception dans les mêmes formes que sa proclamation, dès que les conditions qui l’ont justifié n’existent plus.</w:t>
      </w:r>
    </w:p>
    <w:p w:rsidR="00032879" w:rsidRPr="00032879" w:rsidRDefault="00032879" w:rsidP="00E45C14">
      <w:pPr>
        <w:rPr>
          <w:rFonts w:asciiTheme="majorBidi" w:hAnsiTheme="majorBidi" w:cstheme="majorBidi"/>
          <w:sz w:val="24"/>
          <w:szCs w:val="24"/>
        </w:rPr>
      </w:pPr>
    </w:p>
    <w:sectPr w:rsidR="00032879" w:rsidRPr="000328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D2F8B"/>
    <w:multiLevelType w:val="multilevel"/>
    <w:tmpl w:val="5B9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useFELayout/>
  </w:compat>
  <w:rsids>
    <w:rsidRoot w:val="00FE07D2"/>
    <w:rsid w:val="00032879"/>
    <w:rsid w:val="00523DFC"/>
    <w:rsid w:val="0053009A"/>
    <w:rsid w:val="00E45C14"/>
    <w:rsid w:val="00FE07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30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5C1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45C14"/>
    <w:rPr>
      <w:color w:val="0000FF"/>
      <w:u w:val="single"/>
    </w:rPr>
  </w:style>
  <w:style w:type="character" w:styleId="lev">
    <w:name w:val="Strong"/>
    <w:basedOn w:val="Policepardfaut"/>
    <w:uiPriority w:val="22"/>
    <w:qFormat/>
    <w:rsid w:val="00032879"/>
    <w:rPr>
      <w:b/>
      <w:bCs/>
    </w:rPr>
  </w:style>
  <w:style w:type="character" w:customStyle="1" w:styleId="Titre3Car">
    <w:name w:val="Titre 3 Car"/>
    <w:basedOn w:val="Policepardfaut"/>
    <w:link w:val="Titre3"/>
    <w:uiPriority w:val="9"/>
    <w:rsid w:val="0053009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65450240">
      <w:bodyDiv w:val="1"/>
      <w:marLeft w:val="0"/>
      <w:marRight w:val="0"/>
      <w:marTop w:val="0"/>
      <w:marBottom w:val="0"/>
      <w:divBdr>
        <w:top w:val="none" w:sz="0" w:space="0" w:color="auto"/>
        <w:left w:val="none" w:sz="0" w:space="0" w:color="auto"/>
        <w:bottom w:val="none" w:sz="0" w:space="0" w:color="auto"/>
        <w:right w:val="none" w:sz="0" w:space="0" w:color="auto"/>
      </w:divBdr>
    </w:div>
    <w:div w:id="830410736">
      <w:bodyDiv w:val="1"/>
      <w:marLeft w:val="0"/>
      <w:marRight w:val="0"/>
      <w:marTop w:val="0"/>
      <w:marBottom w:val="0"/>
      <w:divBdr>
        <w:top w:val="none" w:sz="0" w:space="0" w:color="auto"/>
        <w:left w:val="none" w:sz="0" w:space="0" w:color="auto"/>
        <w:bottom w:val="none" w:sz="0" w:space="0" w:color="auto"/>
        <w:right w:val="none" w:sz="0" w:space="0" w:color="auto"/>
      </w:divBdr>
    </w:div>
    <w:div w:id="1023551464">
      <w:bodyDiv w:val="1"/>
      <w:marLeft w:val="0"/>
      <w:marRight w:val="0"/>
      <w:marTop w:val="0"/>
      <w:marBottom w:val="0"/>
      <w:divBdr>
        <w:top w:val="none" w:sz="0" w:space="0" w:color="auto"/>
        <w:left w:val="none" w:sz="0" w:space="0" w:color="auto"/>
        <w:bottom w:val="none" w:sz="0" w:space="0" w:color="auto"/>
        <w:right w:val="none" w:sz="0" w:space="0" w:color="auto"/>
      </w:divBdr>
    </w:div>
    <w:div w:id="14826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oc.ma/NR/exeres/7A130A8F-6C7D-4140-9B7D-24516251954D.htm" TargetMode="External"/><Relationship Id="rId5" Type="http://schemas.openxmlformats.org/officeDocument/2006/relationships/hyperlink" Target="http://www.maroc.ma/NR/exeres/0B225C43-6E62-42A0-A374-5D39F4CF0EBE.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2148</Words>
  <Characters>11815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2014-05-30T22:52:00Z</dcterms:created>
  <dcterms:modified xsi:type="dcterms:W3CDTF">2014-05-30T23:34:00Z</dcterms:modified>
</cp:coreProperties>
</file>