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2B" w:rsidRPr="00033F2B" w:rsidRDefault="00033F2B" w:rsidP="00033F2B">
      <w:pPr>
        <w:jc w:val="center"/>
        <w:rPr>
          <w:b/>
          <w:sz w:val="32"/>
        </w:rPr>
      </w:pPr>
      <w:r w:rsidRPr="00033F2B">
        <w:rPr>
          <w:b/>
          <w:sz w:val="32"/>
        </w:rPr>
        <w:t>Département de sciences et techniques biologiques</w:t>
      </w:r>
    </w:p>
    <w:p w:rsidR="00033F2B" w:rsidRDefault="00033F2B" w:rsidP="00033F2B">
      <w:pPr>
        <w:jc w:val="center"/>
        <w:rPr>
          <w:b/>
          <w:sz w:val="32"/>
        </w:rPr>
      </w:pPr>
      <w:r w:rsidRPr="00033F2B">
        <w:rPr>
          <w:b/>
          <w:sz w:val="32"/>
        </w:rPr>
        <w:t xml:space="preserve">CÉGEP de La </w:t>
      </w:r>
      <w:proofErr w:type="spellStart"/>
      <w:r w:rsidRPr="00033F2B">
        <w:rPr>
          <w:b/>
          <w:sz w:val="32"/>
        </w:rPr>
        <w:t>Pocatière</w:t>
      </w:r>
      <w:proofErr w:type="spellEnd"/>
    </w:p>
    <w:p w:rsidR="00033F2B" w:rsidRDefault="00033F2B" w:rsidP="00033F2B">
      <w:pPr>
        <w:jc w:val="center"/>
        <w:rPr>
          <w:b/>
          <w:sz w:val="32"/>
        </w:rPr>
      </w:pPr>
      <w:r w:rsidRPr="00033F2B">
        <w:rPr>
          <w:b/>
          <w:noProof/>
          <w:sz w:val="32"/>
        </w:rPr>
        <mc:AlternateContent>
          <mc:Choice Requires="wps">
            <w:drawing>
              <wp:anchor distT="0" distB="0" distL="114300" distR="114300" simplePos="0" relativeHeight="251659264" behindDoc="0" locked="0" layoutInCell="1" allowOverlap="1" wp14:anchorId="2F5C6219" wp14:editId="062C2B48">
                <wp:simplePos x="0" y="0"/>
                <wp:positionH relativeFrom="column">
                  <wp:align>center</wp:align>
                </wp:positionH>
                <wp:positionV relativeFrom="paragraph">
                  <wp:posOffset>0</wp:posOffset>
                </wp:positionV>
                <wp:extent cx="5554692" cy="1403985"/>
                <wp:effectExtent l="0" t="0" r="27305" b="222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692" cy="1403985"/>
                        </a:xfrm>
                        <a:prstGeom prst="rect">
                          <a:avLst/>
                        </a:prstGeom>
                        <a:solidFill>
                          <a:srgbClr val="FFFFFF"/>
                        </a:solidFill>
                        <a:ln w="9525">
                          <a:solidFill>
                            <a:srgbClr val="000000"/>
                          </a:solidFill>
                          <a:miter lim="800000"/>
                          <a:headEnd/>
                          <a:tailEnd/>
                        </a:ln>
                      </wps:spPr>
                      <wps:txbx>
                        <w:txbxContent>
                          <w:p w:rsidR="00033F2B" w:rsidRDefault="00033F2B" w:rsidP="00033F2B">
                            <w:pPr>
                              <w:spacing w:after="0"/>
                            </w:pPr>
                            <w:r w:rsidRPr="00033F2B">
                              <w:rPr>
                                <w:b/>
                              </w:rPr>
                              <w:t>Cours :</w:t>
                            </w:r>
                            <w:r>
                              <w:t xml:space="preserve"> 101-H01-LP                                                                                                Emmanuelle Lajoie et</w:t>
                            </w:r>
                          </w:p>
                          <w:p w:rsidR="00033F2B" w:rsidRDefault="00033F2B" w:rsidP="00033F2B">
                            <w:pPr>
                              <w:spacing w:after="0"/>
                            </w:pPr>
                            <w:r w:rsidRPr="00033F2B">
                              <w:rPr>
                                <w:b/>
                              </w:rPr>
                              <w:t>Enseignante :</w:t>
                            </w:r>
                            <w:r>
                              <w:t xml:space="preserve"> Catherine Ladouceur                                                                          </w:t>
                            </w:r>
                            <w:proofErr w:type="spellStart"/>
                            <w:r>
                              <w:t>Kencia</w:t>
                            </w:r>
                            <w:proofErr w:type="spellEnd"/>
                            <w:r>
                              <w:t xml:space="preserve"> Dieudonné</w:t>
                            </w:r>
                          </w:p>
                          <w:p w:rsidR="00033F2B" w:rsidRDefault="00033F2B" w:rsidP="00033F2B">
                            <w:pPr>
                              <w:spacing w:after="0"/>
                            </w:pPr>
                            <w:r>
                              <w:t xml:space="preserve">                                                                                                                                                    2 avril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37.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">
                <v:textbox style="mso-fit-shape-to-text:t">
                  <w:txbxContent>
                    <w:p w:rsidR="00033F2B" w:rsidRDefault="00033F2B" w:rsidP="00033F2B">
                      <w:pPr>
                        <w:spacing w:after="0"/>
                      </w:pPr>
                      <w:r w:rsidRPr="00033F2B">
                        <w:rPr>
                          <w:b/>
                        </w:rPr>
                        <w:t>Cours :</w:t>
                      </w:r>
                      <w:r>
                        <w:t xml:space="preserve"> 101-H01-LP                                                                                                Emmanuelle Lajoie et</w:t>
                      </w:r>
                    </w:p>
                    <w:p w:rsidR="00033F2B" w:rsidRDefault="00033F2B" w:rsidP="00033F2B">
                      <w:pPr>
                        <w:spacing w:after="0"/>
                      </w:pPr>
                      <w:r w:rsidRPr="00033F2B">
                        <w:rPr>
                          <w:b/>
                        </w:rPr>
                        <w:t>Enseignante :</w:t>
                      </w:r>
                      <w:r>
                        <w:t xml:space="preserve"> Catherine Ladouceur                                                                          </w:t>
                      </w:r>
                      <w:proofErr w:type="spellStart"/>
                      <w:r>
                        <w:t>Kencia</w:t>
                      </w:r>
                      <w:proofErr w:type="spellEnd"/>
                      <w:r>
                        <w:t xml:space="preserve"> Dieudonné</w:t>
                      </w:r>
                    </w:p>
                    <w:p w:rsidR="00033F2B" w:rsidRDefault="00033F2B" w:rsidP="00033F2B">
                      <w:pPr>
                        <w:spacing w:after="0"/>
                      </w:pPr>
                      <w:r>
                        <w:t xml:space="preserve">                                                                                                                                                    2 avril 2014</w:t>
                      </w:r>
                    </w:p>
                  </w:txbxContent>
                </v:textbox>
              </v:shape>
            </w:pict>
          </mc:Fallback>
        </mc:AlternateContent>
      </w:r>
    </w:p>
    <w:p w:rsidR="00033F2B" w:rsidRPr="00033F2B" w:rsidRDefault="00033F2B" w:rsidP="00424E11">
      <w:pPr>
        <w:rPr>
          <w:b/>
          <w:sz w:val="32"/>
        </w:rPr>
      </w:pPr>
    </w:p>
    <w:p w:rsidR="00033F2B" w:rsidRPr="00033F2B" w:rsidRDefault="00033F2B" w:rsidP="00033F2B">
      <w:pPr>
        <w:jc w:val="center"/>
        <w:rPr>
          <w:b/>
          <w:sz w:val="32"/>
        </w:rPr>
      </w:pPr>
      <w:r w:rsidRPr="00033F2B">
        <w:rPr>
          <w:b/>
          <w:sz w:val="32"/>
        </w:rPr>
        <w:t>Laboratoire 5</w:t>
      </w:r>
    </w:p>
    <w:p w:rsidR="00033F2B" w:rsidRDefault="00033F2B" w:rsidP="00033F2B">
      <w:pPr>
        <w:jc w:val="center"/>
        <w:rPr>
          <w:b/>
          <w:sz w:val="32"/>
        </w:rPr>
      </w:pPr>
      <w:r w:rsidRPr="00033F2B">
        <w:rPr>
          <w:b/>
          <w:sz w:val="32"/>
        </w:rPr>
        <w:t>L’ENCÉPHALE DE MOUTON</w:t>
      </w:r>
    </w:p>
    <w:p w:rsidR="00911D57" w:rsidRPr="000F7703" w:rsidRDefault="00B106D7" w:rsidP="00911D57">
      <w:pPr>
        <w:jc w:val="both"/>
        <w:rPr>
          <w:b/>
        </w:rPr>
      </w:pPr>
      <w:r w:rsidRPr="000F7703">
        <w:rPr>
          <w:b/>
        </w:rPr>
        <w:t>1- Associez les structures suivantes aux numéros du demi-encéphale en démo. Assurez-vous ensuite d’être en mesure de les repérer sur votre spécimen.</w:t>
      </w:r>
    </w:p>
    <w:tbl>
      <w:tblPr>
        <w:tblStyle w:val="Grilledutableau"/>
        <w:tblW w:w="0" w:type="auto"/>
        <w:tblLook w:val="04A0" w:firstRow="1" w:lastRow="0" w:firstColumn="1" w:lastColumn="0" w:noHBand="0" w:noVBand="1"/>
      </w:tblPr>
      <w:tblGrid>
        <w:gridCol w:w="3510"/>
        <w:gridCol w:w="880"/>
        <w:gridCol w:w="3515"/>
        <w:gridCol w:w="875"/>
      </w:tblGrid>
      <w:tr w:rsidR="002314B6" w:rsidTr="002314B6">
        <w:tc>
          <w:tcPr>
            <w:tcW w:w="3510" w:type="dxa"/>
          </w:tcPr>
          <w:p w:rsidR="002314B6" w:rsidRPr="002314B6" w:rsidRDefault="002314B6" w:rsidP="002314B6">
            <w:pPr>
              <w:jc w:val="center"/>
              <w:rPr>
                <w:b/>
              </w:rPr>
            </w:pPr>
            <w:r w:rsidRPr="002314B6">
              <w:rPr>
                <w:b/>
              </w:rPr>
              <w:t>Structures</w:t>
            </w:r>
          </w:p>
        </w:tc>
        <w:tc>
          <w:tcPr>
            <w:tcW w:w="880" w:type="dxa"/>
          </w:tcPr>
          <w:p w:rsidR="002314B6" w:rsidRPr="002314B6" w:rsidRDefault="002314B6" w:rsidP="002314B6">
            <w:pPr>
              <w:jc w:val="center"/>
              <w:rPr>
                <w:b/>
              </w:rPr>
            </w:pPr>
            <w:r w:rsidRPr="002314B6">
              <w:rPr>
                <w:b/>
              </w:rPr>
              <w:t>#</w:t>
            </w:r>
          </w:p>
        </w:tc>
        <w:tc>
          <w:tcPr>
            <w:tcW w:w="3515" w:type="dxa"/>
          </w:tcPr>
          <w:p w:rsidR="002314B6" w:rsidRPr="002314B6" w:rsidRDefault="002314B6" w:rsidP="002314B6">
            <w:pPr>
              <w:jc w:val="center"/>
              <w:rPr>
                <w:b/>
              </w:rPr>
            </w:pPr>
            <w:r w:rsidRPr="002314B6">
              <w:rPr>
                <w:b/>
              </w:rPr>
              <w:t>Structures</w:t>
            </w:r>
          </w:p>
        </w:tc>
        <w:tc>
          <w:tcPr>
            <w:tcW w:w="875" w:type="dxa"/>
          </w:tcPr>
          <w:p w:rsidR="002314B6" w:rsidRPr="002314B6" w:rsidRDefault="002314B6" w:rsidP="002314B6">
            <w:pPr>
              <w:jc w:val="center"/>
              <w:rPr>
                <w:b/>
              </w:rPr>
            </w:pPr>
            <w:r w:rsidRPr="002314B6">
              <w:rPr>
                <w:b/>
              </w:rPr>
              <w:t>#</w:t>
            </w:r>
          </w:p>
        </w:tc>
      </w:tr>
      <w:tr w:rsidR="002314B6" w:rsidTr="002314B6">
        <w:tc>
          <w:tcPr>
            <w:tcW w:w="3510" w:type="dxa"/>
          </w:tcPr>
          <w:p w:rsidR="002314B6" w:rsidRDefault="002314B6" w:rsidP="00911D57">
            <w:pPr>
              <w:jc w:val="both"/>
            </w:pPr>
            <w:r>
              <w:t>Thalamus</w:t>
            </w:r>
          </w:p>
        </w:tc>
        <w:tc>
          <w:tcPr>
            <w:tcW w:w="880" w:type="dxa"/>
          </w:tcPr>
          <w:p w:rsidR="002314B6" w:rsidRDefault="002314B6" w:rsidP="002314B6">
            <w:pPr>
              <w:jc w:val="center"/>
            </w:pPr>
            <w:r>
              <w:t>3</w:t>
            </w:r>
          </w:p>
        </w:tc>
        <w:tc>
          <w:tcPr>
            <w:tcW w:w="3515" w:type="dxa"/>
          </w:tcPr>
          <w:p w:rsidR="002314B6" w:rsidRDefault="002314B6" w:rsidP="00911D57">
            <w:pPr>
              <w:jc w:val="both"/>
            </w:pPr>
            <w:r>
              <w:t>Corps calleux</w:t>
            </w:r>
          </w:p>
        </w:tc>
        <w:tc>
          <w:tcPr>
            <w:tcW w:w="875" w:type="dxa"/>
          </w:tcPr>
          <w:p w:rsidR="002314B6" w:rsidRDefault="002314B6" w:rsidP="002314B6">
            <w:pPr>
              <w:jc w:val="center"/>
            </w:pPr>
            <w:r>
              <w:t>5</w:t>
            </w:r>
          </w:p>
        </w:tc>
      </w:tr>
      <w:tr w:rsidR="002314B6" w:rsidTr="002314B6">
        <w:tc>
          <w:tcPr>
            <w:tcW w:w="3510" w:type="dxa"/>
          </w:tcPr>
          <w:p w:rsidR="002314B6" w:rsidRDefault="002314B6" w:rsidP="00911D57">
            <w:pPr>
              <w:jc w:val="both"/>
            </w:pPr>
            <w:r>
              <w:t>Bulbe olfactif</w:t>
            </w:r>
          </w:p>
        </w:tc>
        <w:tc>
          <w:tcPr>
            <w:tcW w:w="880" w:type="dxa"/>
          </w:tcPr>
          <w:p w:rsidR="002314B6" w:rsidRDefault="002314B6" w:rsidP="002314B6">
            <w:pPr>
              <w:jc w:val="center"/>
            </w:pPr>
            <w:r>
              <w:t>2</w:t>
            </w:r>
          </w:p>
        </w:tc>
        <w:tc>
          <w:tcPr>
            <w:tcW w:w="3515" w:type="dxa"/>
          </w:tcPr>
          <w:p w:rsidR="002314B6" w:rsidRDefault="002314B6" w:rsidP="00911D57">
            <w:pPr>
              <w:jc w:val="both"/>
            </w:pPr>
            <w:r>
              <w:t>Lobe frontal</w:t>
            </w:r>
          </w:p>
        </w:tc>
        <w:tc>
          <w:tcPr>
            <w:tcW w:w="875" w:type="dxa"/>
          </w:tcPr>
          <w:p w:rsidR="002314B6" w:rsidRDefault="002314B6" w:rsidP="002314B6">
            <w:pPr>
              <w:jc w:val="center"/>
            </w:pPr>
            <w:r>
              <w:t>11</w:t>
            </w:r>
          </w:p>
        </w:tc>
      </w:tr>
      <w:tr w:rsidR="002314B6" w:rsidTr="002314B6">
        <w:tc>
          <w:tcPr>
            <w:tcW w:w="3510" w:type="dxa"/>
          </w:tcPr>
          <w:p w:rsidR="002314B6" w:rsidRDefault="002314B6" w:rsidP="00911D57">
            <w:pPr>
              <w:jc w:val="both"/>
            </w:pPr>
            <w:r>
              <w:t>Pont</w:t>
            </w:r>
          </w:p>
        </w:tc>
        <w:tc>
          <w:tcPr>
            <w:tcW w:w="880" w:type="dxa"/>
          </w:tcPr>
          <w:p w:rsidR="002314B6" w:rsidRDefault="002314B6" w:rsidP="002314B6">
            <w:pPr>
              <w:jc w:val="center"/>
            </w:pPr>
            <w:r>
              <w:t>6</w:t>
            </w:r>
          </w:p>
        </w:tc>
        <w:tc>
          <w:tcPr>
            <w:tcW w:w="3515" w:type="dxa"/>
          </w:tcPr>
          <w:p w:rsidR="002314B6" w:rsidRDefault="002314B6" w:rsidP="00911D57">
            <w:pPr>
              <w:jc w:val="both"/>
            </w:pPr>
            <w:r>
              <w:t>3</w:t>
            </w:r>
            <w:r w:rsidRPr="002314B6">
              <w:rPr>
                <w:vertAlign w:val="superscript"/>
              </w:rPr>
              <w:t>e</w:t>
            </w:r>
            <w:r>
              <w:t xml:space="preserve"> ventricule</w:t>
            </w:r>
          </w:p>
        </w:tc>
        <w:tc>
          <w:tcPr>
            <w:tcW w:w="875" w:type="dxa"/>
          </w:tcPr>
          <w:p w:rsidR="002314B6" w:rsidRDefault="002314B6" w:rsidP="002314B6">
            <w:pPr>
              <w:jc w:val="center"/>
            </w:pPr>
            <w:r>
              <w:t>7</w:t>
            </w:r>
          </w:p>
        </w:tc>
      </w:tr>
      <w:tr w:rsidR="002314B6" w:rsidTr="002314B6">
        <w:tc>
          <w:tcPr>
            <w:tcW w:w="3510" w:type="dxa"/>
          </w:tcPr>
          <w:p w:rsidR="002314B6" w:rsidRDefault="002314B6" w:rsidP="00911D57">
            <w:pPr>
              <w:jc w:val="both"/>
            </w:pPr>
            <w:r>
              <w:t>Bulbe rachidien</w:t>
            </w:r>
          </w:p>
        </w:tc>
        <w:tc>
          <w:tcPr>
            <w:tcW w:w="880" w:type="dxa"/>
          </w:tcPr>
          <w:p w:rsidR="002314B6" w:rsidRDefault="002314B6" w:rsidP="002314B6">
            <w:pPr>
              <w:jc w:val="center"/>
            </w:pPr>
            <w:r>
              <w:t>10</w:t>
            </w:r>
          </w:p>
        </w:tc>
        <w:tc>
          <w:tcPr>
            <w:tcW w:w="3515" w:type="dxa"/>
          </w:tcPr>
          <w:p w:rsidR="002314B6" w:rsidRDefault="002314B6" w:rsidP="00911D57">
            <w:pPr>
              <w:jc w:val="both"/>
            </w:pPr>
            <w:r>
              <w:t>Moelle épinière</w:t>
            </w:r>
          </w:p>
        </w:tc>
        <w:tc>
          <w:tcPr>
            <w:tcW w:w="875" w:type="dxa"/>
          </w:tcPr>
          <w:p w:rsidR="002314B6" w:rsidRDefault="002314B6" w:rsidP="002314B6">
            <w:pPr>
              <w:jc w:val="center"/>
            </w:pPr>
            <w:r>
              <w:t>4</w:t>
            </w:r>
          </w:p>
        </w:tc>
      </w:tr>
      <w:tr w:rsidR="002314B6" w:rsidTr="002314B6">
        <w:tc>
          <w:tcPr>
            <w:tcW w:w="3510" w:type="dxa"/>
          </w:tcPr>
          <w:p w:rsidR="002314B6" w:rsidRDefault="002314B6" w:rsidP="00911D57">
            <w:pPr>
              <w:jc w:val="both"/>
            </w:pPr>
            <w:r>
              <w:t>Arbre de vie</w:t>
            </w:r>
          </w:p>
        </w:tc>
        <w:tc>
          <w:tcPr>
            <w:tcW w:w="880" w:type="dxa"/>
          </w:tcPr>
          <w:p w:rsidR="002314B6" w:rsidRDefault="002314B6" w:rsidP="002314B6">
            <w:pPr>
              <w:jc w:val="center"/>
            </w:pPr>
            <w:r>
              <w:t>9</w:t>
            </w:r>
          </w:p>
        </w:tc>
        <w:tc>
          <w:tcPr>
            <w:tcW w:w="3515" w:type="dxa"/>
          </w:tcPr>
          <w:p w:rsidR="002314B6" w:rsidRDefault="002314B6" w:rsidP="00911D57">
            <w:pPr>
              <w:jc w:val="both"/>
            </w:pPr>
            <w:r>
              <w:t>Chiasma optique</w:t>
            </w:r>
          </w:p>
        </w:tc>
        <w:tc>
          <w:tcPr>
            <w:tcW w:w="875" w:type="dxa"/>
          </w:tcPr>
          <w:p w:rsidR="002314B6" w:rsidRDefault="002314B6" w:rsidP="002314B6">
            <w:pPr>
              <w:jc w:val="center"/>
            </w:pPr>
            <w:r>
              <w:t>8</w:t>
            </w:r>
          </w:p>
        </w:tc>
      </w:tr>
      <w:tr w:rsidR="002314B6" w:rsidTr="002314B6">
        <w:tc>
          <w:tcPr>
            <w:tcW w:w="3510" w:type="dxa"/>
          </w:tcPr>
          <w:p w:rsidR="002314B6" w:rsidRDefault="002314B6" w:rsidP="00911D57">
            <w:pPr>
              <w:jc w:val="both"/>
            </w:pPr>
            <w:r>
              <w:t>Épiphyse</w:t>
            </w:r>
          </w:p>
        </w:tc>
        <w:tc>
          <w:tcPr>
            <w:tcW w:w="880" w:type="dxa"/>
          </w:tcPr>
          <w:p w:rsidR="002314B6" w:rsidRDefault="002314B6" w:rsidP="002314B6">
            <w:pPr>
              <w:jc w:val="center"/>
            </w:pPr>
            <w:r>
              <w:t>1</w:t>
            </w:r>
          </w:p>
        </w:tc>
        <w:tc>
          <w:tcPr>
            <w:tcW w:w="3515" w:type="dxa"/>
          </w:tcPr>
          <w:p w:rsidR="002314B6" w:rsidRDefault="002314B6" w:rsidP="00911D57">
            <w:pPr>
              <w:jc w:val="both"/>
            </w:pPr>
            <w:r>
              <w:t>Hypothalamus</w:t>
            </w:r>
          </w:p>
        </w:tc>
        <w:tc>
          <w:tcPr>
            <w:tcW w:w="875" w:type="dxa"/>
          </w:tcPr>
          <w:p w:rsidR="002314B6" w:rsidRDefault="002314B6" w:rsidP="002314B6">
            <w:pPr>
              <w:jc w:val="center"/>
            </w:pPr>
            <w:r>
              <w:t>12</w:t>
            </w:r>
          </w:p>
        </w:tc>
      </w:tr>
      <w:tr w:rsidR="002314B6" w:rsidTr="002314B6">
        <w:tc>
          <w:tcPr>
            <w:tcW w:w="3510" w:type="dxa"/>
          </w:tcPr>
          <w:p w:rsidR="002314B6" w:rsidRDefault="002314B6" w:rsidP="00911D57">
            <w:pPr>
              <w:jc w:val="both"/>
            </w:pPr>
            <w:r>
              <w:t>Hypophyse</w:t>
            </w:r>
          </w:p>
        </w:tc>
        <w:tc>
          <w:tcPr>
            <w:tcW w:w="880" w:type="dxa"/>
          </w:tcPr>
          <w:p w:rsidR="002314B6" w:rsidRDefault="002314B6" w:rsidP="002314B6">
            <w:pPr>
              <w:jc w:val="center"/>
            </w:pPr>
            <w:r>
              <w:t>13</w:t>
            </w:r>
          </w:p>
        </w:tc>
        <w:tc>
          <w:tcPr>
            <w:tcW w:w="3515" w:type="dxa"/>
          </w:tcPr>
          <w:p w:rsidR="002314B6" w:rsidRDefault="002314B6" w:rsidP="00911D57">
            <w:pPr>
              <w:jc w:val="both"/>
            </w:pPr>
            <w:r>
              <w:t>Hémisphère droit</w:t>
            </w:r>
          </w:p>
        </w:tc>
        <w:tc>
          <w:tcPr>
            <w:tcW w:w="875" w:type="dxa"/>
          </w:tcPr>
          <w:p w:rsidR="002314B6" w:rsidRDefault="002314B6" w:rsidP="002314B6">
            <w:pPr>
              <w:jc w:val="center"/>
            </w:pPr>
            <w:r>
              <w:t>14</w:t>
            </w:r>
          </w:p>
        </w:tc>
      </w:tr>
    </w:tbl>
    <w:p w:rsidR="00B106D7" w:rsidRDefault="00B106D7" w:rsidP="00911D57">
      <w:pPr>
        <w:jc w:val="both"/>
      </w:pPr>
    </w:p>
    <w:p w:rsidR="00B106D7" w:rsidRPr="000F7703" w:rsidRDefault="00B106D7" w:rsidP="00911D57">
      <w:pPr>
        <w:jc w:val="both"/>
        <w:rPr>
          <w:b/>
        </w:rPr>
      </w:pPr>
      <w:r w:rsidRPr="000F7703">
        <w:rPr>
          <w:b/>
        </w:rPr>
        <w:t>2- Observez les modèles du cerveau humain. Quelles différences voyez-vous entre l’encéphale de mouton et l’encéphale humain?</w:t>
      </w:r>
    </w:p>
    <w:p w:rsidR="00B106D7" w:rsidRDefault="000F7703" w:rsidP="00911D57">
      <w:pPr>
        <w:jc w:val="both"/>
      </w:pPr>
      <w:r>
        <w:t>Bien évidemment, l’encéphale d’</w:t>
      </w:r>
      <w:r w:rsidR="00D201F8">
        <w:t>humain est plus gros que celui</w:t>
      </w:r>
      <w:r>
        <w:t xml:space="preserve"> du mouton</w:t>
      </w:r>
      <w:r w:rsidR="00D201F8">
        <w:t>, mais il est également plus replié sur lui</w:t>
      </w:r>
      <w:r>
        <w:t>-même, tandis que l’encéphale de mouton est plus a</w:t>
      </w:r>
      <w:r w:rsidR="00D201F8">
        <w:t>llongé</w:t>
      </w:r>
      <w:r>
        <w:t xml:space="preserve">. De plus, la surface </w:t>
      </w:r>
      <w:r w:rsidR="00D201F8">
        <w:t>occupée par le cerveau par rapport à tout l’encéphale est plus grande chez l’humain. Nous croyons aussi que la moelle épinière n’est pas située exactement au même endroit, étant dans le prolongement du tronc cérébral chez le mouton.</w:t>
      </w:r>
    </w:p>
    <w:p w:rsidR="00B106D7" w:rsidRPr="000F7703" w:rsidRDefault="00B106D7" w:rsidP="00911D57">
      <w:pPr>
        <w:jc w:val="both"/>
        <w:rPr>
          <w:b/>
        </w:rPr>
      </w:pPr>
      <w:r w:rsidRPr="000F7703">
        <w:rPr>
          <w:b/>
        </w:rPr>
        <w:t>3- Quelle est la différence fonctionnelle entre l’aire visuelle primaire et l’aire visuelle associative?</w:t>
      </w:r>
    </w:p>
    <w:p w:rsidR="00B106D7" w:rsidRDefault="00667601" w:rsidP="00911D57">
      <w:pPr>
        <w:jc w:val="both"/>
      </w:pPr>
      <w:r>
        <w:t>L’aire visuelle primaire voit directement l’image captée par la rétine et la traite de façon simple. Elle voit simplement des lignes et des couleurs par exemple. L’aire visuelle associative, elle, combine ces éléments pour les associer à des objets ayant des formes, des couleurs et des mouvements précis.</w:t>
      </w:r>
    </w:p>
    <w:p w:rsidR="00BD665D" w:rsidRDefault="00BD665D" w:rsidP="00911D57">
      <w:pPr>
        <w:jc w:val="both"/>
      </w:pPr>
    </w:p>
    <w:p w:rsidR="00B106D7" w:rsidRPr="000F7703" w:rsidRDefault="00B106D7" w:rsidP="00911D57">
      <w:pPr>
        <w:jc w:val="both"/>
        <w:rPr>
          <w:b/>
        </w:rPr>
      </w:pPr>
      <w:r w:rsidRPr="000F7703">
        <w:rPr>
          <w:b/>
        </w:rPr>
        <w:lastRenderedPageBreak/>
        <w:t>4- Déterminez quelles couches de méninges vous avez sur votre spécimen à l’aide de l’image.</w:t>
      </w:r>
    </w:p>
    <w:p w:rsidR="00B106D7" w:rsidRDefault="000F7703" w:rsidP="00911D57">
      <w:pPr>
        <w:jc w:val="both"/>
      </w:pPr>
      <w:r>
        <w:t>Notre spécimen était recouvert des couches nommées la pie-mère et l’arachnoïde.</w:t>
      </w:r>
    </w:p>
    <w:p w:rsidR="00B106D7" w:rsidRDefault="00B106D7" w:rsidP="00911D57">
      <w:pPr>
        <w:jc w:val="both"/>
        <w:rPr>
          <w:b/>
        </w:rPr>
      </w:pPr>
      <w:r w:rsidRPr="000F7703">
        <w:rPr>
          <w:b/>
        </w:rPr>
        <w:t xml:space="preserve">5- </w:t>
      </w:r>
      <w:r w:rsidR="000E7994" w:rsidRPr="000F7703">
        <w:rPr>
          <w:b/>
        </w:rPr>
        <w:t>Comment avez-vous trouvé cette expérience? Qu’est-ce qui vous as marqué, surpris ou étonné?</w:t>
      </w:r>
    </w:p>
    <w:p w:rsidR="001D794C" w:rsidRPr="001D794C" w:rsidRDefault="001D794C" w:rsidP="00911D57">
      <w:pPr>
        <w:jc w:val="both"/>
      </w:pPr>
      <w:r>
        <w:t xml:space="preserve">Nous avons trouvé cette expérience intéressante et à la fois repoussante. Nous étions surprises de la texture que l’encéphale avait et des ressemblances avec la viande que nous mangeons. Nous avons été </w:t>
      </w:r>
      <w:r w:rsidR="00C46A68">
        <w:t>étonnées</w:t>
      </w:r>
      <w:bookmarkStart w:id="0" w:name="_GoBack"/>
      <w:bookmarkEnd w:id="0"/>
      <w:r>
        <w:t xml:space="preserve"> par la ressemblance avec le cerveau humain malgré le fait que les moutons ne sont pas dotés</w:t>
      </w:r>
      <w:r w:rsidR="00C46A68">
        <w:t xml:space="preserve"> d’une intelligence aussi grande que celle des hommes.</w:t>
      </w:r>
    </w:p>
    <w:sectPr w:rsidR="001D794C" w:rsidRPr="001D794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01"/>
    <w:rsid w:val="00033F2B"/>
    <w:rsid w:val="000E7994"/>
    <w:rsid w:val="000F7703"/>
    <w:rsid w:val="001D794C"/>
    <w:rsid w:val="002314B6"/>
    <w:rsid w:val="00424E11"/>
    <w:rsid w:val="0057597C"/>
    <w:rsid w:val="005B6FAC"/>
    <w:rsid w:val="00667601"/>
    <w:rsid w:val="00911D57"/>
    <w:rsid w:val="009D5A01"/>
    <w:rsid w:val="00B106D7"/>
    <w:rsid w:val="00BD665D"/>
    <w:rsid w:val="00C46A68"/>
    <w:rsid w:val="00D201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3F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F2B"/>
    <w:rPr>
      <w:rFonts w:ascii="Tahoma" w:hAnsi="Tahoma" w:cs="Tahoma"/>
      <w:sz w:val="16"/>
      <w:szCs w:val="16"/>
    </w:rPr>
  </w:style>
  <w:style w:type="table" w:styleId="Grilledutableau">
    <w:name w:val="Table Grid"/>
    <w:basedOn w:val="TableauNormal"/>
    <w:uiPriority w:val="59"/>
    <w:rsid w:val="00231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3F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F2B"/>
    <w:rPr>
      <w:rFonts w:ascii="Tahoma" w:hAnsi="Tahoma" w:cs="Tahoma"/>
      <w:sz w:val="16"/>
      <w:szCs w:val="16"/>
    </w:rPr>
  </w:style>
  <w:style w:type="table" w:styleId="Grilledutableau">
    <w:name w:val="Table Grid"/>
    <w:basedOn w:val="TableauNormal"/>
    <w:uiPriority w:val="59"/>
    <w:rsid w:val="00231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dc:creator>
  <cp:keywords/>
  <dc:description/>
  <cp:lastModifiedBy>Emmanuelle</cp:lastModifiedBy>
  <cp:revision>11</cp:revision>
  <dcterms:created xsi:type="dcterms:W3CDTF">2014-04-03T01:12:00Z</dcterms:created>
  <dcterms:modified xsi:type="dcterms:W3CDTF">2014-04-03T02:04:00Z</dcterms:modified>
</cp:coreProperties>
</file>