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352C" w:rsidRDefault="0041352C" w:rsidP="0041352C">
      <w:pPr>
        <w:spacing w:after="0"/>
        <w:jc w:val="center"/>
        <w:rPr>
          <w:b/>
          <w:u w:val="single"/>
        </w:rPr>
      </w:pPr>
      <w:r>
        <w:rPr>
          <w:b/>
          <w:u w:val="single"/>
        </w:rPr>
        <w:t xml:space="preserve">Cours 4_Neisseria : virulence et </w:t>
      </w:r>
      <w:proofErr w:type="spellStart"/>
      <w:r>
        <w:rPr>
          <w:b/>
          <w:u w:val="single"/>
        </w:rPr>
        <w:t>hypervariabilité</w:t>
      </w:r>
      <w:proofErr w:type="spellEnd"/>
      <w:r>
        <w:rPr>
          <w:b/>
          <w:u w:val="single"/>
        </w:rPr>
        <w:t xml:space="preserve"> du génome.</w:t>
      </w:r>
    </w:p>
    <w:p w:rsidR="0041352C" w:rsidRDefault="0041352C" w:rsidP="0041352C">
      <w:pPr>
        <w:spacing w:after="0"/>
        <w:jc w:val="center"/>
        <w:rPr>
          <w:b/>
          <w:u w:val="single"/>
        </w:rPr>
      </w:pPr>
    </w:p>
    <w:p w:rsidR="0041352C" w:rsidRDefault="0041352C" w:rsidP="0041352C">
      <w:pPr>
        <w:spacing w:after="0"/>
        <w:jc w:val="both"/>
      </w:pPr>
      <w:r>
        <w:t>-Méningite « infection des méninges, enveloppes entourant le cerveau ».</w:t>
      </w:r>
    </w:p>
    <w:p w:rsidR="00571D27" w:rsidRPr="0041352C" w:rsidRDefault="0041352C" w:rsidP="0041352C">
      <w:pPr>
        <w:spacing w:after="0"/>
        <w:jc w:val="both"/>
      </w:pPr>
      <w:r>
        <w:t>-Peut être d’origine vir</w:t>
      </w:r>
      <w:r w:rsidRPr="0041352C">
        <w:t>ale, fongique (</w:t>
      </w:r>
      <w:proofErr w:type="spellStart"/>
      <w:r w:rsidRPr="0041352C">
        <w:t>cryptococcus</w:t>
      </w:r>
      <w:proofErr w:type="spellEnd"/>
      <w:r w:rsidRPr="0041352C">
        <w:t xml:space="preserve"> </w:t>
      </w:r>
      <w:proofErr w:type="spellStart"/>
      <w:r w:rsidRPr="0041352C">
        <w:t>neoformans</w:t>
      </w:r>
      <w:proofErr w:type="spellEnd"/>
      <w:r w:rsidRPr="0041352C">
        <w:t xml:space="preserve">) ou bactérienne. </w:t>
      </w:r>
    </w:p>
    <w:p w:rsidR="0041352C" w:rsidRDefault="0041352C" w:rsidP="0041352C">
      <w:pPr>
        <w:spacing w:after="0"/>
        <w:jc w:val="both"/>
      </w:pPr>
      <w:r w:rsidRPr="0041352C">
        <w:t>-</w:t>
      </w:r>
      <w:proofErr w:type="spellStart"/>
      <w:r w:rsidRPr="0041352C">
        <w:t>Neisseria</w:t>
      </w:r>
      <w:proofErr w:type="spellEnd"/>
      <w:r w:rsidRPr="0041352C">
        <w:t xml:space="preserve"> est la seule</w:t>
      </w:r>
      <w:r>
        <w:t xml:space="preserve"> bactérie pouvant causer des épidémies. Son unique réservoir naturel est le </w:t>
      </w:r>
      <w:proofErr w:type="spellStart"/>
      <w:r>
        <w:t>nasopharynx</w:t>
      </w:r>
      <w:proofErr w:type="spellEnd"/>
      <w:r>
        <w:t xml:space="preserve"> humain. 10 à 35% des individus sont porteurs sains.</w:t>
      </w:r>
    </w:p>
    <w:p w:rsidR="0041352C" w:rsidRDefault="0041352C" w:rsidP="0041352C">
      <w:pPr>
        <w:spacing w:after="0"/>
        <w:jc w:val="both"/>
      </w:pPr>
      <w:r>
        <w:t xml:space="preserve">-Après colonisation de la muqueuse du </w:t>
      </w:r>
      <w:proofErr w:type="spellStart"/>
      <w:r>
        <w:t>nasopharynx</w:t>
      </w:r>
      <w:proofErr w:type="spellEnd"/>
      <w:r>
        <w:t xml:space="preserve">, passage possible (rare) dans la circulation sanguine… </w:t>
      </w:r>
      <w:r>
        <w:sym w:font="Wingdings" w:char="F0E0"/>
      </w:r>
      <w:r>
        <w:t xml:space="preserve"> </w:t>
      </w:r>
      <w:proofErr w:type="spellStart"/>
      <w:r>
        <w:t>méningococcémie</w:t>
      </w:r>
      <w:proofErr w:type="spellEnd"/>
      <w:r>
        <w:t xml:space="preserve"> aiguë associée à un purpura cutanée vasculaire extensif.</w:t>
      </w:r>
    </w:p>
    <w:p w:rsidR="0041352C" w:rsidRDefault="0041352C" w:rsidP="0041352C">
      <w:pPr>
        <w:spacing w:after="0"/>
        <w:jc w:val="both"/>
      </w:pPr>
      <w:r>
        <w:t>-… puis interaction avec des composants de la barrière sang-cerveau : franchissement vers le liquide céphalorachidien.</w:t>
      </w:r>
      <w:r w:rsidR="00C67F8E">
        <w:t xml:space="preserve"> </w:t>
      </w:r>
      <w:r w:rsidR="00C67F8E">
        <w:sym w:font="Wingdings" w:char="F0E0"/>
      </w:r>
      <w:r w:rsidR="00C67F8E">
        <w:t>Méningite</w:t>
      </w:r>
    </w:p>
    <w:p w:rsidR="0041352C" w:rsidRDefault="0041352C" w:rsidP="0041352C">
      <w:pPr>
        <w:spacing w:after="0"/>
        <w:jc w:val="both"/>
      </w:pPr>
    </w:p>
    <w:p w:rsidR="00C67F8E" w:rsidRDefault="00C67F8E" w:rsidP="0041352C">
      <w:pPr>
        <w:spacing w:after="0"/>
        <w:jc w:val="both"/>
      </w:pPr>
      <w:r>
        <w:t xml:space="preserve">-Méningite à méningocoques : </w:t>
      </w:r>
      <w:proofErr w:type="spellStart"/>
      <w:r>
        <w:t>cf</w:t>
      </w:r>
      <w:proofErr w:type="spellEnd"/>
      <w:r>
        <w:t xml:space="preserve"> diapo.</w:t>
      </w:r>
    </w:p>
    <w:p w:rsidR="00C67F8E" w:rsidRDefault="00C67F8E" w:rsidP="0041352C">
      <w:pPr>
        <w:spacing w:after="0"/>
        <w:jc w:val="both"/>
      </w:pPr>
      <w:r>
        <w:t>-La souche W135 fait partie des souches avec une tendance à émerger. En France on est toujours par C, B et W135</w:t>
      </w:r>
    </w:p>
    <w:p w:rsidR="00C67F8E" w:rsidRDefault="00C67F8E" w:rsidP="0041352C">
      <w:pPr>
        <w:spacing w:after="0"/>
        <w:jc w:val="both"/>
      </w:pPr>
      <w:r>
        <w:t>-Il existe des régions qui sont épargnées par ce germe. Pourquoi ? Peut-être selon la susceptibilité de l’hôte.</w:t>
      </w:r>
    </w:p>
    <w:p w:rsidR="00C67F8E" w:rsidRDefault="00C67F8E" w:rsidP="0041352C">
      <w:pPr>
        <w:spacing w:after="0"/>
        <w:jc w:val="both"/>
      </w:pPr>
      <w:r>
        <w:t xml:space="preserve">-Symptômes : fièvre, maux de tête violent, vomissements, raideur de la nuque, léthargie, troubles de la conscience, photophobie. On peut avoir des tâches </w:t>
      </w:r>
      <w:proofErr w:type="spellStart"/>
      <w:r>
        <w:t>purpuriques</w:t>
      </w:r>
      <w:proofErr w:type="spellEnd"/>
      <w:r>
        <w:t xml:space="preserve"> sur la peau s’étendant progressivement (Purpura </w:t>
      </w:r>
      <w:proofErr w:type="spellStart"/>
      <w:r>
        <w:t>fulminans</w:t>
      </w:r>
      <w:proofErr w:type="spellEnd"/>
      <w:r>
        <w:t xml:space="preserve"> extensif).</w:t>
      </w:r>
      <w:r w:rsidR="00676CDD">
        <w:t xml:space="preserve"> </w:t>
      </w:r>
    </w:p>
    <w:p w:rsidR="00676CDD" w:rsidRDefault="00676CDD" w:rsidP="0041352C">
      <w:pPr>
        <w:spacing w:after="0"/>
        <w:jc w:val="both"/>
      </w:pPr>
      <w:r>
        <w:sym w:font="Wingdings" w:char="F0E0"/>
      </w:r>
      <w:r>
        <w:t xml:space="preserve"> Hospitalisation et traitement aux antibiotiques.</w:t>
      </w:r>
    </w:p>
    <w:p w:rsidR="00676CDD" w:rsidRDefault="00676CDD" w:rsidP="0041352C">
      <w:pPr>
        <w:spacing w:after="0"/>
        <w:jc w:val="both"/>
      </w:pPr>
      <w:r>
        <w:t xml:space="preserve">-Si on est au stade purpura, on a 42,7% de </w:t>
      </w:r>
      <w:proofErr w:type="spellStart"/>
      <w:r>
        <w:t>mortalite</w:t>
      </w:r>
      <w:proofErr w:type="spellEnd"/>
      <w:r>
        <w:t xml:space="preserve"> chez les jeunes enfants et 63,2% dans le cas de W135.</w:t>
      </w:r>
    </w:p>
    <w:p w:rsidR="00676CDD" w:rsidRDefault="00676CDD" w:rsidP="0041352C">
      <w:pPr>
        <w:spacing w:after="0"/>
        <w:jc w:val="both"/>
      </w:pPr>
      <w:r>
        <w:t>-Traitement et vaccins : Pénicilline G et céphalosporines de 3° génération (</w:t>
      </w:r>
      <w:proofErr w:type="spellStart"/>
      <w:r>
        <w:t>cefotaxime</w:t>
      </w:r>
      <w:proofErr w:type="spellEnd"/>
      <w:r>
        <w:t xml:space="preserve">, </w:t>
      </w:r>
      <w:proofErr w:type="spellStart"/>
      <w:r>
        <w:t>ceftriaxone</w:t>
      </w:r>
      <w:proofErr w:type="spellEnd"/>
      <w:r>
        <w:t>).</w:t>
      </w:r>
    </w:p>
    <w:p w:rsidR="00676CDD" w:rsidRDefault="00676CDD" w:rsidP="0041352C">
      <w:pPr>
        <w:spacing w:after="0"/>
        <w:jc w:val="both"/>
      </w:pPr>
      <w:r>
        <w:t xml:space="preserve">On a des vaccins contre le </w:t>
      </w:r>
      <w:proofErr w:type="spellStart"/>
      <w:r>
        <w:t>sérogroupe</w:t>
      </w:r>
      <w:proofErr w:type="spellEnd"/>
      <w:r>
        <w:t xml:space="preserve"> A et C confère une immunité de 3ans. Conseillé pour des séjours en zones endémiques. Contre A</w:t>
      </w:r>
      <w:proofErr w:type="gramStart"/>
      <w:r>
        <w:t>,C</w:t>
      </w:r>
      <w:proofErr w:type="gramEnd"/>
      <w:r>
        <w:t xml:space="preserve">, Y et W135 obligatoire pour les </w:t>
      </w:r>
      <w:proofErr w:type="spellStart"/>
      <w:r>
        <w:t>pélerins</w:t>
      </w:r>
      <w:proofErr w:type="spellEnd"/>
      <w:r>
        <w:t xml:space="preserve"> de </w:t>
      </w:r>
      <w:proofErr w:type="spellStart"/>
      <w:r>
        <w:t>LaMecque</w:t>
      </w:r>
      <w:proofErr w:type="spellEnd"/>
      <w:r>
        <w:t xml:space="preserve"> depuis l’épidémie. Les vaccins sont basés sur les polysaccharides des capsules des différents </w:t>
      </w:r>
      <w:proofErr w:type="spellStart"/>
      <w:r>
        <w:t>sérogroupes</w:t>
      </w:r>
      <w:proofErr w:type="spellEnd"/>
      <w:r>
        <w:t>.</w:t>
      </w:r>
    </w:p>
    <w:p w:rsidR="00676CDD" w:rsidRDefault="00676CDD" w:rsidP="0041352C">
      <w:pPr>
        <w:spacing w:after="0"/>
        <w:jc w:val="both"/>
      </w:pPr>
    </w:p>
    <w:p w:rsidR="00676CDD" w:rsidRDefault="00676CDD" w:rsidP="0041352C">
      <w:pPr>
        <w:spacing w:after="0"/>
        <w:jc w:val="both"/>
        <w:rPr>
          <w:u w:val="single"/>
        </w:rPr>
      </w:pPr>
      <w:r>
        <w:rPr>
          <w:u w:val="single"/>
        </w:rPr>
        <w:t>Facteurs de virulence :</w:t>
      </w:r>
    </w:p>
    <w:p w:rsidR="00676CDD" w:rsidRDefault="00676CDD" w:rsidP="0041352C">
      <w:pPr>
        <w:spacing w:after="0"/>
        <w:jc w:val="both"/>
      </w:pPr>
      <w:r>
        <w:t xml:space="preserve">-Importance primordiale de la capsule : protection lors de la dissémination dans l’air. Il peut </w:t>
      </w:r>
      <w:r w:rsidR="00C70C86">
        <w:t>exister</w:t>
      </w:r>
      <w:r>
        <w:t xml:space="preserve"> des forme</w:t>
      </w:r>
      <w:r w:rsidR="00C70C86">
        <w:t>s</w:t>
      </w:r>
      <w:r>
        <w:t xml:space="preserve"> non capsulée une fois dans le tractus respiratoire, mais les infections sont </w:t>
      </w:r>
      <w:proofErr w:type="spellStart"/>
      <w:r>
        <w:t>souvnet</w:t>
      </w:r>
      <w:proofErr w:type="spellEnd"/>
      <w:r>
        <w:t xml:space="preserve"> causées par des formes capsulées. </w:t>
      </w:r>
    </w:p>
    <w:p w:rsidR="00676CDD" w:rsidRDefault="00676CDD" w:rsidP="0041352C">
      <w:pPr>
        <w:spacing w:after="0"/>
        <w:jc w:val="both"/>
      </w:pPr>
      <w:r>
        <w:t>-Polysaccharides de la capsule et LPS associés à l’</w:t>
      </w:r>
      <w:proofErr w:type="spellStart"/>
      <w:r>
        <w:t>ac.sialique</w:t>
      </w:r>
      <w:proofErr w:type="spellEnd"/>
      <w:r>
        <w:t>. NB : Acide sialique = acide N-</w:t>
      </w:r>
      <w:proofErr w:type="spellStart"/>
      <w:r>
        <w:t>acétylneuraminique</w:t>
      </w:r>
      <w:proofErr w:type="spellEnd"/>
      <w:r>
        <w:t xml:space="preserve"> rappel dépôt du C3b inhibé sur les cellules de l’hôte notamment par l’acide sialique.</w:t>
      </w:r>
    </w:p>
    <w:p w:rsidR="00AF38D7" w:rsidRDefault="00AF38D7" w:rsidP="0041352C">
      <w:pPr>
        <w:spacing w:after="0"/>
        <w:jc w:val="both"/>
      </w:pPr>
      <w:r>
        <w:t>-Particularité : cette bactérie aime autant le lactate que le glucose. Le lactate est un nutriment qu’elle retrouve facilement là où elle se développe. En plus l’utilisation du lactate fait que la production d’acide sialique sera plus rapide à partir du lactate qu’à partir du glucose.</w:t>
      </w:r>
    </w:p>
    <w:p w:rsidR="00C70C86" w:rsidRDefault="00C70C86" w:rsidP="0041352C">
      <w:pPr>
        <w:spacing w:after="0"/>
        <w:jc w:val="both"/>
      </w:pPr>
      <w:r>
        <w:t>-les souches mutées dans le transport du lactate sont sensibles au complément.</w:t>
      </w:r>
    </w:p>
    <w:p w:rsidR="00C70C86" w:rsidRDefault="00C70C86" w:rsidP="0041352C">
      <w:pPr>
        <w:spacing w:after="0"/>
        <w:jc w:val="both"/>
      </w:pPr>
      <w:r>
        <w:t>-Protéines d’échappement au système immunitaire (=</w:t>
      </w:r>
      <w:proofErr w:type="spellStart"/>
      <w:r>
        <w:t>évasines</w:t>
      </w:r>
      <w:proofErr w:type="spellEnd"/>
      <w:r>
        <w:t xml:space="preserve">) fixant des inhibiteurs du complément </w:t>
      </w:r>
      <w:r>
        <w:sym w:font="Wingdings" w:char="F0E0"/>
      </w:r>
      <w:r>
        <w:t xml:space="preserve"> résistance importante au complément. Il faut 25 à 50% de sérum dans le milieu de culture pour tuer en 1h </w:t>
      </w:r>
      <w:proofErr w:type="spellStart"/>
      <w:r>
        <w:t>Neisseria</w:t>
      </w:r>
      <w:proofErr w:type="spellEnd"/>
      <w:r>
        <w:t xml:space="preserve">. Contre 5% pour </w:t>
      </w:r>
      <w:proofErr w:type="spellStart"/>
      <w:r>
        <w:t>e.coli</w:t>
      </w:r>
      <w:proofErr w:type="spellEnd"/>
      <w:r>
        <w:t xml:space="preserve"> ou </w:t>
      </w:r>
      <w:proofErr w:type="spellStart"/>
      <w:r>
        <w:t>shigella</w:t>
      </w:r>
      <w:proofErr w:type="spellEnd"/>
      <w:r>
        <w:t>.</w:t>
      </w:r>
    </w:p>
    <w:p w:rsidR="00C70C86" w:rsidRDefault="00C70C86" w:rsidP="0041352C">
      <w:pPr>
        <w:spacing w:after="0"/>
        <w:jc w:val="both"/>
      </w:pPr>
    </w:p>
    <w:p w:rsidR="00C70C86" w:rsidRDefault="00C70C86" w:rsidP="0041352C">
      <w:pPr>
        <w:spacing w:after="0"/>
        <w:jc w:val="both"/>
      </w:pPr>
    </w:p>
    <w:p w:rsidR="00C70C86" w:rsidRPr="00C70C86" w:rsidRDefault="00C70C86" w:rsidP="0041352C">
      <w:pPr>
        <w:spacing w:after="0"/>
        <w:jc w:val="both"/>
        <w:rPr>
          <w:u w:val="single"/>
        </w:rPr>
      </w:pPr>
    </w:p>
    <w:p w:rsidR="00C70C86" w:rsidRPr="00C70C86" w:rsidRDefault="00C70C86" w:rsidP="0041352C">
      <w:pPr>
        <w:spacing w:after="0"/>
        <w:jc w:val="both"/>
        <w:rPr>
          <w:u w:val="single"/>
        </w:rPr>
      </w:pPr>
      <w:proofErr w:type="spellStart"/>
      <w:r w:rsidRPr="00C70C86">
        <w:rPr>
          <w:u w:val="single"/>
        </w:rPr>
        <w:lastRenderedPageBreak/>
        <w:t>Adhésines</w:t>
      </w:r>
      <w:proofErr w:type="spellEnd"/>
      <w:r w:rsidRPr="00C70C86">
        <w:rPr>
          <w:u w:val="single"/>
        </w:rPr>
        <w:t xml:space="preserve">, </w:t>
      </w:r>
      <w:proofErr w:type="spellStart"/>
      <w:r w:rsidRPr="00C70C86">
        <w:rPr>
          <w:u w:val="single"/>
        </w:rPr>
        <w:t>invasines</w:t>
      </w:r>
      <w:proofErr w:type="spellEnd"/>
    </w:p>
    <w:p w:rsidR="00C70C86" w:rsidRDefault="00C70C86" w:rsidP="0041352C">
      <w:pPr>
        <w:spacing w:after="0"/>
        <w:jc w:val="both"/>
      </w:pPr>
      <w:r>
        <w:t>-</w:t>
      </w:r>
      <w:proofErr w:type="spellStart"/>
      <w:r>
        <w:t>Adhésines</w:t>
      </w:r>
      <w:proofErr w:type="spellEnd"/>
      <w:r>
        <w:t xml:space="preserve"> majeurs : protéines Opa de la membrane externe qui se fixe sur les récepteurs de l’hôte soit </w:t>
      </w:r>
      <w:proofErr w:type="spellStart"/>
      <w:r>
        <w:t>HSPGs</w:t>
      </w:r>
      <w:proofErr w:type="spellEnd"/>
      <w:r>
        <w:t xml:space="preserve"> ou de la famille des CEACAM.</w:t>
      </w:r>
    </w:p>
    <w:p w:rsidR="00C70C86" w:rsidRDefault="00C70C86" w:rsidP="0041352C">
      <w:pPr>
        <w:spacing w:after="0"/>
        <w:jc w:val="both"/>
      </w:pPr>
      <w:r>
        <w:t xml:space="preserve">-Opa favorise l’adhésion, l’inhibition de la réponse innée par recrutement de tyrosine phosphatase SHP-1, 2. Mais évolution de l’hôte </w:t>
      </w:r>
      <w:r>
        <w:sym w:font="Wingdings" w:char="F0E0"/>
      </w:r>
      <w:r>
        <w:t xml:space="preserve"> acquisition de CEACAM3 = récepteur leurre présent sur les neutrophiles : fixation de </w:t>
      </w:r>
      <w:proofErr w:type="spellStart"/>
      <w:r>
        <w:t>neisseria</w:t>
      </w:r>
      <w:proofErr w:type="spellEnd"/>
      <w:r>
        <w:t xml:space="preserve"> sur CEACAM3 : =&gt; recrutement de la kinase </w:t>
      </w:r>
      <w:proofErr w:type="spellStart"/>
      <w:r>
        <w:t>Syk</w:t>
      </w:r>
      <w:proofErr w:type="spellEnd"/>
      <w:r>
        <w:t xml:space="preserve"> réorganisation de l’actine et dégradation efficace de </w:t>
      </w:r>
      <w:proofErr w:type="spellStart"/>
      <w:r>
        <w:t>Neisseria</w:t>
      </w:r>
      <w:proofErr w:type="spellEnd"/>
      <w:r>
        <w:t>.</w:t>
      </w:r>
    </w:p>
    <w:p w:rsidR="00C70C86" w:rsidRDefault="00C70C86" w:rsidP="0041352C">
      <w:pPr>
        <w:spacing w:after="0"/>
        <w:jc w:val="both"/>
      </w:pPr>
    </w:p>
    <w:p w:rsidR="00C70C86" w:rsidRDefault="00C70C86" w:rsidP="0041352C">
      <w:pPr>
        <w:spacing w:after="0"/>
        <w:jc w:val="both"/>
      </w:pPr>
      <w:r>
        <w:t>-</w:t>
      </w:r>
      <w:proofErr w:type="spellStart"/>
      <w:r>
        <w:rPr>
          <w:b/>
        </w:rPr>
        <w:t>Opc</w:t>
      </w:r>
      <w:proofErr w:type="spellEnd"/>
      <w:r>
        <w:t xml:space="preserve"> : </w:t>
      </w:r>
      <w:proofErr w:type="spellStart"/>
      <w:r>
        <w:t>adhésine</w:t>
      </w:r>
      <w:proofErr w:type="spellEnd"/>
      <w:r>
        <w:t xml:space="preserve"> potentiellement impliquée dans le franchissement de la barrière sang/cerveau.</w:t>
      </w:r>
    </w:p>
    <w:p w:rsidR="00C70C86" w:rsidRDefault="00C70C86" w:rsidP="0041352C">
      <w:pPr>
        <w:spacing w:after="0"/>
        <w:jc w:val="both"/>
      </w:pPr>
      <w:r>
        <w:tab/>
        <w:t>-</w:t>
      </w:r>
      <w:proofErr w:type="spellStart"/>
      <w:r>
        <w:t>Opc</w:t>
      </w:r>
      <w:proofErr w:type="spellEnd"/>
      <w:r>
        <w:t xml:space="preserve"> nécessaire à l’invasion in vitro de cellules </w:t>
      </w:r>
      <w:proofErr w:type="spellStart"/>
      <w:r>
        <w:t>épithélaiales</w:t>
      </w:r>
      <w:proofErr w:type="spellEnd"/>
      <w:r>
        <w:t xml:space="preserve"> de </w:t>
      </w:r>
      <w:proofErr w:type="spellStart"/>
      <w:r>
        <w:t>vaissaux</w:t>
      </w:r>
      <w:proofErr w:type="spellEnd"/>
      <w:r>
        <w:t xml:space="preserve"> du cerveau humain : permet l’ancrage à l’intégrine en présence de fibronectine. Activation de kinases</w:t>
      </w:r>
      <w:r w:rsidR="00F617A6">
        <w:t xml:space="preserve"> (PTK et MAPK)</w:t>
      </w:r>
      <w:r>
        <w:t xml:space="preserve"> </w:t>
      </w:r>
      <w:proofErr w:type="spellStart"/>
      <w:r>
        <w:t>et</w:t>
      </w:r>
      <w:proofErr w:type="spellEnd"/>
      <w:r>
        <w:t xml:space="preserve"> efficacité d’invasion bactérienne diminuée en présence d’inhibiteur de PTK et MAPK.</w:t>
      </w:r>
    </w:p>
    <w:p w:rsidR="00F617A6" w:rsidRDefault="00F617A6" w:rsidP="0041352C">
      <w:pPr>
        <w:spacing w:after="0"/>
        <w:jc w:val="both"/>
      </w:pPr>
    </w:p>
    <w:p w:rsidR="00F617A6" w:rsidRDefault="00F617A6" w:rsidP="0041352C">
      <w:pPr>
        <w:spacing w:after="0"/>
        <w:jc w:val="both"/>
      </w:pPr>
      <w:r>
        <w:t>-</w:t>
      </w:r>
      <w:proofErr w:type="spellStart"/>
      <w:r>
        <w:t>Adhésine</w:t>
      </w:r>
      <w:proofErr w:type="spellEnd"/>
      <w:r>
        <w:t xml:space="preserve"> mineures : (on peut les retrouver comme facteurs de virulence mais ne sont pas présente de façons systématique).</w:t>
      </w:r>
    </w:p>
    <w:p w:rsidR="00F617A6" w:rsidRDefault="00F617A6" w:rsidP="0041352C">
      <w:pPr>
        <w:spacing w:after="0"/>
        <w:jc w:val="both"/>
      </w:pPr>
      <w:r>
        <w:rPr>
          <w:b/>
        </w:rPr>
        <w:t>-</w:t>
      </w:r>
      <w:proofErr w:type="spellStart"/>
      <w:r>
        <w:rPr>
          <w:b/>
        </w:rPr>
        <w:t>NadA</w:t>
      </w:r>
      <w:proofErr w:type="spellEnd"/>
      <w:r>
        <w:t xml:space="preserve"> (</w:t>
      </w:r>
      <w:proofErr w:type="spellStart"/>
      <w:r>
        <w:t>neisseria</w:t>
      </w:r>
      <w:proofErr w:type="spellEnd"/>
      <w:r>
        <w:t xml:space="preserve"> </w:t>
      </w:r>
      <w:proofErr w:type="spellStart"/>
      <w:r>
        <w:t>adhesin</w:t>
      </w:r>
      <w:proofErr w:type="spellEnd"/>
      <w:r>
        <w:t xml:space="preserve"> A) </w:t>
      </w:r>
      <w:proofErr w:type="spellStart"/>
      <w:r>
        <w:t>adhésine</w:t>
      </w:r>
      <w:proofErr w:type="spellEnd"/>
      <w:r>
        <w:t xml:space="preserve"> présente chez 3 souches </w:t>
      </w:r>
      <w:proofErr w:type="spellStart"/>
      <w:r>
        <w:t>hypervirulentes</w:t>
      </w:r>
      <w:proofErr w:type="spellEnd"/>
      <w:r>
        <w:t xml:space="preserve"> sur 4. Récepteur inconnu mais permet la fixation aux cellules épithéliales via une interaction protéine-protéine.</w:t>
      </w:r>
    </w:p>
    <w:p w:rsidR="00F617A6" w:rsidRDefault="00F617A6" w:rsidP="0041352C">
      <w:pPr>
        <w:spacing w:after="0"/>
        <w:jc w:val="both"/>
      </w:pPr>
      <w:r>
        <w:t xml:space="preserve">Adhésion aux cellules épithéliales de souches </w:t>
      </w:r>
      <w:proofErr w:type="spellStart"/>
      <w:r>
        <w:t>E.coli</w:t>
      </w:r>
      <w:proofErr w:type="spellEnd"/>
      <w:r>
        <w:t xml:space="preserve"> exprimant différentes allèles de </w:t>
      </w:r>
      <w:proofErr w:type="spellStart"/>
      <w:r>
        <w:t>nadA</w:t>
      </w:r>
      <w:proofErr w:type="spellEnd"/>
      <w:r>
        <w:t xml:space="preserve"> </w:t>
      </w:r>
      <w:proofErr w:type="spellStart"/>
      <w:r>
        <w:t>plasmidiques</w:t>
      </w:r>
      <w:proofErr w:type="spellEnd"/>
      <w:r>
        <w:t>.</w:t>
      </w:r>
    </w:p>
    <w:p w:rsidR="00F617A6" w:rsidRDefault="00F617A6" w:rsidP="0041352C">
      <w:pPr>
        <w:spacing w:after="0"/>
        <w:jc w:val="both"/>
      </w:pPr>
      <w:r>
        <w:t>-</w:t>
      </w:r>
      <w:r>
        <w:rPr>
          <w:b/>
        </w:rPr>
        <w:t xml:space="preserve">App, </w:t>
      </w:r>
      <w:proofErr w:type="spellStart"/>
      <w:r>
        <w:rPr>
          <w:b/>
        </w:rPr>
        <w:t>MspA</w:t>
      </w:r>
      <w:proofErr w:type="spellEnd"/>
      <w:r>
        <w:rPr>
          <w:b/>
        </w:rPr>
        <w:t xml:space="preserve">, </w:t>
      </w:r>
      <w:proofErr w:type="spellStart"/>
      <w:r>
        <w:rPr>
          <w:b/>
        </w:rPr>
        <w:t>NhhA</w:t>
      </w:r>
      <w:proofErr w:type="spellEnd"/>
    </w:p>
    <w:p w:rsidR="00F617A6" w:rsidRDefault="00F617A6" w:rsidP="0041352C">
      <w:pPr>
        <w:spacing w:after="0"/>
        <w:jc w:val="both"/>
      </w:pPr>
    </w:p>
    <w:p w:rsidR="00F617A6" w:rsidRDefault="00F617A6" w:rsidP="0041352C">
      <w:pPr>
        <w:spacing w:after="0"/>
        <w:jc w:val="both"/>
      </w:pPr>
      <w:r>
        <w:t xml:space="preserve">-Protéines des </w:t>
      </w:r>
      <w:proofErr w:type="spellStart"/>
      <w:r>
        <w:t>pili</w:t>
      </w:r>
      <w:proofErr w:type="spellEnd"/>
      <w:r>
        <w:t xml:space="preserve"> de type IV</w:t>
      </w:r>
    </w:p>
    <w:p w:rsidR="00F617A6" w:rsidRDefault="00F617A6" w:rsidP="0041352C">
      <w:pPr>
        <w:spacing w:after="0"/>
        <w:jc w:val="both"/>
      </w:pPr>
      <w:r>
        <w:t>-Interaction avec un récepteur cellulaire (CD46 ou autre)</w:t>
      </w:r>
    </w:p>
    <w:p w:rsidR="00F617A6" w:rsidRDefault="00F617A6" w:rsidP="0041352C">
      <w:pPr>
        <w:spacing w:after="0"/>
        <w:jc w:val="both"/>
      </w:pPr>
      <w:r>
        <w:t>-</w:t>
      </w:r>
      <w:proofErr w:type="spellStart"/>
      <w:r>
        <w:t>cf</w:t>
      </w:r>
      <w:proofErr w:type="spellEnd"/>
      <w:r>
        <w:t xml:space="preserve"> diapo pour le reste.</w:t>
      </w:r>
    </w:p>
    <w:p w:rsidR="00F617A6" w:rsidRDefault="00F617A6" w:rsidP="0041352C">
      <w:pPr>
        <w:spacing w:after="0"/>
        <w:jc w:val="both"/>
      </w:pPr>
    </w:p>
    <w:p w:rsidR="00F617A6" w:rsidRPr="00F617A6" w:rsidRDefault="00F617A6" w:rsidP="0041352C">
      <w:pPr>
        <w:spacing w:after="0"/>
        <w:jc w:val="both"/>
        <w:rPr>
          <w:u w:val="single"/>
        </w:rPr>
      </w:pPr>
      <w:proofErr w:type="spellStart"/>
      <w:r w:rsidRPr="00F617A6">
        <w:rPr>
          <w:u w:val="single"/>
        </w:rPr>
        <w:t>Adhésines</w:t>
      </w:r>
      <w:proofErr w:type="spellEnd"/>
      <w:r w:rsidRPr="00F617A6">
        <w:rPr>
          <w:u w:val="single"/>
        </w:rPr>
        <w:t xml:space="preserve"> et franchissement de la barrière épithéliale du </w:t>
      </w:r>
      <w:proofErr w:type="spellStart"/>
      <w:r w:rsidRPr="00F617A6">
        <w:rPr>
          <w:u w:val="single"/>
        </w:rPr>
        <w:t>nasopharynx</w:t>
      </w:r>
      <w:proofErr w:type="spellEnd"/>
      <w:r w:rsidRPr="00F617A6">
        <w:rPr>
          <w:u w:val="single"/>
        </w:rPr>
        <w:t>.</w:t>
      </w:r>
    </w:p>
    <w:p w:rsidR="00C70C86" w:rsidRDefault="00F617A6" w:rsidP="0041352C">
      <w:pPr>
        <w:spacing w:after="0"/>
        <w:jc w:val="both"/>
      </w:pPr>
      <w:r>
        <w:t xml:space="preserve">-Utilisation d’un compétiteur </w:t>
      </w:r>
      <w:proofErr w:type="gramStart"/>
      <w:r>
        <w:t>de Opa</w:t>
      </w:r>
      <w:proofErr w:type="gramEnd"/>
      <w:r>
        <w:t xml:space="preserve"> : peptide rD-7 (dérivé de UspA1 de </w:t>
      </w:r>
      <w:proofErr w:type="spellStart"/>
      <w:r>
        <w:t>Moraxella</w:t>
      </w:r>
      <w:proofErr w:type="spellEnd"/>
      <w:r>
        <w:t xml:space="preserve"> </w:t>
      </w:r>
      <w:proofErr w:type="spellStart"/>
      <w:r>
        <w:t>catarrhalis</w:t>
      </w:r>
      <w:proofErr w:type="spellEnd"/>
      <w:r>
        <w:t xml:space="preserve"> se fixant également sur CEACAM1.</w:t>
      </w:r>
    </w:p>
    <w:p w:rsidR="00893D28" w:rsidRDefault="00893D28" w:rsidP="0041352C">
      <w:pPr>
        <w:spacing w:after="0"/>
        <w:jc w:val="both"/>
      </w:pPr>
      <w:r>
        <w:t xml:space="preserve">Remarque : autres rôles des </w:t>
      </w:r>
      <w:proofErr w:type="spellStart"/>
      <w:r>
        <w:t>pili</w:t>
      </w:r>
      <w:proofErr w:type="spellEnd"/>
      <w:r>
        <w:t xml:space="preserve"> de type IV de </w:t>
      </w:r>
      <w:proofErr w:type="spellStart"/>
      <w:r>
        <w:t>N.meningitidis</w:t>
      </w:r>
      <w:proofErr w:type="spellEnd"/>
      <w:r>
        <w:t xml:space="preserve">. Dans la </w:t>
      </w:r>
      <w:proofErr w:type="spellStart"/>
      <w:r>
        <w:t>twitching</w:t>
      </w:r>
      <w:proofErr w:type="spellEnd"/>
      <w:r>
        <w:t xml:space="preserve"> </w:t>
      </w:r>
      <w:proofErr w:type="spellStart"/>
      <w:r>
        <w:t>motility</w:t>
      </w:r>
      <w:proofErr w:type="spellEnd"/>
      <w:r>
        <w:t> : extension et rétractation (diapo.</w:t>
      </w:r>
    </w:p>
    <w:p w:rsidR="00893D28" w:rsidRDefault="00893D28" w:rsidP="0041352C">
      <w:pPr>
        <w:spacing w:after="0"/>
        <w:jc w:val="both"/>
      </w:pPr>
    </w:p>
    <w:p w:rsidR="00893D28" w:rsidRDefault="00893D28" w:rsidP="0041352C">
      <w:pPr>
        <w:spacing w:after="0"/>
        <w:jc w:val="both"/>
      </w:pPr>
      <w:r>
        <w:t xml:space="preserve">Notion de </w:t>
      </w:r>
      <w:proofErr w:type="spellStart"/>
      <w:r>
        <w:t>southern</w:t>
      </w:r>
      <w:proofErr w:type="spellEnd"/>
      <w:r>
        <w:t>-western : identification de protéine pouvant fixer de l’ADN.</w:t>
      </w:r>
    </w:p>
    <w:p w:rsidR="001C4708" w:rsidRDefault="001C4708" w:rsidP="0041352C">
      <w:pPr>
        <w:spacing w:after="0"/>
        <w:jc w:val="both"/>
      </w:pPr>
    </w:p>
    <w:p w:rsidR="001C4708" w:rsidRDefault="001C4708" w:rsidP="0041352C">
      <w:pPr>
        <w:spacing w:after="0"/>
        <w:jc w:val="both"/>
      </w:pPr>
      <w:r>
        <w:t>Autre facteurs de virulence :</w:t>
      </w:r>
    </w:p>
    <w:p w:rsidR="001C4708" w:rsidRDefault="001C4708" w:rsidP="0041352C">
      <w:pPr>
        <w:spacing w:after="0"/>
        <w:jc w:val="both"/>
      </w:pPr>
      <w:r>
        <w:t>-Protéines d’acquisition du fer : Lbp1, B et Tbp1</w:t>
      </w:r>
      <w:proofErr w:type="gramStart"/>
      <w:r>
        <w:t>,2</w:t>
      </w:r>
      <w:proofErr w:type="gramEnd"/>
      <w:r>
        <w:t xml:space="preserve"> et </w:t>
      </w:r>
      <w:proofErr w:type="spellStart"/>
      <w:r>
        <w:t>HmbR</w:t>
      </w:r>
      <w:proofErr w:type="spellEnd"/>
    </w:p>
    <w:p w:rsidR="001C4708" w:rsidRDefault="001C4708" w:rsidP="0041352C">
      <w:pPr>
        <w:spacing w:after="0"/>
        <w:jc w:val="both"/>
      </w:pPr>
      <w:r>
        <w:t xml:space="preserve">-IgA1 protéase : activité des souches pathogènes souvent &gt; à celle des souches commensales. Clivage des IgA1 entre </w:t>
      </w:r>
      <w:proofErr w:type="spellStart"/>
      <w:r>
        <w:t>Fab</w:t>
      </w:r>
      <w:proofErr w:type="spellEnd"/>
      <w:r>
        <w:t xml:space="preserve"> et </w:t>
      </w:r>
      <w:proofErr w:type="spellStart"/>
      <w:r>
        <w:t>Fc</w:t>
      </w:r>
      <w:proofErr w:type="spellEnd"/>
      <w:r>
        <w:t xml:space="preserve"> (empêche l’agglutination et masque les antigènes).</w:t>
      </w:r>
    </w:p>
    <w:p w:rsidR="001C4708" w:rsidRDefault="001C4708" w:rsidP="0041352C">
      <w:pPr>
        <w:spacing w:after="0"/>
        <w:jc w:val="both"/>
      </w:pPr>
      <w:r>
        <w:t>- Echappement au système immunitaire.</w:t>
      </w:r>
    </w:p>
    <w:p w:rsidR="001C4708" w:rsidRDefault="001C4708" w:rsidP="0041352C">
      <w:pPr>
        <w:spacing w:after="0"/>
        <w:jc w:val="both"/>
      </w:pPr>
      <w:r>
        <w:t xml:space="preserve">-Endotoxines : </w:t>
      </w:r>
      <w:r w:rsidRPr="001C4708">
        <w:rPr>
          <w:b/>
        </w:rPr>
        <w:t>LOS</w:t>
      </w:r>
      <w:r>
        <w:t xml:space="preserve"> </w:t>
      </w:r>
      <w:proofErr w:type="spellStart"/>
      <w:r>
        <w:t>lipooligosaccharide</w:t>
      </w:r>
      <w:proofErr w:type="spellEnd"/>
      <w:r>
        <w:t xml:space="preserve"> -&gt; lié à l’adhérence et à la production de cytokines et </w:t>
      </w:r>
      <w:proofErr w:type="spellStart"/>
      <w:r>
        <w:t>chemokines</w:t>
      </w:r>
      <w:proofErr w:type="spellEnd"/>
      <w:r>
        <w:t xml:space="preserve"> </w:t>
      </w:r>
      <w:proofErr w:type="spellStart"/>
      <w:r>
        <w:t>proinflammatoires</w:t>
      </w:r>
      <w:proofErr w:type="spellEnd"/>
      <w:r>
        <w:t> : facteur de virulence majeur.</w:t>
      </w:r>
    </w:p>
    <w:p w:rsidR="001C4708" w:rsidRDefault="001C4708" w:rsidP="0041352C">
      <w:pPr>
        <w:spacing w:after="0"/>
        <w:jc w:val="both"/>
      </w:pPr>
      <w:r>
        <w:t xml:space="preserve">=&gt; </w:t>
      </w:r>
      <w:proofErr w:type="gramStart"/>
      <w:r>
        <w:t>mortalité</w:t>
      </w:r>
      <w:proofErr w:type="gramEnd"/>
      <w:r>
        <w:t xml:space="preserve"> des </w:t>
      </w:r>
      <w:proofErr w:type="spellStart"/>
      <w:r>
        <w:t>méningococcémies</w:t>
      </w:r>
      <w:proofErr w:type="spellEnd"/>
      <w:r>
        <w:t xml:space="preserve"> directement liée au taux de LOS circulant.</w:t>
      </w:r>
    </w:p>
    <w:p w:rsidR="007B3AA0" w:rsidRDefault="007B3AA0" w:rsidP="0041352C">
      <w:pPr>
        <w:spacing w:after="0"/>
        <w:jc w:val="both"/>
      </w:pPr>
      <w:r>
        <w:t>Effet des mutations du LOS : on a une meilleure adhésion avec les mutants, pourtant avec la mutation on a un taux d’invasion moins rapide et on a moins de mortalité.</w:t>
      </w:r>
    </w:p>
    <w:p w:rsidR="00F266BA" w:rsidRDefault="00427990" w:rsidP="0041352C">
      <w:pPr>
        <w:spacing w:after="0"/>
        <w:jc w:val="both"/>
      </w:pPr>
      <w:r>
        <w:t>-Quand on mute le LOS on voit toujours une inflammation, ce qui signifie que l’inflammation ne repose pas uniquement sur le LOS.</w:t>
      </w:r>
    </w:p>
    <w:p w:rsidR="00F266BA" w:rsidRDefault="00F266BA" w:rsidP="0041352C">
      <w:pPr>
        <w:spacing w:after="0"/>
        <w:jc w:val="both"/>
        <w:rPr>
          <w:u w:val="single"/>
        </w:rPr>
      </w:pPr>
      <w:r>
        <w:rPr>
          <w:u w:val="single"/>
        </w:rPr>
        <w:lastRenderedPageBreak/>
        <w:t xml:space="preserve">Virulence et spécificité du génome de </w:t>
      </w:r>
      <w:proofErr w:type="spellStart"/>
      <w:r>
        <w:rPr>
          <w:u w:val="single"/>
        </w:rPr>
        <w:t>Neisseria</w:t>
      </w:r>
      <w:proofErr w:type="spellEnd"/>
      <w:r>
        <w:rPr>
          <w:u w:val="single"/>
        </w:rPr>
        <w:t xml:space="preserve"> </w:t>
      </w:r>
      <w:proofErr w:type="spellStart"/>
      <w:r>
        <w:rPr>
          <w:u w:val="single"/>
        </w:rPr>
        <w:t>méningitidis</w:t>
      </w:r>
      <w:proofErr w:type="spellEnd"/>
      <w:r>
        <w:rPr>
          <w:u w:val="single"/>
        </w:rPr>
        <w:t>.</w:t>
      </w:r>
    </w:p>
    <w:p w:rsidR="00F266BA" w:rsidRDefault="00F266BA" w:rsidP="0041352C">
      <w:pPr>
        <w:spacing w:after="0"/>
        <w:jc w:val="both"/>
      </w:pPr>
    </w:p>
    <w:p w:rsidR="00F266BA" w:rsidRDefault="00F266BA" w:rsidP="0041352C">
      <w:pPr>
        <w:spacing w:after="0"/>
        <w:jc w:val="both"/>
      </w:pPr>
      <w:r>
        <w:t xml:space="preserve">-Cette </w:t>
      </w:r>
      <w:proofErr w:type="spellStart"/>
      <w:r>
        <w:t>bacterie</w:t>
      </w:r>
      <w:proofErr w:type="spellEnd"/>
      <w:r>
        <w:t xml:space="preserve"> a un hôte unique et peu de mécanismes de contrôle de l’expression (génome plus petit).</w:t>
      </w:r>
    </w:p>
    <w:p w:rsidR="00F266BA" w:rsidRDefault="00F266BA" w:rsidP="0041352C">
      <w:pPr>
        <w:spacing w:after="0"/>
        <w:jc w:val="both"/>
      </w:pPr>
      <w:r>
        <w:t>-Plasticité du génome : variation de phase et antigénique + mécanisme de réparation de l’ADN réduit.</w:t>
      </w:r>
    </w:p>
    <w:p w:rsidR="00F266BA" w:rsidRDefault="00F266BA" w:rsidP="0041352C">
      <w:pPr>
        <w:spacing w:after="0"/>
        <w:jc w:val="both"/>
      </w:pPr>
    </w:p>
    <w:p w:rsidR="00F266BA" w:rsidRDefault="00F266BA" w:rsidP="0041352C">
      <w:pPr>
        <w:spacing w:after="0"/>
        <w:jc w:val="both"/>
        <w:rPr>
          <w:u w:val="single"/>
        </w:rPr>
      </w:pPr>
      <w:r>
        <w:rPr>
          <w:u w:val="single"/>
        </w:rPr>
        <w:t>Variation de phase/ Variation antigénique.</w:t>
      </w:r>
    </w:p>
    <w:p w:rsidR="00F266BA" w:rsidRDefault="00F266BA" w:rsidP="0041352C">
      <w:pPr>
        <w:spacing w:after="0"/>
        <w:jc w:val="both"/>
      </w:pPr>
    </w:p>
    <w:p w:rsidR="00F266BA" w:rsidRDefault="00F266BA" w:rsidP="0041352C">
      <w:pPr>
        <w:spacing w:after="0"/>
        <w:jc w:val="both"/>
      </w:pPr>
      <w:r>
        <w:t xml:space="preserve">-Changement de phénotype dans une population clonale peut être dû : </w:t>
      </w:r>
    </w:p>
    <w:p w:rsidR="00F266BA" w:rsidRDefault="00F266BA" w:rsidP="0041352C">
      <w:pPr>
        <w:spacing w:after="0"/>
        <w:jc w:val="both"/>
      </w:pPr>
      <w:r>
        <w:t>-&gt; soit à une réponse à l’environnement : réseaux complexes de régulation de l’expression des gènes ; Concerne l’ensemble des individus soumis aux variations de l’environnement.</w:t>
      </w:r>
    </w:p>
    <w:p w:rsidR="00F266BA" w:rsidRDefault="00F266BA" w:rsidP="0041352C">
      <w:pPr>
        <w:spacing w:after="0"/>
        <w:jc w:val="both"/>
      </w:pPr>
      <w:r>
        <w:t>-&gt; soit à 2 processus (qui ne sont pas strictement une réponse à l’env.) : la variation de phase et la variation antigénique. Concerne certains individus de la population.</w:t>
      </w:r>
    </w:p>
    <w:p w:rsidR="00F266BA" w:rsidRDefault="00F266BA" w:rsidP="0041352C">
      <w:pPr>
        <w:spacing w:after="0"/>
        <w:jc w:val="both"/>
      </w:pPr>
    </w:p>
    <w:p w:rsidR="00F266BA" w:rsidRDefault="00F266BA" w:rsidP="0041352C">
      <w:pPr>
        <w:spacing w:after="0"/>
        <w:jc w:val="both"/>
      </w:pPr>
      <w:r>
        <w:t xml:space="preserve">-La variation de </w:t>
      </w:r>
      <w:r w:rsidRPr="00F266BA">
        <w:rPr>
          <w:b/>
          <w:u w:val="single"/>
        </w:rPr>
        <w:t>phase</w:t>
      </w:r>
      <w:r>
        <w:t xml:space="preserve"> conduit à deux sous populations présentant une expression différente de 1 ou plusieurs gènes. Expression normale/baisse ou absence d’expression : « On/off ».</w:t>
      </w:r>
    </w:p>
    <w:p w:rsidR="00F266BA" w:rsidRDefault="00F266BA" w:rsidP="0041352C">
      <w:pPr>
        <w:spacing w:after="0"/>
        <w:jc w:val="both"/>
      </w:pPr>
    </w:p>
    <w:p w:rsidR="001C4708" w:rsidRDefault="00F266BA" w:rsidP="0041352C">
      <w:pPr>
        <w:spacing w:after="0"/>
        <w:jc w:val="both"/>
      </w:pPr>
      <w:r>
        <w:t xml:space="preserve">-La variation </w:t>
      </w:r>
      <w:r w:rsidRPr="00F266BA">
        <w:rPr>
          <w:b/>
          <w:u w:val="single"/>
        </w:rPr>
        <w:t>antigénique</w:t>
      </w:r>
      <w:r>
        <w:t xml:space="preserve"> conduit à une production constante de différentes formes antigéniques. ON mais différent.</w:t>
      </w:r>
    </w:p>
    <w:p w:rsidR="00F266BA" w:rsidRDefault="00F266BA" w:rsidP="0041352C">
      <w:pPr>
        <w:spacing w:after="0"/>
        <w:jc w:val="both"/>
      </w:pPr>
    </w:p>
    <w:p w:rsidR="00F266BA" w:rsidRDefault="00577909" w:rsidP="0041352C">
      <w:pPr>
        <w:spacing w:after="0"/>
        <w:jc w:val="both"/>
      </w:pPr>
      <w:r>
        <w:t xml:space="preserve">-Les gènes soumis à une variation de phase/antigénique : structure extracellulaires : flagelles </w:t>
      </w:r>
      <w:proofErr w:type="spellStart"/>
      <w:r>
        <w:t>pili</w:t>
      </w:r>
      <w:proofErr w:type="spellEnd"/>
      <w:r>
        <w:t xml:space="preserve"> etc…</w:t>
      </w:r>
    </w:p>
    <w:p w:rsidR="00577909" w:rsidRDefault="00577909" w:rsidP="0041352C">
      <w:pPr>
        <w:spacing w:after="0"/>
        <w:jc w:val="both"/>
      </w:pPr>
      <w:r>
        <w:t>-</w:t>
      </w:r>
      <w:proofErr w:type="spellStart"/>
      <w:r>
        <w:t>Ca</w:t>
      </w:r>
      <w:proofErr w:type="spellEnd"/>
      <w:r>
        <w:t xml:space="preserve"> touche aussi les systèmes de restriction/modification.</w:t>
      </w:r>
    </w:p>
    <w:p w:rsidR="00577909" w:rsidRDefault="00577909" w:rsidP="0041352C">
      <w:pPr>
        <w:spacing w:after="0"/>
        <w:jc w:val="both"/>
      </w:pPr>
      <w:r>
        <w:t xml:space="preserve">-Rappel systèmes de restriction/modification. Modification : méthylation. Système permettant de se </w:t>
      </w:r>
      <w:proofErr w:type="spellStart"/>
      <w:r>
        <w:t>débarasser</w:t>
      </w:r>
      <w:proofErr w:type="spellEnd"/>
      <w:r>
        <w:t xml:space="preserve"> de l’ADN étranger.</w:t>
      </w:r>
    </w:p>
    <w:p w:rsidR="00577909" w:rsidRDefault="00577909" w:rsidP="0041352C">
      <w:pPr>
        <w:spacing w:after="0"/>
        <w:jc w:val="both"/>
      </w:pPr>
      <w:r>
        <w:t xml:space="preserve">-Pourquoi ça touche les systèmes de restriction ? Levée temporaire de la protection contre l’entrée d’ADN étranger, éventuellement bénéfique pour la bactérie. Ou : l’expression de </w:t>
      </w:r>
      <w:proofErr w:type="spellStart"/>
      <w:r>
        <w:t>méthylases</w:t>
      </w:r>
      <w:proofErr w:type="spellEnd"/>
      <w:r>
        <w:t xml:space="preserve"> pourrait conduire à une autolyse de l’ADN et ainsi au « suicide » d’une partie des cellules au bénéfice du reste de la population.</w:t>
      </w:r>
    </w:p>
    <w:p w:rsidR="00577909" w:rsidRDefault="00577909" w:rsidP="0041352C">
      <w:pPr>
        <w:spacing w:after="0"/>
        <w:jc w:val="both"/>
      </w:pPr>
      <w:r>
        <w:t>-La modification du niveau de méthylation de l’ADN pourrait influer sur l’expression de certains gènes : notion de « </w:t>
      </w:r>
      <w:proofErr w:type="spellStart"/>
      <w:r>
        <w:t>phasevarion</w:t>
      </w:r>
      <w:proofErr w:type="spellEnd"/>
      <w:r>
        <w:t xml:space="preserve"> » pour phase variable </w:t>
      </w:r>
      <w:proofErr w:type="spellStart"/>
      <w:r>
        <w:t>regulon</w:t>
      </w:r>
      <w:proofErr w:type="spellEnd"/>
      <w:r>
        <w:t>.</w:t>
      </w:r>
    </w:p>
    <w:p w:rsidR="00577909" w:rsidRDefault="00577909" w:rsidP="0041352C">
      <w:pPr>
        <w:spacing w:after="0"/>
        <w:jc w:val="both"/>
      </w:pPr>
    </w:p>
    <w:p w:rsidR="00577909" w:rsidRDefault="00577909" w:rsidP="0041352C">
      <w:pPr>
        <w:spacing w:after="0"/>
        <w:jc w:val="both"/>
      </w:pPr>
      <w:r>
        <w:rPr>
          <w:u w:val="single"/>
        </w:rPr>
        <w:t>Mécanismes de variation de phase :</w:t>
      </w:r>
    </w:p>
    <w:p w:rsidR="00577909" w:rsidRDefault="00577909" w:rsidP="0041352C">
      <w:pPr>
        <w:spacing w:after="0"/>
        <w:jc w:val="both"/>
      </w:pPr>
      <w:r>
        <w:t>Définition : changement fréquent, réversible de type binaire (ON/OFF) dans le contrôle de l’expression d’une ou plusieurs protéines concernant une proportion de cellules d’une population clonale. Dû à une modification du génome et modification du génome transmissible à la descendance.</w:t>
      </w:r>
    </w:p>
    <w:p w:rsidR="00577909" w:rsidRDefault="00577909" w:rsidP="0041352C">
      <w:pPr>
        <w:spacing w:after="0"/>
        <w:jc w:val="both"/>
      </w:pPr>
    </w:p>
    <w:p w:rsidR="00577909" w:rsidRDefault="00577909" w:rsidP="0041352C">
      <w:pPr>
        <w:spacing w:after="0"/>
        <w:jc w:val="both"/>
      </w:pPr>
      <w:r>
        <w:t xml:space="preserve">-Les mécanismes moléculaire sont soit génétique soit </w:t>
      </w:r>
      <w:proofErr w:type="spellStart"/>
      <w:r>
        <w:t>épigénétique</w:t>
      </w:r>
      <w:proofErr w:type="spellEnd"/>
      <w:r>
        <w:t>.</w:t>
      </w:r>
    </w:p>
    <w:p w:rsidR="00577909" w:rsidRDefault="00577909" w:rsidP="0041352C">
      <w:pPr>
        <w:spacing w:after="0"/>
        <w:jc w:val="both"/>
      </w:pPr>
      <w:r>
        <w:t xml:space="preserve">-Génétique : modification de la séquence d’ADN au niveau de séquence répétées du même nucléotide ou de tétranucléotides et décalage d’appariement lors de la réplication ou la </w:t>
      </w:r>
      <w:proofErr w:type="gramStart"/>
      <w:r>
        <w:t>réparation .</w:t>
      </w:r>
      <w:proofErr w:type="gramEnd"/>
      <w:r>
        <w:t xml:space="preserve"> Cas aussi de recombinaison site-spécifique</w:t>
      </w:r>
      <w:r w:rsidR="00A03F3C">
        <w:t xml:space="preserve"> (transposition ou de type conservatrice). </w:t>
      </w:r>
      <w:proofErr w:type="spellStart"/>
      <w:r w:rsidR="00A03F3C">
        <w:t>Recombianaison</w:t>
      </w:r>
      <w:proofErr w:type="spellEnd"/>
      <w:r w:rsidR="00A03F3C">
        <w:t xml:space="preserve"> homologue : plutôt mécanisme antigénique</w:t>
      </w:r>
    </w:p>
    <w:p w:rsidR="00A03F3C" w:rsidRDefault="00A03F3C" w:rsidP="0041352C">
      <w:pPr>
        <w:spacing w:after="0"/>
        <w:jc w:val="both"/>
      </w:pPr>
      <w:r>
        <w:t>-</w:t>
      </w:r>
      <w:proofErr w:type="spellStart"/>
      <w:r>
        <w:t>Epigénétiques</w:t>
      </w:r>
      <w:proofErr w:type="spellEnd"/>
      <w:r>
        <w:t> : modification du niveau de méthylation des séquences.</w:t>
      </w:r>
    </w:p>
    <w:p w:rsidR="00A03F3C" w:rsidRDefault="00A03F3C" w:rsidP="0041352C">
      <w:pPr>
        <w:spacing w:after="0"/>
        <w:jc w:val="both"/>
      </w:pPr>
    </w:p>
    <w:p w:rsidR="0036647B" w:rsidRDefault="0036647B" w:rsidP="0041352C">
      <w:pPr>
        <w:spacing w:after="0"/>
        <w:jc w:val="both"/>
      </w:pPr>
      <w:r>
        <w:lastRenderedPageBreak/>
        <w:t xml:space="preserve">-Les mécanismes moléculaires affectent : </w:t>
      </w:r>
    </w:p>
    <w:p w:rsidR="0036647B" w:rsidRDefault="0036647B" w:rsidP="0041352C">
      <w:pPr>
        <w:spacing w:after="0"/>
        <w:jc w:val="both"/>
      </w:pPr>
      <w:r>
        <w:tab/>
        <w:t>Soit la traduction</w:t>
      </w:r>
    </w:p>
    <w:p w:rsidR="0036647B" w:rsidRDefault="0036647B" w:rsidP="0041352C">
      <w:pPr>
        <w:spacing w:after="0"/>
        <w:jc w:val="both"/>
      </w:pPr>
      <w:r>
        <w:tab/>
        <w:t xml:space="preserve">Soit : </w:t>
      </w:r>
      <w:proofErr w:type="spellStart"/>
      <w:r>
        <w:t>cf</w:t>
      </w:r>
      <w:proofErr w:type="spellEnd"/>
      <w:r>
        <w:t xml:space="preserve"> diapo.</w:t>
      </w:r>
    </w:p>
    <w:p w:rsidR="0036647B" w:rsidRDefault="0036647B" w:rsidP="0041352C">
      <w:pPr>
        <w:spacing w:after="0"/>
        <w:jc w:val="both"/>
      </w:pPr>
    </w:p>
    <w:p w:rsidR="0036647B" w:rsidRDefault="0036647B" w:rsidP="0041352C">
      <w:pPr>
        <w:spacing w:after="0"/>
        <w:jc w:val="both"/>
      </w:pPr>
      <w:r>
        <w:t>-la proportion de cellules ON/OFF peut dépendre de l’environnement</w:t>
      </w:r>
    </w:p>
    <w:p w:rsidR="0036647B" w:rsidRDefault="0036647B" w:rsidP="0041352C">
      <w:pPr>
        <w:spacing w:after="0"/>
        <w:jc w:val="both"/>
      </w:pPr>
      <w:r>
        <w:tab/>
        <w:t>-Soit en agissant directement sur le mécanisme de « </w:t>
      </w:r>
      <w:proofErr w:type="spellStart"/>
      <w:r>
        <w:t>switch</w:t>
      </w:r>
      <w:proofErr w:type="spellEnd"/>
      <w:r>
        <w:t> »</w:t>
      </w:r>
    </w:p>
    <w:p w:rsidR="0036647B" w:rsidRDefault="0036647B" w:rsidP="0041352C">
      <w:pPr>
        <w:spacing w:after="0"/>
        <w:jc w:val="both"/>
      </w:pPr>
      <w:r>
        <w:tab/>
        <w:t>-Soit via des mécanismes de régulation ou de sélection.</w:t>
      </w:r>
    </w:p>
    <w:p w:rsidR="0036647B" w:rsidRDefault="0036647B" w:rsidP="0041352C">
      <w:pPr>
        <w:spacing w:after="0"/>
        <w:jc w:val="both"/>
      </w:pPr>
      <w:r>
        <w:t xml:space="preserve">-NB : variation de phase chez </w:t>
      </w:r>
      <w:proofErr w:type="spellStart"/>
      <w:r>
        <w:t>Neisseria</w:t>
      </w:r>
      <w:proofErr w:type="spellEnd"/>
      <w:r>
        <w:t xml:space="preserve">. Implique des transformations de type glissement de brins. On passe de 5 répétitions de TAAA qui est la forme « ON » à 4 répétitions  TAAA qui est la forme « OFF » de </w:t>
      </w:r>
      <w:proofErr w:type="spellStart"/>
      <w:r>
        <w:t>NadA</w:t>
      </w:r>
      <w:proofErr w:type="spellEnd"/>
      <w:r>
        <w:t>.</w:t>
      </w:r>
    </w:p>
    <w:p w:rsidR="0036647B" w:rsidRDefault="0036647B" w:rsidP="0041352C">
      <w:pPr>
        <w:spacing w:after="0"/>
        <w:jc w:val="both"/>
      </w:pPr>
    </w:p>
    <w:p w:rsidR="0036647B" w:rsidRDefault="0036647B" w:rsidP="0041352C">
      <w:pPr>
        <w:spacing w:after="0"/>
        <w:jc w:val="both"/>
      </w:pPr>
      <w:r>
        <w:t xml:space="preserve">-Autre ex : mécanisme de variation de phase dans la synthèse de Pgt1 responsable de la glycosylation de la </w:t>
      </w:r>
      <w:proofErr w:type="spellStart"/>
      <w:r>
        <w:t>piline</w:t>
      </w:r>
      <w:proofErr w:type="spellEnd"/>
      <w:r>
        <w:t xml:space="preserve"> chez </w:t>
      </w:r>
      <w:proofErr w:type="spellStart"/>
      <w:r>
        <w:t>Neisseria</w:t>
      </w:r>
      <w:proofErr w:type="spellEnd"/>
      <w:r>
        <w:t xml:space="preserve"> </w:t>
      </w:r>
      <w:proofErr w:type="spellStart"/>
      <w:r>
        <w:t>gonorrhoeae</w:t>
      </w:r>
      <w:proofErr w:type="spellEnd"/>
      <w:r>
        <w:t> : SSR/SSR dans le cadre de lecture.</w:t>
      </w:r>
    </w:p>
    <w:p w:rsidR="003E6162" w:rsidRDefault="003E6162" w:rsidP="0041352C">
      <w:pPr>
        <w:spacing w:after="0"/>
        <w:jc w:val="both"/>
      </w:pPr>
      <w:r>
        <w:t xml:space="preserve">-Encore autre </w:t>
      </w:r>
      <w:proofErr w:type="spellStart"/>
      <w:r>
        <w:t>exemble</w:t>
      </w:r>
      <w:proofErr w:type="spellEnd"/>
      <w:r>
        <w:t xml:space="preserve"> : </w:t>
      </w:r>
      <w:proofErr w:type="spellStart"/>
      <w:r>
        <w:t>pili</w:t>
      </w:r>
      <w:proofErr w:type="spellEnd"/>
      <w:r>
        <w:t xml:space="preserve"> de type I chez coli, recombinaison site spécifique par inversion d’ADN.</w:t>
      </w:r>
    </w:p>
    <w:p w:rsidR="003E6162" w:rsidRDefault="003E6162" w:rsidP="0041352C">
      <w:pPr>
        <w:spacing w:after="0"/>
        <w:jc w:val="both"/>
      </w:pPr>
      <w:r>
        <w:t xml:space="preserve">CF diapo : le promoteur se retrouve sur l’autre brin, on n’a plus transcription de </w:t>
      </w:r>
      <w:proofErr w:type="spellStart"/>
      <w:r>
        <w:t>fimA</w:t>
      </w:r>
      <w:proofErr w:type="spellEnd"/>
      <w:r>
        <w:t>.</w:t>
      </w:r>
    </w:p>
    <w:p w:rsidR="009854CD" w:rsidRDefault="009854CD" w:rsidP="0041352C">
      <w:pPr>
        <w:spacing w:after="0"/>
        <w:jc w:val="both"/>
      </w:pPr>
      <w:r>
        <w:t xml:space="preserve">-Un exemple ? </w:t>
      </w:r>
      <w:proofErr w:type="gramStart"/>
      <w:r>
        <w:t>encore</w:t>
      </w:r>
      <w:proofErr w:type="gramEnd"/>
      <w:r>
        <w:t xml:space="preserve"> ? </w:t>
      </w:r>
      <w:proofErr w:type="gramStart"/>
      <w:r>
        <w:t>d’accord</w:t>
      </w:r>
      <w:proofErr w:type="gramEnd"/>
      <w:r>
        <w:t xml:space="preserve"> ! Mécanisme variation de phase chez les </w:t>
      </w:r>
      <w:proofErr w:type="spellStart"/>
      <w:r>
        <w:t>pili</w:t>
      </w:r>
      <w:proofErr w:type="spellEnd"/>
      <w:r>
        <w:t xml:space="preserve"> </w:t>
      </w:r>
      <w:proofErr w:type="spellStart"/>
      <w:r>
        <w:t>pap</w:t>
      </w:r>
      <w:proofErr w:type="spellEnd"/>
      <w:r>
        <w:t xml:space="preserve"> de coli : méthylation différentielle. Protéines régulatrice </w:t>
      </w:r>
      <w:proofErr w:type="spellStart"/>
      <w:r>
        <w:t>PapI</w:t>
      </w:r>
      <w:proofErr w:type="spellEnd"/>
      <w:r>
        <w:t xml:space="preserve"> et </w:t>
      </w:r>
      <w:proofErr w:type="spellStart"/>
      <w:r>
        <w:t>PapB</w:t>
      </w:r>
      <w:proofErr w:type="spellEnd"/>
      <w:r>
        <w:t xml:space="preserve">. Hypothèse : </w:t>
      </w:r>
      <w:proofErr w:type="spellStart"/>
      <w:r>
        <w:t>switch</w:t>
      </w:r>
      <w:proofErr w:type="spellEnd"/>
      <w:r>
        <w:t xml:space="preserve"> possible par fixation de </w:t>
      </w:r>
      <w:proofErr w:type="spellStart"/>
      <w:r>
        <w:t>Lrp</w:t>
      </w:r>
      <w:proofErr w:type="spellEnd"/>
      <w:r>
        <w:t xml:space="preserve"> au niveau de GATC-II sur l’ADN transitoirement </w:t>
      </w:r>
      <w:proofErr w:type="spellStart"/>
      <w:r>
        <w:t>hémiméthylé</w:t>
      </w:r>
      <w:proofErr w:type="spellEnd"/>
      <w:r>
        <w:t xml:space="preserve"> lors de la réplication.</w:t>
      </w:r>
    </w:p>
    <w:p w:rsidR="009854CD" w:rsidRDefault="002701DA" w:rsidP="0041352C">
      <w:pPr>
        <w:spacing w:after="0"/>
        <w:jc w:val="both"/>
      </w:pPr>
      <w:r>
        <w:t xml:space="preserve">-&gt; En clair ON quand on a méthylation de GATC-II libérant le promoteur </w:t>
      </w:r>
      <w:proofErr w:type="spellStart"/>
      <w:r>
        <w:t>pBA</w:t>
      </w:r>
      <w:proofErr w:type="spellEnd"/>
      <w:r>
        <w:t xml:space="preserve"> actif. Si on méthyle GATCI on n’a pas.</w:t>
      </w:r>
    </w:p>
    <w:p w:rsidR="0036647B" w:rsidRDefault="0036647B" w:rsidP="0041352C">
      <w:pPr>
        <w:spacing w:after="0"/>
        <w:jc w:val="both"/>
      </w:pPr>
    </w:p>
    <w:p w:rsidR="002701DA" w:rsidRDefault="002701DA" w:rsidP="0041352C">
      <w:pPr>
        <w:spacing w:after="0"/>
        <w:jc w:val="both"/>
        <w:rPr>
          <w:u w:val="single"/>
        </w:rPr>
      </w:pPr>
      <w:r>
        <w:rPr>
          <w:u w:val="single"/>
        </w:rPr>
        <w:t>Les mécanismes de variation antigénique :</w:t>
      </w:r>
    </w:p>
    <w:p w:rsidR="002701DA" w:rsidRDefault="002701DA" w:rsidP="0041352C">
      <w:pPr>
        <w:spacing w:after="0"/>
        <w:jc w:val="both"/>
      </w:pPr>
      <w:r>
        <w:t>-Expression des antigènes différents dans une population clonale : dans une même bactérie, un seul variant antigénique est exprimé à la fois alors qu’elle possède l’information génétique pour un ensemble de variant antigéniques. =mécanisme d’échappement au système immunitaire.</w:t>
      </w:r>
    </w:p>
    <w:p w:rsidR="002701DA" w:rsidRDefault="002701DA" w:rsidP="0041352C">
      <w:pPr>
        <w:spacing w:after="0"/>
        <w:jc w:val="both"/>
      </w:pPr>
      <w:r>
        <w:t>-Mécanisme par recombinaison homologue.</w:t>
      </w:r>
    </w:p>
    <w:p w:rsidR="002701DA" w:rsidRDefault="002701DA" w:rsidP="0041352C">
      <w:pPr>
        <w:spacing w:after="0"/>
        <w:jc w:val="both"/>
      </w:pPr>
    </w:p>
    <w:p w:rsidR="002701DA" w:rsidRDefault="002701DA" w:rsidP="0041352C">
      <w:pPr>
        <w:spacing w:after="0"/>
        <w:jc w:val="both"/>
      </w:pPr>
      <w:r>
        <w:t xml:space="preserve">Exemple : conversion génique de </w:t>
      </w:r>
      <w:proofErr w:type="spellStart"/>
      <w:r>
        <w:t>pilE</w:t>
      </w:r>
      <w:proofErr w:type="spellEnd"/>
      <w:r>
        <w:t xml:space="preserve"> responsable de la synthèse de la </w:t>
      </w:r>
      <w:proofErr w:type="spellStart"/>
      <w:r>
        <w:t>piline</w:t>
      </w:r>
      <w:proofErr w:type="spellEnd"/>
      <w:r>
        <w:t xml:space="preserve"> chez </w:t>
      </w:r>
      <w:proofErr w:type="spellStart"/>
      <w:r>
        <w:t>nesseria</w:t>
      </w:r>
      <w:proofErr w:type="spellEnd"/>
      <w:r>
        <w:t xml:space="preserve">. Transfert d’ADN non réciproque à partir d’un des nombreux gènes silencieux partiels </w:t>
      </w:r>
      <w:proofErr w:type="spellStart"/>
      <w:r>
        <w:t>pilS</w:t>
      </w:r>
      <w:proofErr w:type="spellEnd"/>
      <w:r>
        <w:t xml:space="preserve"> vers la région variable du gène </w:t>
      </w:r>
      <w:proofErr w:type="spellStart"/>
      <w:r>
        <w:t>pilE</w:t>
      </w:r>
      <w:proofErr w:type="spellEnd"/>
      <w:r>
        <w:t xml:space="preserve"> (gène exprimé)</w:t>
      </w:r>
    </w:p>
    <w:p w:rsidR="002701DA" w:rsidRDefault="002701DA" w:rsidP="0041352C">
      <w:pPr>
        <w:spacing w:after="0"/>
        <w:jc w:val="both"/>
      </w:pPr>
      <w:r>
        <w:t xml:space="preserve">-Les </w:t>
      </w:r>
      <w:proofErr w:type="spellStart"/>
      <w:r>
        <w:t>loci</w:t>
      </w:r>
      <w:proofErr w:type="spellEnd"/>
      <w:r>
        <w:t xml:space="preserve"> silencieux </w:t>
      </w:r>
      <w:proofErr w:type="spellStart"/>
      <w:r>
        <w:t>pilS</w:t>
      </w:r>
      <w:proofErr w:type="spellEnd"/>
      <w:r>
        <w:t xml:space="preserve"> sont parfois distants de plusieurs centaines de </w:t>
      </w:r>
      <w:proofErr w:type="spellStart"/>
      <w:r>
        <w:t>pb</w:t>
      </w:r>
      <w:proofErr w:type="spellEnd"/>
      <w:r>
        <w:t>, ils sont donneurs des séries de nt sur la base de courtes homologies de séquences.</w:t>
      </w:r>
    </w:p>
    <w:p w:rsidR="002701DA" w:rsidRDefault="002701DA" w:rsidP="0041352C">
      <w:pPr>
        <w:spacing w:after="0"/>
        <w:jc w:val="both"/>
      </w:pPr>
      <w:r>
        <w:t>-Ex : variation des gènes Opa 4 gènes différents dans la bactérie mère. Variation dans la descendance due à :</w:t>
      </w:r>
    </w:p>
    <w:p w:rsidR="002701DA" w:rsidRDefault="00505BF9" w:rsidP="0041352C">
      <w:pPr>
        <w:spacing w:after="0"/>
        <w:jc w:val="both"/>
      </w:pPr>
      <w:r>
        <w:tab/>
        <w:t>-&gt;</w:t>
      </w:r>
      <w:r w:rsidR="002701DA">
        <w:t xml:space="preserve">recombinaison intra </w:t>
      </w:r>
      <w:proofErr w:type="spellStart"/>
      <w:r w:rsidR="002701DA">
        <w:t>génomqiue</w:t>
      </w:r>
      <w:proofErr w:type="spellEnd"/>
      <w:r w:rsidR="002701DA">
        <w:t xml:space="preserve"> (comme </w:t>
      </w:r>
      <w:proofErr w:type="spellStart"/>
      <w:r w:rsidR="002701DA">
        <w:t>pilE</w:t>
      </w:r>
      <w:proofErr w:type="spellEnd"/>
      <w:r w:rsidR="002701DA">
        <w:t>)</w:t>
      </w:r>
    </w:p>
    <w:p w:rsidR="002701DA" w:rsidRDefault="002701DA" w:rsidP="0041352C">
      <w:pPr>
        <w:spacing w:after="0"/>
        <w:jc w:val="both"/>
      </w:pPr>
      <w:r>
        <w:tab/>
        <w:t>-&gt;recombinaison inter-génomique (D et E) après transfert horizontal d’ADN de bactéries voisines (lysées).</w:t>
      </w:r>
      <w:bookmarkStart w:id="0" w:name="_GoBack"/>
      <w:bookmarkEnd w:id="0"/>
    </w:p>
    <w:p w:rsidR="002701DA" w:rsidRDefault="002701DA" w:rsidP="0041352C">
      <w:pPr>
        <w:spacing w:after="0"/>
        <w:jc w:val="both"/>
      </w:pPr>
      <w:r>
        <w:tab/>
        <w:t xml:space="preserve">-&gt; </w:t>
      </w:r>
      <w:proofErr w:type="gramStart"/>
      <w:r>
        <w:t>une</w:t>
      </w:r>
      <w:proofErr w:type="gramEnd"/>
      <w:r>
        <w:t xml:space="preserve"> mutation</w:t>
      </w:r>
    </w:p>
    <w:p w:rsidR="002701DA" w:rsidRPr="002701DA" w:rsidRDefault="002701DA" w:rsidP="0041352C">
      <w:pPr>
        <w:spacing w:after="0"/>
        <w:jc w:val="both"/>
      </w:pPr>
    </w:p>
    <w:p w:rsidR="00577909" w:rsidRPr="00F617A6" w:rsidRDefault="00577909" w:rsidP="0041352C">
      <w:pPr>
        <w:spacing w:after="0"/>
        <w:jc w:val="both"/>
      </w:pPr>
    </w:p>
    <w:sectPr w:rsidR="00577909" w:rsidRPr="00F617A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352C"/>
    <w:rsid w:val="001C4708"/>
    <w:rsid w:val="002701DA"/>
    <w:rsid w:val="0036647B"/>
    <w:rsid w:val="003E6162"/>
    <w:rsid w:val="0041352C"/>
    <w:rsid w:val="00427990"/>
    <w:rsid w:val="00505BF9"/>
    <w:rsid w:val="00571D27"/>
    <w:rsid w:val="00577909"/>
    <w:rsid w:val="00676CDD"/>
    <w:rsid w:val="007B3AA0"/>
    <w:rsid w:val="00893D28"/>
    <w:rsid w:val="009854CD"/>
    <w:rsid w:val="00A03F3C"/>
    <w:rsid w:val="00AF38D7"/>
    <w:rsid w:val="00C67F8E"/>
    <w:rsid w:val="00C70C86"/>
    <w:rsid w:val="00F266BA"/>
    <w:rsid w:val="00F617A6"/>
    <w:rsid w:val="00F639A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4</Pages>
  <Words>1595</Words>
  <Characters>8774</Characters>
  <Application>Microsoft Office Word</Application>
  <DocSecurity>0</DocSecurity>
  <Lines>73</Lines>
  <Paragraphs>20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Elypse</dc:creator>
  <cp:lastModifiedBy>Elypse</cp:lastModifiedBy>
  <cp:revision>11</cp:revision>
  <dcterms:created xsi:type="dcterms:W3CDTF">2013-04-16T12:32:00Z</dcterms:created>
  <dcterms:modified xsi:type="dcterms:W3CDTF">2013-04-16T14:48:00Z</dcterms:modified>
</cp:coreProperties>
</file>