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4E060" w14:textId="77777777" w:rsidR="00715780" w:rsidRDefault="00613FF0" w:rsidP="004E1CC2">
      <w:pPr>
        <w:jc w:val="center"/>
        <w:rPr>
          <w:b/>
          <w:color w:val="943634" w:themeColor="accent2" w:themeShade="BF"/>
          <w:sz w:val="32"/>
          <w:szCs w:val="32"/>
        </w:rPr>
      </w:pPr>
      <w:r>
        <w:rPr>
          <w:rFonts w:ascii="Lucida Grande" w:hAnsi="Lucida Grande" w:cs="Lucida Grande"/>
          <w:b/>
          <w:color w:val="943634" w:themeColor="accent2" w:themeShade="BF"/>
          <w:sz w:val="32"/>
          <w:szCs w:val="32"/>
        </w:rPr>
        <w:t></w:t>
      </w:r>
      <w:r>
        <w:rPr>
          <w:b/>
          <w:color w:val="943634" w:themeColor="accent2" w:themeShade="BF"/>
          <w:sz w:val="32"/>
          <w:szCs w:val="32"/>
        </w:rPr>
        <w:t xml:space="preserve"> </w:t>
      </w:r>
      <w:r w:rsidR="004E1CC2" w:rsidRPr="004E1CC2">
        <w:rPr>
          <w:b/>
          <w:color w:val="943634" w:themeColor="accent2" w:themeShade="BF"/>
          <w:sz w:val="32"/>
          <w:szCs w:val="32"/>
        </w:rPr>
        <w:t>SECTION II TVA DEDUCTIBLE</w:t>
      </w:r>
      <w:r>
        <w:rPr>
          <w:b/>
          <w:color w:val="943634" w:themeColor="accent2" w:themeShade="BF"/>
          <w:sz w:val="32"/>
          <w:szCs w:val="32"/>
        </w:rPr>
        <w:t xml:space="preserve"> </w:t>
      </w:r>
      <w:r>
        <w:rPr>
          <w:rFonts w:ascii="Lucida Grande" w:hAnsi="Lucida Grande" w:cs="Lucida Grande"/>
          <w:b/>
          <w:color w:val="943634" w:themeColor="accent2" w:themeShade="BF"/>
          <w:sz w:val="32"/>
          <w:szCs w:val="32"/>
        </w:rPr>
        <w:t></w:t>
      </w:r>
    </w:p>
    <w:p w14:paraId="38E09260" w14:textId="77777777" w:rsidR="004E1CC2" w:rsidRDefault="004E1CC2" w:rsidP="004E1CC2">
      <w:pPr>
        <w:jc w:val="both"/>
        <w:rPr>
          <w:b/>
          <w:color w:val="943634" w:themeColor="accent2" w:themeShade="BF"/>
          <w:sz w:val="32"/>
          <w:szCs w:val="32"/>
        </w:rPr>
      </w:pPr>
    </w:p>
    <w:p w14:paraId="1A5C3C00" w14:textId="77777777" w:rsidR="004E1CC2" w:rsidRDefault="004E1CC2" w:rsidP="004E1CC2">
      <w:pPr>
        <w:jc w:val="both"/>
        <w:rPr>
          <w:b/>
          <w:sz w:val="28"/>
          <w:szCs w:val="28"/>
        </w:rPr>
      </w:pPr>
      <w:r w:rsidRPr="004E1CC2">
        <w:rPr>
          <w:b/>
          <w:sz w:val="28"/>
          <w:szCs w:val="28"/>
        </w:rPr>
        <w:t>A – Conditions de fond</w:t>
      </w:r>
    </w:p>
    <w:p w14:paraId="5F769EA5" w14:textId="77777777" w:rsidR="004E1CC2" w:rsidRPr="004E1CC2" w:rsidRDefault="004E1CC2" w:rsidP="004E1CC2">
      <w:pPr>
        <w:jc w:val="both"/>
        <w:rPr>
          <w:b/>
          <w:sz w:val="28"/>
          <w:szCs w:val="28"/>
        </w:rPr>
      </w:pPr>
    </w:p>
    <w:p w14:paraId="64B10731" w14:textId="77777777" w:rsidR="004E1CC2" w:rsidRDefault="004E1CC2" w:rsidP="004E1CC2">
      <w:pPr>
        <w:jc w:val="both"/>
      </w:pPr>
      <w:r>
        <w:tab/>
        <w:t>1) La TVA sur les achats n’est déductible que pour les personnes soumises à la TV</w:t>
      </w:r>
      <w:r>
        <w:tab/>
        <w:t>, seulement pour les achats correspondant à des opérations imposables et répondant aux besoins de l’exploitation</w:t>
      </w:r>
    </w:p>
    <w:p w14:paraId="766DC82D" w14:textId="77777777" w:rsidR="004E1CC2" w:rsidRDefault="004E1CC2" w:rsidP="004E1CC2">
      <w:pPr>
        <w:jc w:val="both"/>
      </w:pPr>
    </w:p>
    <w:p w14:paraId="6CA55D55" w14:textId="77777777" w:rsidR="004E1CC2" w:rsidRDefault="004E1CC2" w:rsidP="004E1CC2">
      <w:pPr>
        <w:jc w:val="both"/>
      </w:pPr>
      <w:r>
        <w:t>Cependant, certaines opérations sont assimilées à opérations taxées pour exercer le droit à deduction (exportations, livraisons intracommunautaire).</w:t>
      </w:r>
    </w:p>
    <w:p w14:paraId="1EFA70CE" w14:textId="77777777" w:rsidR="004E1CC2" w:rsidRPr="004E1CC2" w:rsidRDefault="004E1CC2" w:rsidP="004E1CC2">
      <w:pPr>
        <w:jc w:val="both"/>
      </w:pPr>
    </w:p>
    <w:p w14:paraId="08C64A1C" w14:textId="77777777" w:rsidR="004E1CC2" w:rsidRPr="004E1CC2" w:rsidRDefault="004E1CC2" w:rsidP="004E1CC2">
      <w:pPr>
        <w:jc w:val="both"/>
      </w:pPr>
    </w:p>
    <w:p w14:paraId="3A15BB49" w14:textId="77777777" w:rsidR="004E1CC2" w:rsidRDefault="004E1CC2" w:rsidP="004E1CC2">
      <w:pPr>
        <w:tabs>
          <w:tab w:val="left" w:pos="1020"/>
        </w:tabs>
        <w:jc w:val="both"/>
      </w:pPr>
      <w:r>
        <w:t xml:space="preserve">              2) Les biens et services exclus du droit à déduction</w:t>
      </w:r>
    </w:p>
    <w:p w14:paraId="6EBEB250" w14:textId="77777777" w:rsidR="004E1CC2" w:rsidRDefault="004E1CC2" w:rsidP="004E1CC2">
      <w:pPr>
        <w:tabs>
          <w:tab w:val="left" w:pos="1020"/>
        </w:tabs>
        <w:jc w:val="both"/>
      </w:pPr>
    </w:p>
    <w:p w14:paraId="24CB9C41" w14:textId="77777777" w:rsidR="004E1CC2" w:rsidRDefault="004E1CC2" w:rsidP="004E1CC2">
      <w:pPr>
        <w:pStyle w:val="ListParagraph"/>
        <w:numPr>
          <w:ilvl w:val="0"/>
          <w:numId w:val="1"/>
        </w:numPr>
        <w:tabs>
          <w:tab w:val="left" w:pos="1020"/>
        </w:tabs>
        <w:jc w:val="both"/>
      </w:pPr>
      <w:r>
        <w:t>Les dépenses de logement des dirigeants et du personnel sauf pour les dépenses de logement gratuit du personnel de sécurité, gardiennage, surveillance et les dépenses de restaurant si ils respectent les conditions de déduction</w:t>
      </w:r>
    </w:p>
    <w:p w14:paraId="32362063" w14:textId="77777777" w:rsidR="004E1CC2" w:rsidRDefault="004E1CC2" w:rsidP="004E1CC2">
      <w:pPr>
        <w:pStyle w:val="ListParagraph"/>
        <w:numPr>
          <w:ilvl w:val="0"/>
          <w:numId w:val="1"/>
        </w:numPr>
        <w:tabs>
          <w:tab w:val="left" w:pos="1020"/>
        </w:tabs>
        <w:jc w:val="both"/>
      </w:pPr>
      <w:r>
        <w:t>Véhicules ou engins de transport de personnes sauf si l’assujetti n’est pas le consommateur final (transport public de voyageur, auto-école, artisan-taxi, location de véhicule) et pour les véhicules routiers de plus de 8 places assises pour le personnel vers leur lieux du travail (pièces détachées et accessoires = même sort)</w:t>
      </w:r>
    </w:p>
    <w:p w14:paraId="61854756" w14:textId="77777777" w:rsidR="004E1CC2" w:rsidRDefault="004E1CC2" w:rsidP="004E1CC2">
      <w:pPr>
        <w:pStyle w:val="ListParagraph"/>
        <w:numPr>
          <w:ilvl w:val="0"/>
          <w:numId w:val="1"/>
        </w:numPr>
        <w:tabs>
          <w:tab w:val="left" w:pos="1020"/>
        </w:tabs>
        <w:jc w:val="both"/>
      </w:pPr>
      <w:r>
        <w:t>Les biens cédés sans rémunérations : TVA sur les cadeaux non déductible sauf pour les objets publicitaires remis gratuitement, de très faible valeur &lt; ou = 65€ TTC par an et par bénéficiaire</w:t>
      </w:r>
    </w:p>
    <w:p w14:paraId="510E921F" w14:textId="77777777" w:rsidR="004E1CC2" w:rsidRDefault="004E1CC2" w:rsidP="004E1CC2">
      <w:pPr>
        <w:pStyle w:val="ListParagraph"/>
        <w:numPr>
          <w:ilvl w:val="0"/>
          <w:numId w:val="1"/>
        </w:numPr>
        <w:tabs>
          <w:tab w:val="left" w:pos="1020"/>
        </w:tabs>
        <w:jc w:val="both"/>
      </w:pPr>
      <w:r>
        <w:t>Certains produits pétroliers comme l’essence. Le gazole est déductible si le véhicule ouvre droit à déduction sinon la déduction est limitée à 80%, déduction totale pour GPL et GNV</w:t>
      </w:r>
    </w:p>
    <w:p w14:paraId="37088DF9" w14:textId="77777777" w:rsidR="004E1CC2" w:rsidRDefault="004E1CC2" w:rsidP="004E1CC2">
      <w:pPr>
        <w:pStyle w:val="ListParagraph"/>
        <w:numPr>
          <w:ilvl w:val="0"/>
          <w:numId w:val="1"/>
        </w:numPr>
        <w:tabs>
          <w:tab w:val="left" w:pos="1020"/>
        </w:tabs>
        <w:jc w:val="both"/>
      </w:pPr>
      <w:r>
        <w:t>Services afférents aux biens exclus à déduction, locations de biens exclus du droit à déduction.</w:t>
      </w:r>
    </w:p>
    <w:p w14:paraId="5E3B53B6" w14:textId="77777777" w:rsidR="004E1CC2" w:rsidRDefault="004E1CC2" w:rsidP="004E1CC2">
      <w:pPr>
        <w:tabs>
          <w:tab w:val="left" w:pos="1020"/>
        </w:tabs>
        <w:jc w:val="both"/>
      </w:pPr>
    </w:p>
    <w:p w14:paraId="2507472F" w14:textId="77777777" w:rsidR="004E1CC2" w:rsidRPr="004E1CC2" w:rsidRDefault="004E1CC2" w:rsidP="004E1CC2">
      <w:pPr>
        <w:tabs>
          <w:tab w:val="left" w:pos="1020"/>
        </w:tabs>
        <w:jc w:val="both"/>
        <w:rPr>
          <w:b/>
          <w:sz w:val="28"/>
          <w:szCs w:val="28"/>
        </w:rPr>
      </w:pPr>
      <w:r w:rsidRPr="004E1CC2">
        <w:rPr>
          <w:b/>
          <w:sz w:val="28"/>
          <w:szCs w:val="28"/>
        </w:rPr>
        <w:t>B</w:t>
      </w:r>
      <w:r>
        <w:rPr>
          <w:b/>
          <w:sz w:val="28"/>
          <w:szCs w:val="28"/>
        </w:rPr>
        <w:t xml:space="preserve"> </w:t>
      </w:r>
      <w:r w:rsidRPr="004E1CC2">
        <w:rPr>
          <w:b/>
          <w:sz w:val="28"/>
          <w:szCs w:val="28"/>
        </w:rPr>
        <w:t>- Condition</w:t>
      </w:r>
      <w:r w:rsidR="00551BD3">
        <w:rPr>
          <w:b/>
          <w:sz w:val="28"/>
          <w:szCs w:val="28"/>
        </w:rPr>
        <w:t>s</w:t>
      </w:r>
      <w:r w:rsidRPr="004E1CC2">
        <w:rPr>
          <w:b/>
          <w:sz w:val="28"/>
          <w:szCs w:val="28"/>
        </w:rPr>
        <w:t xml:space="preserve"> de forme</w:t>
      </w:r>
    </w:p>
    <w:p w14:paraId="2342964A" w14:textId="77777777" w:rsidR="004E1CC2" w:rsidRDefault="004E1CC2" w:rsidP="004E1CC2">
      <w:pPr>
        <w:tabs>
          <w:tab w:val="left" w:pos="1020"/>
        </w:tabs>
        <w:jc w:val="both"/>
      </w:pPr>
    </w:p>
    <w:p w14:paraId="4C8C61E9" w14:textId="77777777" w:rsidR="004E1CC2" w:rsidRDefault="004E1CC2" w:rsidP="004E1CC2">
      <w:pPr>
        <w:tabs>
          <w:tab w:val="left" w:pos="1020"/>
        </w:tabs>
        <w:jc w:val="both"/>
      </w:pPr>
      <w:r>
        <w:t>Une fois que l’on sait si la TVA sur une dépense est déductible ou non, il faut, lorsqu’elle est déductible, qu’elel figure sur un document justificatif, qui peut-être :</w:t>
      </w:r>
    </w:p>
    <w:p w14:paraId="4094F6FE" w14:textId="77777777" w:rsidR="004E1CC2" w:rsidRDefault="004E1CC2" w:rsidP="004E1CC2">
      <w:pPr>
        <w:tabs>
          <w:tab w:val="left" w:pos="1020"/>
        </w:tabs>
        <w:jc w:val="both"/>
      </w:pPr>
    </w:p>
    <w:p w14:paraId="2DD455D3" w14:textId="77777777" w:rsidR="004E1CC2" w:rsidRDefault="004E1CC2" w:rsidP="004E1CC2">
      <w:pPr>
        <w:pStyle w:val="ListParagraph"/>
        <w:numPr>
          <w:ilvl w:val="0"/>
          <w:numId w:val="2"/>
        </w:numPr>
        <w:tabs>
          <w:tab w:val="left" w:pos="1020"/>
        </w:tabs>
        <w:jc w:val="both"/>
      </w:pPr>
      <w:r>
        <w:t>Facture d’achat nominative avec mention du montant de la TVA</w:t>
      </w:r>
    </w:p>
    <w:p w14:paraId="45ED5A8A" w14:textId="77777777" w:rsidR="004E1CC2" w:rsidRDefault="004E1CC2" w:rsidP="004E1CC2">
      <w:pPr>
        <w:pStyle w:val="ListParagraph"/>
        <w:numPr>
          <w:ilvl w:val="0"/>
          <w:numId w:val="2"/>
        </w:numPr>
        <w:tabs>
          <w:tab w:val="left" w:pos="1020"/>
        </w:tabs>
        <w:jc w:val="both"/>
      </w:pPr>
      <w:r>
        <w:t>Déclaration d’importation avec désignation du destinataire des biens</w:t>
      </w:r>
    </w:p>
    <w:p w14:paraId="3DB746A3" w14:textId="77777777" w:rsidR="004E1CC2" w:rsidRDefault="004E1CC2" w:rsidP="004E1CC2">
      <w:pPr>
        <w:pStyle w:val="ListParagraph"/>
        <w:numPr>
          <w:ilvl w:val="0"/>
          <w:numId w:val="2"/>
        </w:numPr>
        <w:tabs>
          <w:tab w:val="left" w:pos="1020"/>
        </w:tabs>
        <w:jc w:val="both"/>
      </w:pPr>
      <w:r>
        <w:t>Déclaration de l’entreprise elle-même : cas lorsque l’entreprise qui collecte la TVA Sur les biens dispose aussi du droit à déduction (acquisitions intracommunautaire, livraisons à soi-même, achats de déchets neufs d’industrie)</w:t>
      </w:r>
    </w:p>
    <w:p w14:paraId="3B1DA146" w14:textId="77777777" w:rsidR="004E1CC2" w:rsidRDefault="004E1CC2" w:rsidP="004E1CC2">
      <w:pPr>
        <w:tabs>
          <w:tab w:val="left" w:pos="1020"/>
        </w:tabs>
        <w:jc w:val="both"/>
      </w:pPr>
    </w:p>
    <w:p w14:paraId="7AC0CDE6" w14:textId="77777777" w:rsidR="004E1CC2" w:rsidRDefault="004E1CC2" w:rsidP="004E1CC2">
      <w:pPr>
        <w:tabs>
          <w:tab w:val="left" w:pos="1020"/>
        </w:tabs>
        <w:jc w:val="both"/>
      </w:pPr>
    </w:p>
    <w:p w14:paraId="51A7D7BB" w14:textId="77777777" w:rsidR="004E1CC2" w:rsidRDefault="004E1CC2" w:rsidP="004E1CC2">
      <w:pPr>
        <w:tabs>
          <w:tab w:val="left" w:pos="1020"/>
        </w:tabs>
        <w:jc w:val="both"/>
      </w:pPr>
    </w:p>
    <w:p w14:paraId="2F0BFF6B" w14:textId="77777777" w:rsidR="004E1CC2" w:rsidRDefault="004E1CC2" w:rsidP="004E1CC2">
      <w:pPr>
        <w:tabs>
          <w:tab w:val="left" w:pos="1020"/>
        </w:tabs>
        <w:jc w:val="both"/>
      </w:pPr>
    </w:p>
    <w:p w14:paraId="7A528795" w14:textId="77777777" w:rsidR="004E1CC2" w:rsidRDefault="004E1CC2" w:rsidP="004E1CC2">
      <w:pPr>
        <w:tabs>
          <w:tab w:val="left" w:pos="1020"/>
        </w:tabs>
        <w:jc w:val="both"/>
        <w:rPr>
          <w:b/>
          <w:sz w:val="28"/>
          <w:szCs w:val="28"/>
        </w:rPr>
      </w:pPr>
      <w:r w:rsidRPr="004E1CC2">
        <w:rPr>
          <w:b/>
          <w:sz w:val="28"/>
          <w:szCs w:val="28"/>
        </w:rPr>
        <w:lastRenderedPageBreak/>
        <w:t>C</w:t>
      </w:r>
      <w:r>
        <w:rPr>
          <w:b/>
          <w:sz w:val="28"/>
          <w:szCs w:val="28"/>
        </w:rPr>
        <w:t xml:space="preserve"> </w:t>
      </w:r>
      <w:r w:rsidRPr="004E1CC2">
        <w:rPr>
          <w:b/>
          <w:sz w:val="28"/>
          <w:szCs w:val="28"/>
        </w:rPr>
        <w:t>- Condition</w:t>
      </w:r>
      <w:r w:rsidR="00551BD3">
        <w:rPr>
          <w:b/>
          <w:sz w:val="28"/>
          <w:szCs w:val="28"/>
        </w:rPr>
        <w:t>s</w:t>
      </w:r>
      <w:r w:rsidRPr="004E1CC2">
        <w:rPr>
          <w:b/>
          <w:sz w:val="28"/>
          <w:szCs w:val="28"/>
        </w:rPr>
        <w:t xml:space="preserve"> de délai</w:t>
      </w:r>
    </w:p>
    <w:p w14:paraId="4B28458E" w14:textId="77777777" w:rsidR="004E1CC2" w:rsidRPr="004E1CC2" w:rsidRDefault="004E1CC2" w:rsidP="004E1CC2">
      <w:pPr>
        <w:tabs>
          <w:tab w:val="left" w:pos="1020"/>
        </w:tabs>
        <w:jc w:val="both"/>
        <w:rPr>
          <w:b/>
          <w:sz w:val="28"/>
          <w:szCs w:val="28"/>
        </w:rPr>
      </w:pPr>
    </w:p>
    <w:p w14:paraId="63013E1D" w14:textId="77777777" w:rsidR="004E1CC2" w:rsidRDefault="004E1CC2" w:rsidP="004E1CC2">
      <w:pPr>
        <w:tabs>
          <w:tab w:val="left" w:pos="1020"/>
        </w:tabs>
        <w:jc w:val="both"/>
      </w:pPr>
      <w:r>
        <w:t>Date du droit à déduction chez client = date d’exigibilité chez le fournisseur</w:t>
      </w:r>
    </w:p>
    <w:p w14:paraId="41B8BD18" w14:textId="77777777" w:rsidR="004E1CC2" w:rsidRDefault="004E1CC2" w:rsidP="004E1CC2">
      <w:pPr>
        <w:tabs>
          <w:tab w:val="left" w:pos="1020"/>
        </w:tabs>
        <w:jc w:val="both"/>
      </w:pPr>
      <w:r>
        <w:t>En cas d’omission de déduction de TVA, l’entreprise peut la déduire jusqu’au 31/12 de la deuxième année qui suit celle de l’omission.</w:t>
      </w:r>
    </w:p>
    <w:p w14:paraId="673B2466" w14:textId="77777777" w:rsidR="00551BD3" w:rsidRDefault="00551BD3" w:rsidP="004E1CC2">
      <w:pPr>
        <w:tabs>
          <w:tab w:val="left" w:pos="1020"/>
        </w:tabs>
        <w:jc w:val="both"/>
      </w:pPr>
    </w:p>
    <w:p w14:paraId="62F03F5C" w14:textId="77777777" w:rsidR="00551BD3" w:rsidRPr="00551BD3" w:rsidRDefault="00551BD3" w:rsidP="004E1CC2">
      <w:pPr>
        <w:tabs>
          <w:tab w:val="left" w:pos="1020"/>
        </w:tabs>
        <w:jc w:val="both"/>
        <w:rPr>
          <w:b/>
          <w:sz w:val="28"/>
          <w:szCs w:val="28"/>
        </w:rPr>
      </w:pPr>
      <w:r w:rsidRPr="00551BD3">
        <w:rPr>
          <w:b/>
          <w:sz w:val="28"/>
          <w:szCs w:val="28"/>
        </w:rPr>
        <w:t>D- Modalités dé récupération de la TVA</w:t>
      </w:r>
    </w:p>
    <w:p w14:paraId="35BB9240" w14:textId="77777777" w:rsidR="00551BD3" w:rsidRDefault="00551BD3" w:rsidP="004E1CC2">
      <w:pPr>
        <w:tabs>
          <w:tab w:val="left" w:pos="1020"/>
        </w:tabs>
        <w:jc w:val="both"/>
      </w:pPr>
      <w:r>
        <w:tab/>
        <w:t xml:space="preserve">1) </w:t>
      </w:r>
      <w:r w:rsidRPr="00551BD3">
        <w:rPr>
          <w:u w:val="single"/>
        </w:rPr>
        <w:t>Principe de l’imputation</w:t>
      </w:r>
    </w:p>
    <w:p w14:paraId="77E67551" w14:textId="77777777" w:rsidR="00551BD3" w:rsidRDefault="00551BD3" w:rsidP="004E1CC2">
      <w:pPr>
        <w:tabs>
          <w:tab w:val="left" w:pos="1020"/>
        </w:tabs>
        <w:jc w:val="both"/>
      </w:pPr>
    </w:p>
    <w:p w14:paraId="5F2F9CFC" w14:textId="77777777" w:rsidR="00551BD3" w:rsidRDefault="00551BD3" w:rsidP="004E1CC2">
      <w:pPr>
        <w:tabs>
          <w:tab w:val="left" w:pos="1020"/>
        </w:tabs>
        <w:jc w:val="both"/>
      </w:pPr>
      <w:r>
        <w:t>La déduction de la TVA est opérée par imputation sur la TVA due par le redevable, au titre de ses opérations imposables.</w:t>
      </w:r>
    </w:p>
    <w:p w14:paraId="40A6536D" w14:textId="77777777" w:rsidR="00551BD3" w:rsidRDefault="00551BD3" w:rsidP="004E1CC2">
      <w:pPr>
        <w:tabs>
          <w:tab w:val="left" w:pos="1020"/>
        </w:tabs>
        <w:jc w:val="both"/>
      </w:pPr>
    </w:p>
    <w:p w14:paraId="47DB5B4F" w14:textId="77777777" w:rsidR="00551BD3" w:rsidRDefault="00551BD3" w:rsidP="004E1CC2">
      <w:pPr>
        <w:tabs>
          <w:tab w:val="left" w:pos="1020"/>
        </w:tabs>
        <w:jc w:val="both"/>
        <w:rPr>
          <w:u w:val="single"/>
        </w:rPr>
      </w:pPr>
      <w:r>
        <w:tab/>
        <w:t xml:space="preserve">2) </w:t>
      </w:r>
      <w:r w:rsidRPr="00551BD3">
        <w:rPr>
          <w:u w:val="single"/>
        </w:rPr>
        <w:t>Cas de remboursement</w:t>
      </w:r>
      <w:r w:rsidR="00613FF0">
        <w:rPr>
          <w:u w:val="single"/>
        </w:rPr>
        <w:t> : le crédit de TVA</w:t>
      </w:r>
    </w:p>
    <w:p w14:paraId="454AAFF4" w14:textId="77777777" w:rsidR="00613FF0" w:rsidRDefault="00613FF0" w:rsidP="004E1CC2">
      <w:pPr>
        <w:tabs>
          <w:tab w:val="left" w:pos="1020"/>
        </w:tabs>
        <w:jc w:val="both"/>
      </w:pPr>
      <w:r>
        <w:t>Une entreprise se trouve en crédit e TVA lorsque la TVA déductible excède la TVA collectée.</w:t>
      </w:r>
    </w:p>
    <w:p w14:paraId="5D4CFDB4" w14:textId="77777777" w:rsidR="00613FF0" w:rsidRDefault="00613FF0" w:rsidP="004E1CC2">
      <w:pPr>
        <w:tabs>
          <w:tab w:val="left" w:pos="1020"/>
        </w:tabs>
        <w:jc w:val="both"/>
      </w:pPr>
      <w:r>
        <w:t>L’excèdent de TVA déductible peut être imputé sur les périodes suivantes (sans limite de délai) ou encoreêtre remboursé dans les conditions suivantes</w:t>
      </w:r>
    </w:p>
    <w:p w14:paraId="6DADC8F7" w14:textId="77777777" w:rsidR="00613FF0" w:rsidRDefault="00613FF0" w:rsidP="004E1CC2">
      <w:pPr>
        <w:tabs>
          <w:tab w:val="left" w:pos="1020"/>
        </w:tabs>
        <w:jc w:val="both"/>
      </w:pPr>
    </w:p>
    <w:tbl>
      <w:tblPr>
        <w:tblStyle w:val="MediumShading1-Accent5"/>
        <w:tblW w:w="0" w:type="auto"/>
        <w:tblLook w:val="04A0" w:firstRow="1" w:lastRow="0" w:firstColumn="1" w:lastColumn="0" w:noHBand="0" w:noVBand="1"/>
      </w:tblPr>
      <w:tblGrid>
        <w:gridCol w:w="2129"/>
        <w:gridCol w:w="2129"/>
        <w:gridCol w:w="2129"/>
        <w:gridCol w:w="2129"/>
      </w:tblGrid>
      <w:tr w:rsidR="00613FF0" w14:paraId="7C70F9B8" w14:textId="77777777" w:rsidTr="00613FF0">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129" w:type="dxa"/>
          </w:tcPr>
          <w:p w14:paraId="3F039F1F" w14:textId="77777777" w:rsidR="00613FF0" w:rsidRDefault="00613FF0" w:rsidP="00613FF0">
            <w:pPr>
              <w:tabs>
                <w:tab w:val="left" w:pos="1020"/>
              </w:tabs>
              <w:jc w:val="center"/>
            </w:pPr>
            <w:r>
              <w:t>Crédit de taxe</w:t>
            </w:r>
          </w:p>
        </w:tc>
        <w:tc>
          <w:tcPr>
            <w:tcW w:w="2129" w:type="dxa"/>
          </w:tcPr>
          <w:p w14:paraId="08FC379D" w14:textId="77777777" w:rsidR="00613FF0" w:rsidRDefault="00613FF0" w:rsidP="00613FF0">
            <w:pPr>
              <w:tabs>
                <w:tab w:val="left" w:pos="1020"/>
              </w:tabs>
              <w:jc w:val="center"/>
              <w:cnfStyle w:val="100000000000" w:firstRow="1" w:lastRow="0" w:firstColumn="0" w:lastColumn="0" w:oddVBand="0" w:evenVBand="0" w:oddHBand="0" w:evenHBand="0" w:firstRowFirstColumn="0" w:firstRowLastColumn="0" w:lastRowFirstColumn="0" w:lastRowLastColumn="0"/>
            </w:pPr>
            <w:r>
              <w:t>Montant minimum</w:t>
            </w:r>
          </w:p>
        </w:tc>
        <w:tc>
          <w:tcPr>
            <w:tcW w:w="2129" w:type="dxa"/>
          </w:tcPr>
          <w:p w14:paraId="4EEE4339" w14:textId="77777777" w:rsidR="00613FF0" w:rsidRDefault="00613FF0" w:rsidP="00613FF0">
            <w:pPr>
              <w:tabs>
                <w:tab w:val="left" w:pos="1020"/>
              </w:tabs>
              <w:jc w:val="center"/>
              <w:cnfStyle w:val="100000000000" w:firstRow="1" w:lastRow="0" w:firstColumn="0" w:lastColumn="0" w:oddVBand="0" w:evenVBand="0" w:oddHBand="0" w:evenHBand="0" w:firstRowFirstColumn="0" w:firstRowLastColumn="0" w:lastRowFirstColumn="0" w:lastRowLastColumn="0"/>
            </w:pPr>
            <w:r>
              <w:t>Périodicité</w:t>
            </w:r>
          </w:p>
        </w:tc>
        <w:tc>
          <w:tcPr>
            <w:tcW w:w="2129" w:type="dxa"/>
          </w:tcPr>
          <w:p w14:paraId="2595BC99" w14:textId="77777777" w:rsidR="00613FF0" w:rsidRDefault="00613FF0" w:rsidP="00613FF0">
            <w:pPr>
              <w:tabs>
                <w:tab w:val="left" w:pos="1020"/>
              </w:tabs>
              <w:jc w:val="center"/>
              <w:cnfStyle w:val="100000000000" w:firstRow="1" w:lastRow="0" w:firstColumn="0" w:lastColumn="0" w:oddVBand="0" w:evenVBand="0" w:oddHBand="0" w:evenHBand="0" w:firstRowFirstColumn="0" w:firstRowLastColumn="0" w:lastRowFirstColumn="0" w:lastRowLastColumn="0"/>
            </w:pPr>
            <w:r>
              <w:t>Date de la demande</w:t>
            </w:r>
          </w:p>
        </w:tc>
      </w:tr>
      <w:tr w:rsidR="00613FF0" w14:paraId="3DFEEB48" w14:textId="77777777" w:rsidTr="00613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14:paraId="1528F445" w14:textId="77777777" w:rsidR="00613FF0" w:rsidRDefault="00613FF0" w:rsidP="00613FF0">
            <w:pPr>
              <w:tabs>
                <w:tab w:val="left" w:pos="1020"/>
              </w:tabs>
              <w:jc w:val="center"/>
            </w:pPr>
            <w:r>
              <w:t>Occasionnel</w:t>
            </w:r>
          </w:p>
        </w:tc>
        <w:tc>
          <w:tcPr>
            <w:tcW w:w="2129" w:type="dxa"/>
          </w:tcPr>
          <w:p w14:paraId="5F2FA83F" w14:textId="77777777" w:rsidR="00613FF0" w:rsidRDefault="00613FF0" w:rsidP="00613FF0">
            <w:pPr>
              <w:tabs>
                <w:tab w:val="left" w:pos="1020"/>
              </w:tabs>
              <w:jc w:val="center"/>
              <w:cnfStyle w:val="000000100000" w:firstRow="0" w:lastRow="0" w:firstColumn="0" w:lastColumn="0" w:oddVBand="0" w:evenVBand="0" w:oddHBand="1" w:evenHBand="0" w:firstRowFirstColumn="0" w:firstRowLastColumn="0" w:lastRowFirstColumn="0" w:lastRowLastColumn="0"/>
            </w:pPr>
            <w:r>
              <w:t>&gt; 150€</w:t>
            </w:r>
          </w:p>
        </w:tc>
        <w:tc>
          <w:tcPr>
            <w:tcW w:w="2129" w:type="dxa"/>
          </w:tcPr>
          <w:p w14:paraId="42566708" w14:textId="77777777" w:rsidR="00613FF0" w:rsidRDefault="00613FF0" w:rsidP="00613FF0">
            <w:pPr>
              <w:tabs>
                <w:tab w:val="left" w:pos="1020"/>
              </w:tabs>
              <w:jc w:val="center"/>
              <w:cnfStyle w:val="000000100000" w:firstRow="0" w:lastRow="0" w:firstColumn="0" w:lastColumn="0" w:oddVBand="0" w:evenVBand="0" w:oddHBand="1" w:evenHBand="0" w:firstRowFirstColumn="0" w:firstRowLastColumn="0" w:lastRowFirstColumn="0" w:lastRowLastColumn="0"/>
            </w:pPr>
            <w:r>
              <w:t>Annuelle</w:t>
            </w:r>
          </w:p>
        </w:tc>
        <w:tc>
          <w:tcPr>
            <w:tcW w:w="2129" w:type="dxa"/>
          </w:tcPr>
          <w:p w14:paraId="07BB7833" w14:textId="77777777" w:rsidR="00613FF0" w:rsidRDefault="00613FF0" w:rsidP="00613FF0">
            <w:pPr>
              <w:tabs>
                <w:tab w:val="left" w:pos="1020"/>
              </w:tabs>
              <w:jc w:val="center"/>
              <w:cnfStyle w:val="000000100000" w:firstRow="0" w:lastRow="0" w:firstColumn="0" w:lastColumn="0" w:oddVBand="0" w:evenVBand="0" w:oddHBand="1" w:evenHBand="0" w:firstRowFirstColumn="0" w:firstRowLastColumn="0" w:lastRowFirstColumn="0" w:lastRowLastColumn="0"/>
            </w:pPr>
            <w:r>
              <w:t>En janvier N+1</w:t>
            </w:r>
          </w:p>
        </w:tc>
      </w:tr>
      <w:tr w:rsidR="00613FF0" w14:paraId="67B13E9B" w14:textId="77777777" w:rsidTr="00613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14:paraId="7795102E" w14:textId="77777777" w:rsidR="00613FF0" w:rsidRDefault="00613FF0" w:rsidP="00613FF0">
            <w:pPr>
              <w:tabs>
                <w:tab w:val="left" w:pos="1020"/>
              </w:tabs>
              <w:jc w:val="center"/>
            </w:pPr>
            <w:r>
              <w:t>Permanent</w:t>
            </w:r>
          </w:p>
        </w:tc>
        <w:tc>
          <w:tcPr>
            <w:tcW w:w="2129" w:type="dxa"/>
          </w:tcPr>
          <w:p w14:paraId="2C9AAB8C" w14:textId="77777777" w:rsidR="00613FF0" w:rsidRDefault="00613FF0" w:rsidP="00613FF0">
            <w:pPr>
              <w:tabs>
                <w:tab w:val="left" w:pos="1020"/>
              </w:tabs>
              <w:jc w:val="center"/>
              <w:cnfStyle w:val="000000010000" w:firstRow="0" w:lastRow="0" w:firstColumn="0" w:lastColumn="0" w:oddVBand="0" w:evenVBand="0" w:oddHBand="0" w:evenHBand="1" w:firstRowFirstColumn="0" w:firstRowLastColumn="0" w:lastRowFirstColumn="0" w:lastRowLastColumn="0"/>
            </w:pPr>
            <w:r>
              <w:rPr>
                <w:rFonts w:ascii="Cambria" w:hAnsi="Cambria"/>
              </w:rPr>
              <w:t>≥</w:t>
            </w:r>
            <w:r>
              <w:t xml:space="preserve"> 760 €</w:t>
            </w:r>
          </w:p>
        </w:tc>
        <w:tc>
          <w:tcPr>
            <w:tcW w:w="2129" w:type="dxa"/>
          </w:tcPr>
          <w:p w14:paraId="44B3F6FF" w14:textId="77777777" w:rsidR="00613FF0" w:rsidRDefault="00613FF0" w:rsidP="00613FF0">
            <w:pPr>
              <w:tabs>
                <w:tab w:val="left" w:pos="1020"/>
              </w:tabs>
              <w:jc w:val="center"/>
              <w:cnfStyle w:val="000000010000" w:firstRow="0" w:lastRow="0" w:firstColumn="0" w:lastColumn="0" w:oddVBand="0" w:evenVBand="0" w:oddHBand="0" w:evenHBand="1" w:firstRowFirstColumn="0" w:firstRowLastColumn="0" w:lastRowFirstColumn="0" w:lastRowLastColumn="0"/>
            </w:pPr>
            <w:r>
              <w:t>Mensuelle</w:t>
            </w:r>
          </w:p>
        </w:tc>
        <w:tc>
          <w:tcPr>
            <w:tcW w:w="2129" w:type="dxa"/>
          </w:tcPr>
          <w:p w14:paraId="47176602" w14:textId="77777777" w:rsidR="00613FF0" w:rsidRPr="00613FF0" w:rsidRDefault="00613FF0" w:rsidP="00613FF0">
            <w:pPr>
              <w:tabs>
                <w:tab w:val="left" w:pos="1020"/>
              </w:tabs>
              <w:jc w:val="center"/>
              <w:cnfStyle w:val="000000010000" w:firstRow="0" w:lastRow="0" w:firstColumn="0" w:lastColumn="0" w:oddVBand="0" w:evenVBand="0" w:oddHBand="0" w:evenHBand="1" w:firstRowFirstColumn="0" w:firstRowLastColumn="0" w:lastRowFirstColumn="0" w:lastRowLastColumn="0"/>
              <w:rPr>
                <w:sz w:val="20"/>
                <w:szCs w:val="20"/>
              </w:rPr>
            </w:pPr>
            <w:r w:rsidRPr="00613FF0">
              <w:rPr>
                <w:sz w:val="20"/>
                <w:szCs w:val="20"/>
              </w:rPr>
              <w:t>Au cours du mois M1</w:t>
            </w:r>
          </w:p>
        </w:tc>
      </w:tr>
    </w:tbl>
    <w:p w14:paraId="15BB9F05" w14:textId="77777777" w:rsidR="00613FF0" w:rsidRDefault="00613FF0" w:rsidP="004E1CC2">
      <w:pPr>
        <w:tabs>
          <w:tab w:val="left" w:pos="1020"/>
        </w:tabs>
        <w:jc w:val="both"/>
      </w:pPr>
    </w:p>
    <w:p w14:paraId="59D04D12" w14:textId="77777777" w:rsidR="00613FF0" w:rsidRDefault="00613FF0" w:rsidP="004E1CC2">
      <w:pPr>
        <w:tabs>
          <w:tab w:val="left" w:pos="1020"/>
        </w:tabs>
        <w:jc w:val="both"/>
      </w:pPr>
      <w:r>
        <w:t xml:space="preserve">E. </w:t>
      </w:r>
      <w:r w:rsidRPr="00613FF0">
        <w:rPr>
          <w:b/>
        </w:rPr>
        <w:t>Obligations des contribuables</w:t>
      </w:r>
    </w:p>
    <w:p w14:paraId="2729859B" w14:textId="77777777" w:rsidR="00613FF0" w:rsidRDefault="00613FF0" w:rsidP="004E1CC2">
      <w:pPr>
        <w:tabs>
          <w:tab w:val="left" w:pos="1020"/>
        </w:tabs>
        <w:jc w:val="both"/>
      </w:pPr>
      <w:r>
        <w:rPr>
          <w:b/>
        </w:rPr>
        <w:tab/>
      </w:r>
      <w:r w:rsidRPr="00613FF0">
        <w:rPr>
          <w:b/>
        </w:rPr>
        <w:t>1)</w:t>
      </w:r>
      <w:r>
        <w:t xml:space="preserve"> </w:t>
      </w:r>
      <w:r w:rsidRPr="00613FF0">
        <w:rPr>
          <w:b/>
        </w:rPr>
        <w:t>Facturation</w:t>
      </w:r>
    </w:p>
    <w:p w14:paraId="7EF74B85" w14:textId="77777777" w:rsidR="00613FF0" w:rsidRDefault="00613FF0" w:rsidP="004E1CC2">
      <w:pPr>
        <w:tabs>
          <w:tab w:val="left" w:pos="1020"/>
        </w:tabs>
        <w:jc w:val="both"/>
      </w:pPr>
      <w:r w:rsidRPr="00613FF0">
        <w:rPr>
          <w:u w:val="single"/>
        </w:rPr>
        <w:t>La facture est obligatoire</w:t>
      </w:r>
      <w:r>
        <w:t xml:space="preserve"> pour la livraison de biens et prestations de services à un autre assujetti ; les mêmes opérations à un non assujetti s’il sagit d’une personne morale, les accomptes perçus, les livraisons intracommunautaires.</w:t>
      </w:r>
    </w:p>
    <w:p w14:paraId="701920B4" w14:textId="77777777" w:rsidR="00613FF0" w:rsidRDefault="00613FF0" w:rsidP="004E1CC2">
      <w:pPr>
        <w:tabs>
          <w:tab w:val="left" w:pos="1020"/>
        </w:tabs>
        <w:jc w:val="both"/>
      </w:pPr>
    </w:p>
    <w:p w14:paraId="0F088F1B" w14:textId="77777777" w:rsidR="00613FF0" w:rsidRDefault="00613FF0" w:rsidP="004E1CC2">
      <w:pPr>
        <w:tabs>
          <w:tab w:val="left" w:pos="1020"/>
        </w:tabs>
        <w:jc w:val="both"/>
      </w:pPr>
      <w:r>
        <w:rPr>
          <w:b/>
        </w:rPr>
        <w:tab/>
      </w:r>
      <w:r w:rsidRPr="00613FF0">
        <w:rPr>
          <w:b/>
        </w:rPr>
        <w:t>2)</w:t>
      </w:r>
      <w:r>
        <w:t xml:space="preserve"> </w:t>
      </w:r>
      <w:r w:rsidRPr="00613FF0">
        <w:rPr>
          <w:b/>
        </w:rPr>
        <w:t>Tenue</w:t>
      </w:r>
      <w:r>
        <w:t xml:space="preserve"> </w:t>
      </w:r>
      <w:r w:rsidRPr="00613FF0">
        <w:rPr>
          <w:b/>
        </w:rPr>
        <w:t>de</w:t>
      </w:r>
      <w:r>
        <w:t xml:space="preserve"> </w:t>
      </w:r>
      <w:r w:rsidRPr="00613FF0">
        <w:rPr>
          <w:b/>
        </w:rPr>
        <w:t>comptabilité</w:t>
      </w:r>
    </w:p>
    <w:p w14:paraId="5666C012" w14:textId="77777777" w:rsidR="00613FF0" w:rsidRDefault="00613FF0" w:rsidP="004E1CC2">
      <w:pPr>
        <w:tabs>
          <w:tab w:val="left" w:pos="1020"/>
        </w:tabs>
        <w:jc w:val="both"/>
      </w:pPr>
      <w:r w:rsidRPr="00613FF0">
        <w:rPr>
          <w:u w:val="single"/>
        </w:rPr>
        <w:t>Obligation de tenir une comptabilité</w:t>
      </w:r>
      <w:r>
        <w:t xml:space="preserve"> mentionnant les opérations non soumises, les acquisitions de biens et services avec montant HT, TVA et nom et adresse du fournisseur (idem pour factures émises c’est à dire les ventes).</w:t>
      </w:r>
    </w:p>
    <w:p w14:paraId="3EE35465" w14:textId="77777777" w:rsidR="00613FF0" w:rsidRDefault="00613FF0" w:rsidP="004E1CC2">
      <w:pPr>
        <w:tabs>
          <w:tab w:val="left" w:pos="1020"/>
        </w:tabs>
        <w:jc w:val="both"/>
      </w:pPr>
    </w:p>
    <w:p w14:paraId="32298913" w14:textId="77777777" w:rsidR="00613FF0" w:rsidRDefault="00613FF0" w:rsidP="004E1CC2">
      <w:pPr>
        <w:tabs>
          <w:tab w:val="left" w:pos="1020"/>
        </w:tabs>
        <w:jc w:val="both"/>
      </w:pPr>
      <w:r>
        <w:rPr>
          <w:b/>
        </w:rPr>
        <w:tab/>
      </w:r>
      <w:r w:rsidRPr="00613FF0">
        <w:rPr>
          <w:b/>
        </w:rPr>
        <w:t>3)</w:t>
      </w:r>
      <w:r>
        <w:t xml:space="preserve"> </w:t>
      </w:r>
      <w:r w:rsidRPr="00613FF0">
        <w:rPr>
          <w:b/>
        </w:rPr>
        <w:t>Numéro</w:t>
      </w:r>
      <w:r>
        <w:t xml:space="preserve"> </w:t>
      </w:r>
      <w:r w:rsidRPr="00613FF0">
        <w:rPr>
          <w:b/>
        </w:rPr>
        <w:t>individuel</w:t>
      </w:r>
      <w:r>
        <w:t xml:space="preserve"> </w:t>
      </w:r>
      <w:r w:rsidRPr="00613FF0">
        <w:rPr>
          <w:b/>
        </w:rPr>
        <w:t>d’identification</w:t>
      </w:r>
    </w:p>
    <w:p w14:paraId="7E7C6455" w14:textId="77777777" w:rsidR="00613FF0" w:rsidRDefault="00613FF0" w:rsidP="004E1CC2">
      <w:pPr>
        <w:tabs>
          <w:tab w:val="left" w:pos="1020"/>
        </w:tabs>
        <w:jc w:val="both"/>
      </w:pPr>
      <w:r>
        <w:t>Attribué par l’administration fiscale, il est composé de 13 caractères commençant par FR (pour France), il doit figurer sur les factures.</w:t>
      </w:r>
    </w:p>
    <w:p w14:paraId="05220732" w14:textId="77777777" w:rsidR="00613FF0" w:rsidRDefault="00613FF0" w:rsidP="004E1CC2">
      <w:pPr>
        <w:tabs>
          <w:tab w:val="left" w:pos="1020"/>
        </w:tabs>
        <w:jc w:val="both"/>
      </w:pPr>
    </w:p>
    <w:p w14:paraId="057AB573" w14:textId="77777777" w:rsidR="00613FF0" w:rsidRPr="00613FF0" w:rsidRDefault="00613FF0" w:rsidP="004E1CC2">
      <w:pPr>
        <w:tabs>
          <w:tab w:val="left" w:pos="1020"/>
        </w:tabs>
        <w:jc w:val="both"/>
        <w:rPr>
          <w:b/>
        </w:rPr>
      </w:pPr>
      <w:r w:rsidRPr="00613FF0">
        <w:rPr>
          <w:b/>
        </w:rPr>
        <w:tab/>
        <w:t>4) Liquidation et déclarations périodiques</w:t>
      </w:r>
    </w:p>
    <w:p w14:paraId="4F8FBDAA" w14:textId="77777777" w:rsidR="00613FF0" w:rsidRDefault="00613FF0" w:rsidP="004E1CC2">
      <w:pPr>
        <w:tabs>
          <w:tab w:val="left" w:pos="1020"/>
        </w:tabs>
        <w:jc w:val="both"/>
      </w:pPr>
      <w:r>
        <w:t>Une déclaration de TVA doit être étable par l’assujetti au titre de chaque période de liquidation (selon le régime : mensuelle, trimestrielle ou annuelle)</w:t>
      </w:r>
    </w:p>
    <w:p w14:paraId="586C0822" w14:textId="77777777" w:rsidR="00613FF0" w:rsidRDefault="00613FF0" w:rsidP="004E1CC2">
      <w:pPr>
        <w:tabs>
          <w:tab w:val="left" w:pos="1020"/>
        </w:tabs>
        <w:jc w:val="both"/>
      </w:pPr>
    </w:p>
    <w:p w14:paraId="4380F756" w14:textId="77777777" w:rsidR="00613FF0" w:rsidRDefault="00613FF0" w:rsidP="004E1CC2">
      <w:pPr>
        <w:tabs>
          <w:tab w:val="left" w:pos="1020"/>
        </w:tabs>
        <w:jc w:val="both"/>
      </w:pPr>
      <w:r>
        <w:tab/>
      </w:r>
      <w:r w:rsidRPr="00613FF0">
        <w:rPr>
          <w:b/>
        </w:rPr>
        <w:t>5)</w:t>
      </w:r>
      <w:r>
        <w:t xml:space="preserve"> </w:t>
      </w:r>
      <w:r w:rsidRPr="00613FF0">
        <w:rPr>
          <w:b/>
        </w:rPr>
        <w:t>Modalité</w:t>
      </w:r>
      <w:r>
        <w:t xml:space="preserve"> </w:t>
      </w:r>
      <w:r w:rsidRPr="00613FF0">
        <w:rPr>
          <w:b/>
        </w:rPr>
        <w:t>de</w:t>
      </w:r>
      <w:r>
        <w:t xml:space="preserve"> </w:t>
      </w:r>
      <w:r w:rsidRPr="00613FF0">
        <w:rPr>
          <w:b/>
        </w:rPr>
        <w:t>paiement</w:t>
      </w:r>
    </w:p>
    <w:p w14:paraId="459D892A" w14:textId="77777777" w:rsidR="00613FF0" w:rsidRDefault="00613FF0" w:rsidP="004E1CC2">
      <w:pPr>
        <w:tabs>
          <w:tab w:val="left" w:pos="1020"/>
        </w:tabs>
        <w:jc w:val="both"/>
      </w:pPr>
      <w:r>
        <w:t>Il y a deux manières possibles : le téléreglement ou numéraire (espèces, chèque, …)</w:t>
      </w:r>
    </w:p>
    <w:p w14:paraId="47A3F1D0" w14:textId="77777777" w:rsidR="00613FF0" w:rsidRDefault="00613FF0" w:rsidP="004E1CC2">
      <w:pPr>
        <w:tabs>
          <w:tab w:val="left" w:pos="1020"/>
        </w:tabs>
        <w:jc w:val="both"/>
      </w:pPr>
      <w:r>
        <w:t>Le télérèglement est obligatoire pour toutes les sociétés soumises à l’IS quelque soit le CA à compter du 01/20/2012, c’est selon le CA et ce jusqu’au 01/10/2012 pour les autres entreprises.</w:t>
      </w:r>
    </w:p>
    <w:p w14:paraId="7780A56E" w14:textId="77777777" w:rsidR="00AB6DA2" w:rsidRDefault="00AB6DA2" w:rsidP="004E1CC2">
      <w:pPr>
        <w:tabs>
          <w:tab w:val="left" w:pos="1020"/>
        </w:tabs>
        <w:jc w:val="both"/>
      </w:pPr>
    </w:p>
    <w:p w14:paraId="1D576A3E" w14:textId="77777777" w:rsidR="00AB6DA2" w:rsidRPr="00AB6DA2" w:rsidRDefault="00AB6DA2" w:rsidP="004E1CC2">
      <w:pPr>
        <w:tabs>
          <w:tab w:val="left" w:pos="1020"/>
        </w:tabs>
        <w:jc w:val="both"/>
        <w:rPr>
          <w:b/>
        </w:rPr>
      </w:pPr>
      <w:r w:rsidRPr="00AB6DA2">
        <w:rPr>
          <w:b/>
        </w:rPr>
        <w:t>F. Les régimes d’imposition</w:t>
      </w:r>
    </w:p>
    <w:p w14:paraId="3D939AF9" w14:textId="77777777" w:rsidR="00AB6DA2" w:rsidRPr="00AB6DA2" w:rsidRDefault="00AB6DA2" w:rsidP="004E1CC2">
      <w:pPr>
        <w:tabs>
          <w:tab w:val="left" w:pos="1020"/>
        </w:tabs>
        <w:jc w:val="both"/>
        <w:rPr>
          <w:b/>
        </w:rPr>
      </w:pPr>
      <w:r>
        <w:tab/>
      </w:r>
      <w:r w:rsidRPr="00AB6DA2">
        <w:rPr>
          <w:b/>
        </w:rPr>
        <w:t>1) Champ d’application des régimes</w:t>
      </w:r>
    </w:p>
    <w:p w14:paraId="62AD231D" w14:textId="77777777" w:rsidR="00AB6DA2" w:rsidRDefault="00AB6DA2" w:rsidP="004E1CC2">
      <w:pPr>
        <w:tabs>
          <w:tab w:val="left" w:pos="1020"/>
        </w:tabs>
        <w:jc w:val="both"/>
      </w:pPr>
      <w:r>
        <w:t>Il y a deux régimes d’imposition :</w:t>
      </w:r>
    </w:p>
    <w:p w14:paraId="2728F584" w14:textId="77777777" w:rsidR="00AB6DA2" w:rsidRDefault="003468EE" w:rsidP="00AB6DA2">
      <w:pPr>
        <w:pStyle w:val="ListParagraph"/>
        <w:numPr>
          <w:ilvl w:val="0"/>
          <w:numId w:val="2"/>
        </w:numPr>
        <w:tabs>
          <w:tab w:val="left" w:pos="1020"/>
        </w:tabs>
        <w:jc w:val="both"/>
      </w:pPr>
      <w:r>
        <w:t>rég</w:t>
      </w:r>
      <w:r w:rsidR="00AB6DA2">
        <w:t>ime réel normal</w:t>
      </w:r>
    </w:p>
    <w:p w14:paraId="695F8498" w14:textId="77777777" w:rsidR="00AB6DA2" w:rsidRDefault="00AB6DA2" w:rsidP="00AB6DA2">
      <w:pPr>
        <w:pStyle w:val="ListParagraph"/>
        <w:numPr>
          <w:ilvl w:val="0"/>
          <w:numId w:val="2"/>
        </w:numPr>
        <w:tabs>
          <w:tab w:val="left" w:pos="1020"/>
        </w:tabs>
        <w:jc w:val="both"/>
      </w:pPr>
      <w:r>
        <w:t>régime réel simplifié et un régime d’exonération : franchise de TVA pour les micro-entreprises (Dans ce dernier, il n’y a ni déclaration, ni TVA collectée, ni TVA déductible)</w:t>
      </w:r>
    </w:p>
    <w:p w14:paraId="106EAB8A" w14:textId="77777777" w:rsidR="00AB6DA2" w:rsidRDefault="00AB6DA2" w:rsidP="00AB6DA2">
      <w:pPr>
        <w:tabs>
          <w:tab w:val="left" w:pos="1020"/>
        </w:tabs>
        <w:jc w:val="both"/>
      </w:pPr>
      <w:r>
        <w:t>Le régime dépend du chiffre d’affaires réalisé en N-1 (cf fiche 14)</w:t>
      </w:r>
    </w:p>
    <w:p w14:paraId="00B78B54" w14:textId="77777777" w:rsidR="00AB6DA2" w:rsidRDefault="00AB6DA2" w:rsidP="00AB6DA2">
      <w:pPr>
        <w:tabs>
          <w:tab w:val="left" w:pos="1020"/>
        </w:tabs>
        <w:jc w:val="both"/>
      </w:pPr>
    </w:p>
    <w:p w14:paraId="1C68BFDA" w14:textId="77777777" w:rsidR="00AB6DA2" w:rsidRPr="00AB6DA2" w:rsidRDefault="00AB6DA2" w:rsidP="00AB6DA2">
      <w:pPr>
        <w:tabs>
          <w:tab w:val="left" w:pos="1020"/>
        </w:tabs>
        <w:jc w:val="both"/>
        <w:rPr>
          <w:b/>
        </w:rPr>
      </w:pPr>
      <w:r>
        <w:tab/>
      </w:r>
      <w:r w:rsidRPr="00AB6DA2">
        <w:rPr>
          <w:b/>
        </w:rPr>
        <w:t>2) Régime du réel normal</w:t>
      </w:r>
    </w:p>
    <w:p w14:paraId="7994D9B9" w14:textId="77777777" w:rsidR="00AB6DA2" w:rsidRDefault="00AB6DA2" w:rsidP="00AB6DA2">
      <w:pPr>
        <w:tabs>
          <w:tab w:val="left" w:pos="1020"/>
        </w:tabs>
        <w:jc w:val="both"/>
      </w:pPr>
      <w:r>
        <w:t>Les assujetti</w:t>
      </w:r>
      <w:r w:rsidR="003468EE">
        <w:t>s</w:t>
      </w:r>
      <w:r>
        <w:t xml:space="preserve"> doivent établir chaque mois (chaque trimestre si la TVA à payer annuelle &lt; à 4000 euros) une déclaration CA3. Elle doit être adressée (télédéclarée) entre le 15 et le 25 du mois aux services fiscaux accompagnée du règlement.</w:t>
      </w:r>
    </w:p>
    <w:p w14:paraId="5E717725" w14:textId="77777777" w:rsidR="00AB6DA2" w:rsidRDefault="00AB6DA2" w:rsidP="00AB6DA2">
      <w:pPr>
        <w:tabs>
          <w:tab w:val="left" w:pos="1020"/>
        </w:tabs>
        <w:jc w:val="both"/>
      </w:pPr>
    </w:p>
    <w:p w14:paraId="41F49C16" w14:textId="77777777" w:rsidR="00AB6DA2" w:rsidRPr="00AB6DA2" w:rsidRDefault="00AB6DA2" w:rsidP="00AB6DA2">
      <w:pPr>
        <w:tabs>
          <w:tab w:val="left" w:pos="1020"/>
        </w:tabs>
        <w:jc w:val="both"/>
        <w:rPr>
          <w:b/>
        </w:rPr>
      </w:pPr>
      <w:r w:rsidRPr="00AB6DA2">
        <w:rPr>
          <w:b/>
        </w:rPr>
        <w:tab/>
        <w:t>3) Régime du réel simplifié</w:t>
      </w:r>
    </w:p>
    <w:p w14:paraId="6014C312" w14:textId="77777777" w:rsidR="00AB6DA2" w:rsidRDefault="00AB6DA2" w:rsidP="00AB6DA2">
      <w:pPr>
        <w:tabs>
          <w:tab w:val="left" w:pos="1020"/>
        </w:tabs>
        <w:jc w:val="both"/>
      </w:pPr>
      <w:r>
        <w:t>Des accomptes trimestriels précèdent la déclaration récapitulative annuelle, la CA12, qui doit être établie et déposée avant le 25/04/N+1 pour la TVA de l’année N.</w:t>
      </w:r>
    </w:p>
    <w:p w14:paraId="178C6388" w14:textId="77777777" w:rsidR="00613FF0" w:rsidRPr="00613FF0" w:rsidRDefault="00613FF0" w:rsidP="004E1CC2">
      <w:pPr>
        <w:tabs>
          <w:tab w:val="left" w:pos="1020"/>
        </w:tabs>
        <w:jc w:val="both"/>
      </w:pPr>
      <w:bookmarkStart w:id="0" w:name="_GoBack"/>
      <w:bookmarkEnd w:id="0"/>
    </w:p>
    <w:sectPr w:rsidR="00613FF0" w:rsidRPr="00613FF0" w:rsidSect="00715780">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021A8" w14:textId="77777777" w:rsidR="00AB6DA2" w:rsidRDefault="00AB6DA2" w:rsidP="004E1CC2">
      <w:r>
        <w:separator/>
      </w:r>
    </w:p>
  </w:endnote>
  <w:endnote w:type="continuationSeparator" w:id="0">
    <w:p w14:paraId="4DEC4882" w14:textId="77777777" w:rsidR="00AB6DA2" w:rsidRDefault="00AB6DA2" w:rsidP="004E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5FC90" w14:textId="77777777" w:rsidR="00AB6DA2" w:rsidRDefault="00AB6DA2" w:rsidP="004E1C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6DAAF" w14:textId="77777777" w:rsidR="00AB6DA2" w:rsidRDefault="00AB6D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1066B" w14:textId="77777777" w:rsidR="00AB6DA2" w:rsidRDefault="00AB6DA2" w:rsidP="004E1C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68EE">
      <w:rPr>
        <w:rStyle w:val="PageNumber"/>
        <w:noProof/>
      </w:rPr>
      <w:t>1</w:t>
    </w:r>
    <w:r>
      <w:rPr>
        <w:rStyle w:val="PageNumber"/>
      </w:rPr>
      <w:fldChar w:fldCharType="end"/>
    </w:r>
  </w:p>
  <w:p w14:paraId="46B00133" w14:textId="77777777" w:rsidR="00AB6DA2" w:rsidRDefault="00AB6DA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D07E7" w14:textId="77777777" w:rsidR="00AB6DA2" w:rsidRDefault="00AB6D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311A6" w14:textId="77777777" w:rsidR="00AB6DA2" w:rsidRDefault="00AB6DA2" w:rsidP="004E1CC2">
      <w:r>
        <w:separator/>
      </w:r>
    </w:p>
  </w:footnote>
  <w:footnote w:type="continuationSeparator" w:id="0">
    <w:p w14:paraId="751A94F9" w14:textId="77777777" w:rsidR="00AB6DA2" w:rsidRDefault="00AB6DA2" w:rsidP="004E1C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2E89" w14:textId="77777777" w:rsidR="00AB6DA2" w:rsidRDefault="00AB6D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69ACC" w14:textId="77777777" w:rsidR="00AB6DA2" w:rsidRDefault="00AB6DA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26A68" w14:textId="77777777" w:rsidR="00AB6DA2" w:rsidRDefault="00AB6D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434"/>
    <w:multiLevelType w:val="hybridMultilevel"/>
    <w:tmpl w:val="4DB0E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780593"/>
    <w:multiLevelType w:val="hybridMultilevel"/>
    <w:tmpl w:val="FF1ED0A6"/>
    <w:lvl w:ilvl="0" w:tplc="CE3A2482">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hdrShapeDefaults>
    <o:shapedefaults v:ext="edit" spidmax="102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C2"/>
    <w:rsid w:val="003468EE"/>
    <w:rsid w:val="004E1CC2"/>
    <w:rsid w:val="00551BD3"/>
    <w:rsid w:val="00613FF0"/>
    <w:rsid w:val="00715780"/>
    <w:rsid w:val="00AB6D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706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CC2"/>
    <w:pPr>
      <w:tabs>
        <w:tab w:val="center" w:pos="4320"/>
        <w:tab w:val="right" w:pos="8640"/>
      </w:tabs>
    </w:pPr>
  </w:style>
  <w:style w:type="character" w:customStyle="1" w:styleId="HeaderChar">
    <w:name w:val="Header Char"/>
    <w:basedOn w:val="DefaultParagraphFont"/>
    <w:link w:val="Header"/>
    <w:uiPriority w:val="99"/>
    <w:rsid w:val="004E1CC2"/>
  </w:style>
  <w:style w:type="paragraph" w:styleId="Footer">
    <w:name w:val="footer"/>
    <w:basedOn w:val="Normal"/>
    <w:link w:val="FooterChar"/>
    <w:uiPriority w:val="99"/>
    <w:unhideWhenUsed/>
    <w:rsid w:val="004E1CC2"/>
    <w:pPr>
      <w:tabs>
        <w:tab w:val="center" w:pos="4320"/>
        <w:tab w:val="right" w:pos="8640"/>
      </w:tabs>
    </w:pPr>
  </w:style>
  <w:style w:type="character" w:customStyle="1" w:styleId="FooterChar">
    <w:name w:val="Footer Char"/>
    <w:basedOn w:val="DefaultParagraphFont"/>
    <w:link w:val="Footer"/>
    <w:uiPriority w:val="99"/>
    <w:rsid w:val="004E1CC2"/>
  </w:style>
  <w:style w:type="character" w:styleId="PageNumber">
    <w:name w:val="page number"/>
    <w:basedOn w:val="DefaultParagraphFont"/>
    <w:uiPriority w:val="99"/>
    <w:semiHidden/>
    <w:unhideWhenUsed/>
    <w:rsid w:val="004E1CC2"/>
  </w:style>
  <w:style w:type="paragraph" w:styleId="ListParagraph">
    <w:name w:val="List Paragraph"/>
    <w:basedOn w:val="Normal"/>
    <w:uiPriority w:val="34"/>
    <w:qFormat/>
    <w:rsid w:val="004E1CC2"/>
    <w:pPr>
      <w:ind w:left="720"/>
      <w:contextualSpacing/>
    </w:pPr>
  </w:style>
  <w:style w:type="table" w:styleId="TableGrid">
    <w:name w:val="Table Grid"/>
    <w:basedOn w:val="TableNormal"/>
    <w:uiPriority w:val="59"/>
    <w:rsid w:val="0061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13F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13FF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13FF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613FF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613FF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13FF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13FF0"/>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13FF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2">
    <w:name w:val="Medium Shading 2"/>
    <w:basedOn w:val="TableNormal"/>
    <w:uiPriority w:val="64"/>
    <w:rsid w:val="00613FF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613FF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13FF0"/>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CC2"/>
    <w:pPr>
      <w:tabs>
        <w:tab w:val="center" w:pos="4320"/>
        <w:tab w:val="right" w:pos="8640"/>
      </w:tabs>
    </w:pPr>
  </w:style>
  <w:style w:type="character" w:customStyle="1" w:styleId="HeaderChar">
    <w:name w:val="Header Char"/>
    <w:basedOn w:val="DefaultParagraphFont"/>
    <w:link w:val="Header"/>
    <w:uiPriority w:val="99"/>
    <w:rsid w:val="004E1CC2"/>
  </w:style>
  <w:style w:type="paragraph" w:styleId="Footer">
    <w:name w:val="footer"/>
    <w:basedOn w:val="Normal"/>
    <w:link w:val="FooterChar"/>
    <w:uiPriority w:val="99"/>
    <w:unhideWhenUsed/>
    <w:rsid w:val="004E1CC2"/>
    <w:pPr>
      <w:tabs>
        <w:tab w:val="center" w:pos="4320"/>
        <w:tab w:val="right" w:pos="8640"/>
      </w:tabs>
    </w:pPr>
  </w:style>
  <w:style w:type="character" w:customStyle="1" w:styleId="FooterChar">
    <w:name w:val="Footer Char"/>
    <w:basedOn w:val="DefaultParagraphFont"/>
    <w:link w:val="Footer"/>
    <w:uiPriority w:val="99"/>
    <w:rsid w:val="004E1CC2"/>
  </w:style>
  <w:style w:type="character" w:styleId="PageNumber">
    <w:name w:val="page number"/>
    <w:basedOn w:val="DefaultParagraphFont"/>
    <w:uiPriority w:val="99"/>
    <w:semiHidden/>
    <w:unhideWhenUsed/>
    <w:rsid w:val="004E1CC2"/>
  </w:style>
  <w:style w:type="paragraph" w:styleId="ListParagraph">
    <w:name w:val="List Paragraph"/>
    <w:basedOn w:val="Normal"/>
    <w:uiPriority w:val="34"/>
    <w:qFormat/>
    <w:rsid w:val="004E1CC2"/>
    <w:pPr>
      <w:ind w:left="720"/>
      <w:contextualSpacing/>
    </w:pPr>
  </w:style>
  <w:style w:type="table" w:styleId="TableGrid">
    <w:name w:val="Table Grid"/>
    <w:basedOn w:val="TableNormal"/>
    <w:uiPriority w:val="59"/>
    <w:rsid w:val="0061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13F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13FF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13FF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613FF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613FF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13FF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13FF0"/>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13FF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2">
    <w:name w:val="Medium Shading 2"/>
    <w:basedOn w:val="TableNormal"/>
    <w:uiPriority w:val="64"/>
    <w:rsid w:val="00613FF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613FF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13FF0"/>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58F6C-F29F-9244-8DB3-1FD19F9F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741</Words>
  <Characters>4224</Characters>
  <Application>Microsoft Macintosh Word</Application>
  <DocSecurity>0</DocSecurity>
  <Lines>35</Lines>
  <Paragraphs>9</Paragraphs>
  <ScaleCrop>false</ScaleCrop>
  <Company>héé</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hèhè</dc:creator>
  <cp:keywords/>
  <dc:description/>
  <cp:lastModifiedBy>ThibauT hèhè</cp:lastModifiedBy>
  <cp:revision>2</cp:revision>
  <dcterms:created xsi:type="dcterms:W3CDTF">2012-10-10T09:59:00Z</dcterms:created>
  <dcterms:modified xsi:type="dcterms:W3CDTF">2012-10-17T10:05:00Z</dcterms:modified>
</cp:coreProperties>
</file>