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B2" w:rsidRDefault="007770B2" w:rsidP="00CE3C0D">
      <w:pPr>
        <w:spacing w:after="0"/>
        <w:rPr>
          <w:sz w:val="28"/>
          <w:szCs w:val="28"/>
          <w:lang w:val="fr-FR"/>
        </w:rPr>
      </w:pPr>
    </w:p>
    <w:p w:rsidR="00CE3C0D" w:rsidRDefault="007770B2" w:rsidP="007770B2">
      <w:pPr>
        <w:spacing w:after="0"/>
        <w:jc w:val="both"/>
        <w:rPr>
          <w:lang w:val="fr-FR"/>
        </w:rPr>
      </w:pPr>
      <w:r>
        <w:rPr>
          <w:sz w:val="28"/>
          <w:szCs w:val="28"/>
          <w:lang w:val="fr-FR"/>
        </w:rPr>
        <w:tab/>
      </w:r>
      <w:r w:rsidR="00CE3C0D">
        <w:rPr>
          <w:lang w:val="fr-FR"/>
        </w:rPr>
        <w:t>Une monnaie inspire confiance si l’on pense qu’elle sera acceptée par les autres pour payer un achat.</w:t>
      </w:r>
    </w:p>
    <w:p w:rsidR="00CE3C0D" w:rsidRDefault="00CE3C0D" w:rsidP="007770B2">
      <w:pPr>
        <w:spacing w:after="0"/>
        <w:jc w:val="both"/>
        <w:rPr>
          <w:lang w:val="fr-FR"/>
        </w:rPr>
      </w:pPr>
      <w:r>
        <w:rPr>
          <w:lang w:val="fr-FR"/>
        </w:rPr>
        <w:tab/>
        <w:t xml:space="preserve">Lorsqu’il y a défiance, vis-à-vis de la monnaie on assiste alors à une </w:t>
      </w:r>
      <w:r w:rsidRPr="00CE3C0D">
        <w:rPr>
          <w:lang w:val="fr-FR"/>
        </w:rPr>
        <w:t>«</w:t>
      </w:r>
      <w:r w:rsidRPr="00CE3C0D">
        <w:rPr>
          <w:u w:val="single" w:color="FF0000"/>
          <w:lang w:val="fr-FR"/>
        </w:rPr>
        <w:t> fuite devant la monnaie</w:t>
      </w:r>
      <w:r w:rsidRPr="00CE3C0D">
        <w:rPr>
          <w:lang w:val="fr-FR"/>
        </w:rPr>
        <w:t> ».</w:t>
      </w:r>
    </w:p>
    <w:p w:rsidR="00CE3C0D" w:rsidRDefault="00CE3C0D" w:rsidP="007770B2">
      <w:pPr>
        <w:spacing w:after="0"/>
        <w:jc w:val="both"/>
        <w:rPr>
          <w:lang w:val="fr-FR"/>
        </w:rPr>
      </w:pPr>
      <w:r>
        <w:rPr>
          <w:lang w:val="fr-FR"/>
        </w:rPr>
        <w:tab/>
        <w:t xml:space="preserve">Les agents économiques convertissent leur argent soit dans d’autres devises soit dans des biens. Ils espèrent </w:t>
      </w:r>
      <w:r w:rsidR="005A5762">
        <w:rPr>
          <w:lang w:val="fr-FR"/>
        </w:rPr>
        <w:t>ainsi que la valeur de leur</w:t>
      </w:r>
      <w:r>
        <w:rPr>
          <w:lang w:val="fr-FR"/>
        </w:rPr>
        <w:t xml:space="preserve"> patrimoine sera alors mieux conservé.</w:t>
      </w:r>
    </w:p>
    <w:p w:rsidR="00CE3C0D" w:rsidRDefault="00CE3C0D" w:rsidP="007770B2">
      <w:pPr>
        <w:spacing w:after="0"/>
        <w:jc w:val="both"/>
        <w:rPr>
          <w:lang w:val="fr-FR"/>
        </w:rPr>
      </w:pPr>
      <w:r>
        <w:rPr>
          <w:lang w:val="fr-FR"/>
        </w:rPr>
        <w:tab/>
        <w:t xml:space="preserve">Ce phénomène de fuite devant la monnaie </w:t>
      </w:r>
      <w:r w:rsidR="005A5762">
        <w:rPr>
          <w:lang w:val="fr-FR"/>
        </w:rPr>
        <w:t>a souvent été observé dans les périodes d’hyperinflation, c’est-à-dire dans le cas d’une très forte hausse des prix, qui a pour effet</w:t>
      </w:r>
      <w:r w:rsidR="005A5762">
        <w:rPr>
          <w:lang w:val="fr-FR"/>
        </w:rPr>
        <w:tab/>
        <w:t xml:space="preserve"> de dégrader le pouvoir d’achat.</w:t>
      </w:r>
    </w:p>
    <w:p w:rsidR="005A5762" w:rsidRDefault="005A5762" w:rsidP="007770B2">
      <w:pPr>
        <w:spacing w:after="0"/>
        <w:jc w:val="both"/>
        <w:rPr>
          <w:lang w:val="fr-FR"/>
        </w:rPr>
      </w:pPr>
      <w:r>
        <w:rPr>
          <w:lang w:val="fr-FR"/>
        </w:rPr>
        <w:tab/>
        <w:t>La défiance vis-à-vis de la monnaie traduit une crise plus profonde, celle de l’état qui lui, n’inspire plus confiance.</w:t>
      </w:r>
    </w:p>
    <w:p w:rsidR="005A5762" w:rsidRDefault="005A5762" w:rsidP="00CE3C0D">
      <w:pPr>
        <w:spacing w:after="0"/>
        <w:rPr>
          <w:lang w:val="fr-FR"/>
        </w:rPr>
      </w:pPr>
    </w:p>
    <w:p w:rsidR="005A5762" w:rsidRDefault="005A5762" w:rsidP="00CE3C0D">
      <w:pPr>
        <w:spacing w:after="0"/>
        <w:rPr>
          <w:lang w:val="fr-FR"/>
        </w:rPr>
      </w:pPr>
      <w:r>
        <w:rPr>
          <w:lang w:val="fr-FR"/>
        </w:rPr>
        <w:tab/>
      </w:r>
      <w:r w:rsidRPr="007770B2">
        <w:rPr>
          <w:b/>
          <w:color w:val="FF0000"/>
          <w:lang w:val="fr-FR"/>
        </w:rPr>
        <w:t>B.</w:t>
      </w:r>
      <w:r>
        <w:rPr>
          <w:lang w:val="fr-FR"/>
        </w:rPr>
        <w:t xml:space="preserve"> </w:t>
      </w:r>
      <w:r w:rsidRPr="007770B2">
        <w:rPr>
          <w:u w:val="single" w:color="FF0000"/>
          <w:lang w:val="fr-FR"/>
        </w:rPr>
        <w:t>La stabilité de la monnaie.</w:t>
      </w:r>
    </w:p>
    <w:p w:rsidR="005A5762" w:rsidRDefault="005A5762" w:rsidP="00CE3C0D">
      <w:pPr>
        <w:spacing w:after="0"/>
        <w:rPr>
          <w:lang w:val="fr-FR"/>
        </w:rPr>
      </w:pPr>
    </w:p>
    <w:p w:rsidR="005A5762" w:rsidRDefault="005A5762" w:rsidP="00CE3C0D">
      <w:pPr>
        <w:spacing w:after="0"/>
        <w:rPr>
          <w:lang w:val="fr-FR"/>
        </w:rPr>
      </w:pPr>
      <w:r>
        <w:rPr>
          <w:lang w:val="fr-FR"/>
        </w:rPr>
        <w:tab/>
        <w:t>Lorsqu’on parle de la stabilité de la monnaie, on distingue la stabilité interne de la stabilité externe.</w:t>
      </w:r>
    </w:p>
    <w:p w:rsidR="005A5762" w:rsidRDefault="005A5762" w:rsidP="00CE3C0D">
      <w:pPr>
        <w:spacing w:after="0"/>
        <w:rPr>
          <w:lang w:val="fr-FR"/>
        </w:rPr>
      </w:pPr>
      <w:r>
        <w:rPr>
          <w:lang w:val="fr-FR"/>
        </w:rPr>
        <w:tab/>
      </w:r>
    </w:p>
    <w:p w:rsidR="005A5762" w:rsidRPr="007770B2" w:rsidRDefault="005A5762" w:rsidP="005A5762">
      <w:pPr>
        <w:pStyle w:val="Paragraphedeliste"/>
        <w:numPr>
          <w:ilvl w:val="0"/>
          <w:numId w:val="1"/>
        </w:numPr>
        <w:spacing w:after="0"/>
        <w:rPr>
          <w:u w:val="single" w:color="FF0000"/>
          <w:lang w:val="fr-FR"/>
        </w:rPr>
      </w:pPr>
      <w:r w:rsidRPr="007770B2">
        <w:rPr>
          <w:u w:val="single" w:color="FF0000"/>
          <w:lang w:val="fr-FR"/>
        </w:rPr>
        <w:t>La stabilité interne de la monnaie.</w:t>
      </w:r>
    </w:p>
    <w:p w:rsidR="005A5762" w:rsidRDefault="005A5762" w:rsidP="005A5762">
      <w:pPr>
        <w:spacing w:after="0"/>
        <w:rPr>
          <w:lang w:val="fr-FR"/>
        </w:rPr>
      </w:pPr>
    </w:p>
    <w:p w:rsidR="005A5762" w:rsidRDefault="005A5762" w:rsidP="007770B2">
      <w:pPr>
        <w:spacing w:after="0"/>
        <w:ind w:firstLine="720"/>
        <w:jc w:val="both"/>
        <w:rPr>
          <w:lang w:val="fr-FR"/>
        </w:rPr>
      </w:pPr>
      <w:r>
        <w:rPr>
          <w:lang w:val="fr-FR"/>
        </w:rPr>
        <w:t>Elle correspond à celle des prix et du pouvoir d’achat des ménages lors de l’achat des biens et services nationaux, elle correspond donc à l’absence d’inflation ou alors à une inflation très modérée.</w:t>
      </w:r>
    </w:p>
    <w:p w:rsidR="005A5762" w:rsidRDefault="005A5762" w:rsidP="007770B2">
      <w:pPr>
        <w:spacing w:after="0"/>
        <w:ind w:firstLine="720"/>
        <w:jc w:val="both"/>
        <w:rPr>
          <w:lang w:val="fr-FR"/>
        </w:rPr>
      </w:pPr>
      <w:r>
        <w:rPr>
          <w:lang w:val="fr-FR"/>
        </w:rPr>
        <w:t>L’inflation correspond à la hausse du niveau général des prix.</w:t>
      </w:r>
    </w:p>
    <w:p w:rsidR="005A5762" w:rsidRDefault="005A5762" w:rsidP="007770B2">
      <w:pPr>
        <w:spacing w:after="0"/>
        <w:ind w:firstLine="720"/>
        <w:jc w:val="both"/>
        <w:rPr>
          <w:lang w:val="fr-FR"/>
        </w:rPr>
      </w:pPr>
      <w:r>
        <w:rPr>
          <w:lang w:val="fr-FR"/>
        </w:rPr>
        <w:t>La déflation correspond à la bai</w:t>
      </w:r>
      <w:r w:rsidR="00D57A58">
        <w:rPr>
          <w:lang w:val="fr-FR"/>
        </w:rPr>
        <w:t>sse du niveau général des prix.</w:t>
      </w:r>
    </w:p>
    <w:p w:rsidR="005A5762" w:rsidRDefault="005A5762" w:rsidP="007770B2">
      <w:pPr>
        <w:spacing w:after="0"/>
        <w:ind w:firstLine="720"/>
        <w:jc w:val="both"/>
        <w:rPr>
          <w:lang w:val="fr-FR"/>
        </w:rPr>
      </w:pPr>
      <w:r>
        <w:rPr>
          <w:lang w:val="fr-FR"/>
        </w:rPr>
        <w:t xml:space="preserve">La désinflation correspond </w:t>
      </w:r>
      <w:r w:rsidR="00D57A58">
        <w:rPr>
          <w:lang w:val="fr-FR"/>
        </w:rPr>
        <w:t>au ralentissement de la hausse du niveau général des prix.</w:t>
      </w:r>
    </w:p>
    <w:p w:rsidR="00D57A58" w:rsidRDefault="00D57A58" w:rsidP="007770B2">
      <w:pPr>
        <w:spacing w:after="0"/>
        <w:jc w:val="both"/>
        <w:rPr>
          <w:lang w:val="fr-FR"/>
        </w:rPr>
      </w:pPr>
      <w:r>
        <w:rPr>
          <w:lang w:val="fr-FR"/>
        </w:rPr>
        <w:tab/>
        <w:t>L’inflation a pour conséquence</w:t>
      </w:r>
      <w:r>
        <w:rPr>
          <w:lang w:val="fr-FR"/>
        </w:rPr>
        <w:tab/>
        <w:t>d’entrainer une perte de pouvoir d’achat pour les salariés lorsque les prix des biens et services augmentes plus vite que la hausse des salaires.</w:t>
      </w:r>
    </w:p>
    <w:p w:rsidR="00D57A58" w:rsidRDefault="00D57A58" w:rsidP="00D57A58">
      <w:pPr>
        <w:spacing w:after="0"/>
        <w:rPr>
          <w:lang w:val="fr-FR"/>
        </w:rPr>
      </w:pPr>
    </w:p>
    <w:p w:rsidR="00D57A58" w:rsidRPr="007770B2" w:rsidRDefault="00D57A58" w:rsidP="00D57A58">
      <w:pPr>
        <w:pStyle w:val="Paragraphedeliste"/>
        <w:numPr>
          <w:ilvl w:val="0"/>
          <w:numId w:val="1"/>
        </w:numPr>
        <w:spacing w:after="0"/>
        <w:rPr>
          <w:u w:val="single" w:color="FF0000"/>
          <w:lang w:val="fr-FR"/>
        </w:rPr>
      </w:pPr>
      <w:r w:rsidRPr="007770B2">
        <w:rPr>
          <w:u w:val="single" w:color="FF0000"/>
          <w:lang w:val="fr-FR"/>
        </w:rPr>
        <w:t>La stabilité externe de la monnaie.</w:t>
      </w:r>
    </w:p>
    <w:p w:rsidR="00D57A58" w:rsidRDefault="00D57A58" w:rsidP="00D57A58">
      <w:pPr>
        <w:spacing w:after="0"/>
        <w:rPr>
          <w:lang w:val="fr-FR"/>
        </w:rPr>
      </w:pPr>
    </w:p>
    <w:p w:rsidR="00D57A58" w:rsidRPr="00D57A58" w:rsidRDefault="00D57A58" w:rsidP="007770B2">
      <w:pPr>
        <w:spacing w:after="0"/>
        <w:ind w:firstLine="720"/>
        <w:jc w:val="both"/>
        <w:rPr>
          <w:lang w:val="fr-FR"/>
        </w:rPr>
      </w:pPr>
      <w:r>
        <w:rPr>
          <w:lang w:val="fr-FR"/>
        </w:rPr>
        <w:t>La stabilité externe d’une monnaie correspond à celle du taux de change de la monnaie nationale en devise étrangère. De cette stabilité de la monnaie nationale</w:t>
      </w:r>
      <w:r w:rsidR="00AD2B25">
        <w:rPr>
          <w:lang w:val="fr-FR"/>
        </w:rPr>
        <w:t xml:space="preserve"> par rapport aux monnaies des autres pays, dépend le pouvoir d’achat en biens et services produit dans le reste du monde.</w:t>
      </w:r>
    </w:p>
    <w:sectPr w:rsidR="00D57A58" w:rsidRPr="00D57A58" w:rsidSect="00B53B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1B2" w:rsidRDefault="002D51B2" w:rsidP="007770B2">
      <w:pPr>
        <w:spacing w:after="0" w:line="240" w:lineRule="auto"/>
      </w:pPr>
      <w:r>
        <w:separator/>
      </w:r>
    </w:p>
  </w:endnote>
  <w:endnote w:type="continuationSeparator" w:id="0">
    <w:p w:rsidR="002D51B2" w:rsidRDefault="002D51B2" w:rsidP="007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1B2" w:rsidRDefault="002D51B2" w:rsidP="007770B2">
      <w:pPr>
        <w:spacing w:after="0" w:line="240" w:lineRule="auto"/>
      </w:pPr>
      <w:r>
        <w:separator/>
      </w:r>
    </w:p>
  </w:footnote>
  <w:footnote w:type="continuationSeparator" w:id="0">
    <w:p w:rsidR="002D51B2" w:rsidRDefault="002D51B2" w:rsidP="007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B2" w:rsidRPr="007770B2" w:rsidRDefault="007770B2">
    <w:pPr>
      <w:pStyle w:val="En-tte"/>
      <w:rPr>
        <w:lang w:val="fr-FR"/>
      </w:rPr>
    </w:pPr>
    <w:r w:rsidRPr="007770B2">
      <w:rPr>
        <w:lang w:val="fr-FR"/>
      </w:rPr>
      <w:t xml:space="preserve">Chapitre 3 : </w:t>
    </w:r>
  </w:p>
  <w:p w:rsidR="007770B2" w:rsidRPr="007770B2" w:rsidRDefault="007770B2">
    <w:pPr>
      <w:pStyle w:val="En-tte"/>
      <w:rPr>
        <w:lang w:val="fr-FR"/>
      </w:rPr>
    </w:pPr>
    <w:r w:rsidRPr="007770B2">
      <w:rPr>
        <w:lang w:val="fr-FR"/>
      </w:rPr>
      <w:tab/>
      <w:t xml:space="preserve">La Monnaie Dans L’Echange. </w:t>
    </w:r>
  </w:p>
  <w:p w:rsidR="007770B2" w:rsidRPr="007770B2" w:rsidRDefault="007770B2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746"/>
    <w:multiLevelType w:val="hybridMultilevel"/>
    <w:tmpl w:val="0E005E84"/>
    <w:lvl w:ilvl="0" w:tplc="44445B6A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D7C"/>
    <w:rsid w:val="00091D7C"/>
    <w:rsid w:val="002D51B2"/>
    <w:rsid w:val="005A5762"/>
    <w:rsid w:val="00753384"/>
    <w:rsid w:val="007770B2"/>
    <w:rsid w:val="00AD2B25"/>
    <w:rsid w:val="00B53B17"/>
    <w:rsid w:val="00CE3C0D"/>
    <w:rsid w:val="00D57A58"/>
    <w:rsid w:val="00EF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57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0B2"/>
  </w:style>
  <w:style w:type="paragraph" w:styleId="Pieddepage">
    <w:name w:val="footer"/>
    <w:basedOn w:val="Normal"/>
    <w:link w:val="PieddepageCar"/>
    <w:uiPriority w:val="99"/>
    <w:semiHidden/>
    <w:unhideWhenUsed/>
    <w:rsid w:val="0077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770B2"/>
  </w:style>
  <w:style w:type="paragraph" w:styleId="Textedebulles">
    <w:name w:val="Balloon Text"/>
    <w:basedOn w:val="Normal"/>
    <w:link w:val="TextedebullesCar"/>
    <w:uiPriority w:val="99"/>
    <w:semiHidden/>
    <w:unhideWhenUsed/>
    <w:rsid w:val="007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3</cp:revision>
  <dcterms:created xsi:type="dcterms:W3CDTF">2012-10-23T12:09:00Z</dcterms:created>
  <dcterms:modified xsi:type="dcterms:W3CDTF">2012-10-24T19:20:00Z</dcterms:modified>
</cp:coreProperties>
</file>