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19F" w:rsidRDefault="004C119F" w:rsidP="00675E2A">
      <w:pPr>
        <w:pStyle w:val="Default"/>
      </w:pPr>
    </w:p>
    <w:p w:rsidR="004C119F" w:rsidRPr="00675E2A" w:rsidRDefault="004C119F" w:rsidP="00675E2A">
      <w:pPr>
        <w:pStyle w:val="Default"/>
        <w:rPr>
          <w:rFonts w:asciiTheme="minorHAnsi" w:hAnsiTheme="minorHAnsi" w:cstheme="minorHAnsi"/>
          <w:sz w:val="22"/>
          <w:szCs w:val="22"/>
        </w:rPr>
      </w:pPr>
      <w:r w:rsidRPr="00675E2A">
        <w:rPr>
          <w:rFonts w:asciiTheme="minorHAnsi" w:hAnsiTheme="minorHAnsi" w:cstheme="minorHAnsi"/>
          <w:sz w:val="22"/>
          <w:szCs w:val="22"/>
        </w:rPr>
        <w:t xml:space="preserve">Règlement CE 852/2004 relatif à l’hygiène des DA : définition des objectifs à atteindre en matière de sureté alimentaire ; </w:t>
      </w:r>
    </w:p>
    <w:p w:rsidR="004C119F" w:rsidRPr="00675E2A" w:rsidRDefault="004C119F" w:rsidP="00675E2A">
      <w:pPr>
        <w:pStyle w:val="Default"/>
        <w:rPr>
          <w:rFonts w:asciiTheme="minorHAnsi" w:hAnsiTheme="minorHAnsi" w:cstheme="minorHAnsi"/>
          <w:sz w:val="22"/>
          <w:szCs w:val="22"/>
        </w:rPr>
      </w:pPr>
      <w:r w:rsidRPr="00675E2A">
        <w:rPr>
          <w:rFonts w:asciiTheme="minorHAnsi" w:hAnsiTheme="minorHAnsi" w:cstheme="minorHAnsi"/>
          <w:sz w:val="22"/>
          <w:szCs w:val="22"/>
        </w:rPr>
        <w:t xml:space="preserve">Règlement CE 853/2004 fixant les règles spécifiques d’hygiène applicables aux DA d’origine animale ; </w:t>
      </w:r>
    </w:p>
    <w:p w:rsidR="004C119F" w:rsidRPr="00675E2A" w:rsidRDefault="004C119F" w:rsidP="00675E2A">
      <w:pPr>
        <w:pStyle w:val="Default"/>
        <w:rPr>
          <w:rFonts w:asciiTheme="minorHAnsi" w:hAnsiTheme="minorHAnsi" w:cstheme="minorHAnsi"/>
          <w:sz w:val="22"/>
          <w:szCs w:val="22"/>
        </w:rPr>
      </w:pPr>
      <w:r w:rsidRPr="00675E2A">
        <w:rPr>
          <w:rFonts w:asciiTheme="minorHAnsi" w:hAnsiTheme="minorHAnsi" w:cstheme="minorHAnsi"/>
          <w:sz w:val="22"/>
          <w:szCs w:val="22"/>
        </w:rPr>
        <w:t xml:space="preserve">Règlement CE 854/2004 fixant les règles spécifiques d’organisation des contrôles officiels concernant les produits d’origine animale destinés à la consommation humaine : viandes fraîches, mollusques bivalves, produits laitiers ; </w:t>
      </w:r>
    </w:p>
    <w:p w:rsidR="00924694" w:rsidRPr="00675E2A" w:rsidRDefault="004C119F" w:rsidP="00675E2A">
      <w:pPr>
        <w:pStyle w:val="Default"/>
        <w:rPr>
          <w:rFonts w:asciiTheme="minorHAnsi" w:hAnsiTheme="minorHAnsi" w:cstheme="minorHAnsi"/>
          <w:sz w:val="22"/>
          <w:szCs w:val="22"/>
        </w:rPr>
      </w:pPr>
      <w:r w:rsidRPr="00675E2A">
        <w:rPr>
          <w:rFonts w:asciiTheme="minorHAnsi" w:hAnsiTheme="minorHAnsi" w:cstheme="minorHAnsi"/>
          <w:sz w:val="22"/>
          <w:szCs w:val="22"/>
        </w:rPr>
        <w:t xml:space="preserve">Règlement CE 882/2004 relatifs aux contrôles officiels effectués pour s’assurer de la conformité avec la législation sur les aliments pour animaux et les denrées alimentaires et avec les dispositions relatives à la santé animale et au bien-être des animaux. </w:t>
      </w:r>
    </w:p>
    <w:p w:rsidR="004C119F" w:rsidRPr="00675E2A" w:rsidRDefault="004C119F" w:rsidP="00675E2A">
      <w:pPr>
        <w:pStyle w:val="Default"/>
        <w:rPr>
          <w:rFonts w:asciiTheme="minorHAnsi" w:hAnsiTheme="minorHAnsi" w:cstheme="minorHAnsi"/>
          <w:sz w:val="22"/>
          <w:szCs w:val="22"/>
        </w:rPr>
      </w:pPr>
      <w:r w:rsidRPr="00675E2A">
        <w:rPr>
          <w:rFonts w:asciiTheme="minorHAnsi" w:hAnsiTheme="minorHAnsi" w:cstheme="minorHAnsi"/>
          <w:sz w:val="22"/>
          <w:szCs w:val="22"/>
        </w:rPr>
        <w:t xml:space="preserve">Directive européenne 98/83/CE du 25/12/1998 relative à la qualité des eaux destinées à la consommation humaine (sauf les eaux minérales et médicinales). </w:t>
      </w:r>
    </w:p>
    <w:p w:rsidR="004C119F" w:rsidRPr="00675E2A" w:rsidRDefault="004C119F" w:rsidP="00675E2A">
      <w:pPr>
        <w:pStyle w:val="Default"/>
        <w:rPr>
          <w:rFonts w:asciiTheme="minorHAnsi" w:hAnsiTheme="minorHAnsi" w:cstheme="minorHAnsi"/>
          <w:sz w:val="22"/>
          <w:szCs w:val="22"/>
        </w:rPr>
      </w:pPr>
      <w:r w:rsidRPr="00675E2A">
        <w:rPr>
          <w:rFonts w:asciiTheme="minorHAnsi" w:hAnsiTheme="minorHAnsi" w:cstheme="minorHAnsi"/>
          <w:sz w:val="22"/>
          <w:szCs w:val="22"/>
        </w:rPr>
        <w:t xml:space="preserve">Décret du 12/12/2002 relatif à la qualité de l’eau destinée à la consommation humaine. </w:t>
      </w:r>
    </w:p>
    <w:p w:rsidR="004C119F" w:rsidRPr="00675E2A" w:rsidRDefault="004C119F" w:rsidP="00675E2A">
      <w:pPr>
        <w:pStyle w:val="Default"/>
        <w:rPr>
          <w:rFonts w:asciiTheme="minorHAnsi" w:hAnsiTheme="minorHAnsi" w:cstheme="minorHAnsi"/>
          <w:sz w:val="22"/>
          <w:szCs w:val="22"/>
        </w:rPr>
      </w:pPr>
      <w:r w:rsidRPr="00675E2A">
        <w:rPr>
          <w:rFonts w:asciiTheme="minorHAnsi" w:hAnsiTheme="minorHAnsi" w:cstheme="minorHAnsi"/>
          <w:sz w:val="22"/>
          <w:szCs w:val="22"/>
        </w:rPr>
        <w:t xml:space="preserve">Arrêté du gouvernement wallon du 15/01/2004 relatif aux valeurs paramétriques applicables aux eaux destinées à la consommation humaine. </w:t>
      </w:r>
    </w:p>
    <w:p w:rsidR="004C119F" w:rsidRPr="00675E2A" w:rsidRDefault="004C119F" w:rsidP="00675E2A">
      <w:pPr>
        <w:pStyle w:val="Default"/>
        <w:rPr>
          <w:rFonts w:asciiTheme="minorHAnsi" w:hAnsiTheme="minorHAnsi" w:cstheme="minorHAnsi"/>
          <w:sz w:val="22"/>
          <w:szCs w:val="22"/>
        </w:rPr>
      </w:pPr>
      <w:r w:rsidRPr="00675E2A">
        <w:rPr>
          <w:rFonts w:asciiTheme="minorHAnsi" w:hAnsiTheme="minorHAnsi" w:cstheme="minorHAnsi"/>
          <w:sz w:val="22"/>
          <w:szCs w:val="22"/>
        </w:rPr>
        <w:t xml:space="preserve">Arrêté Royal du 14/01/2002 relatif à la qualité des eaux destinées à la consommation humaine qui sont conditionnées ou qui sont utilisées dans les établissements alimentaires pour la fabrication et/ou la mise dans le commerce de denrées alimentaires. </w:t>
      </w:r>
    </w:p>
    <w:p w:rsidR="00675E2A" w:rsidRDefault="004C119F" w:rsidP="00675E2A">
      <w:pPr>
        <w:spacing w:after="0"/>
        <w:rPr>
          <w:rFonts w:cstheme="minorHAnsi"/>
        </w:rPr>
      </w:pPr>
      <w:r w:rsidRPr="00675E2A">
        <w:rPr>
          <w:rFonts w:cstheme="minorHAnsi"/>
        </w:rPr>
        <w:t>Arrêté Royal du 02/10/2003 relatif à la procédure à suivre en cas de survenance d’événement portant atteinte à la qualité de l’eau destinée à la consommation humaine.</w:t>
      </w:r>
    </w:p>
    <w:p w:rsidR="004C119F" w:rsidRPr="00675E2A" w:rsidRDefault="00675E2A" w:rsidP="00675E2A">
      <w:pPr>
        <w:spacing w:after="0"/>
        <w:rPr>
          <w:rFonts w:cstheme="minorHAnsi"/>
        </w:rPr>
      </w:pPr>
      <w:r>
        <w:rPr>
          <w:rFonts w:cstheme="minorHAnsi"/>
        </w:rPr>
        <w:t xml:space="preserve">AR du 08/02/1999 : </w:t>
      </w:r>
      <w:r w:rsidR="004C119F" w:rsidRPr="00675E2A">
        <w:rPr>
          <w:rFonts w:cstheme="minorHAnsi"/>
        </w:rPr>
        <w:t>classification des eaux</w:t>
      </w:r>
    </w:p>
    <w:p w:rsidR="004C119F" w:rsidRPr="00675E2A" w:rsidRDefault="004C119F" w:rsidP="00675E2A">
      <w:pPr>
        <w:pStyle w:val="Default"/>
        <w:rPr>
          <w:rFonts w:asciiTheme="minorHAnsi" w:hAnsiTheme="minorHAnsi" w:cstheme="minorHAnsi"/>
          <w:sz w:val="22"/>
          <w:szCs w:val="22"/>
        </w:rPr>
      </w:pPr>
      <w:r w:rsidRPr="00675E2A">
        <w:rPr>
          <w:rFonts w:asciiTheme="minorHAnsi" w:hAnsiTheme="minorHAnsi" w:cstheme="minorHAnsi"/>
          <w:sz w:val="22"/>
          <w:szCs w:val="22"/>
        </w:rPr>
        <w:t xml:space="preserve">Directive 96/70/CE du Parlement Européen et du Conseil du 28 octobre 1996 modifiant la directive 80/777/CEE du Conseil relative au rapprochement des législations des États membres concernant l'exploitation et la mise dans le commerce des eaux minérales naturelles. Arrêté Royal du 08/02/1999 concernant les eaux minérales naturelles et les eaux de source. </w:t>
      </w:r>
    </w:p>
    <w:p w:rsidR="004C119F" w:rsidRPr="00675E2A" w:rsidRDefault="004C119F" w:rsidP="00675E2A">
      <w:pPr>
        <w:spacing w:after="0"/>
        <w:rPr>
          <w:rFonts w:cstheme="minorHAnsi"/>
        </w:rPr>
      </w:pPr>
      <w:r w:rsidRPr="00675E2A">
        <w:rPr>
          <w:rFonts w:cstheme="minorHAnsi"/>
        </w:rPr>
        <w:t>Arrêté Royal du 15/12/2003 modifiant l’AR du 08/02/1999.</w:t>
      </w:r>
    </w:p>
    <w:p w:rsidR="004C119F" w:rsidRPr="00675E2A" w:rsidRDefault="004C119F" w:rsidP="00675E2A">
      <w:pPr>
        <w:pStyle w:val="Default"/>
        <w:rPr>
          <w:rFonts w:asciiTheme="minorHAnsi" w:hAnsiTheme="minorHAnsi" w:cstheme="minorHAnsi"/>
          <w:sz w:val="22"/>
          <w:szCs w:val="22"/>
        </w:rPr>
      </w:pPr>
      <w:r w:rsidRPr="00675E2A">
        <w:rPr>
          <w:rFonts w:asciiTheme="minorHAnsi" w:hAnsiTheme="minorHAnsi" w:cstheme="minorHAnsi"/>
          <w:sz w:val="22"/>
          <w:szCs w:val="22"/>
        </w:rPr>
        <w:t xml:space="preserve">Arrêté Royal du 02/10/1980 relatif au commerce et à l’étiquetage des additifs (modifié par un AR du 12/03/1991). </w:t>
      </w:r>
    </w:p>
    <w:p w:rsidR="004C119F" w:rsidRPr="00675E2A" w:rsidRDefault="004C119F" w:rsidP="00675E2A">
      <w:pPr>
        <w:pStyle w:val="Default"/>
        <w:rPr>
          <w:rFonts w:asciiTheme="minorHAnsi" w:hAnsiTheme="minorHAnsi" w:cstheme="minorHAnsi"/>
          <w:sz w:val="22"/>
          <w:szCs w:val="22"/>
        </w:rPr>
      </w:pPr>
      <w:r w:rsidRPr="00675E2A">
        <w:rPr>
          <w:rFonts w:asciiTheme="minorHAnsi" w:hAnsiTheme="minorHAnsi" w:cstheme="minorHAnsi"/>
          <w:sz w:val="22"/>
          <w:szCs w:val="22"/>
        </w:rPr>
        <w:t xml:space="preserve">Arrêté Royal du 14/07/1997 relatif aux critères de pureté des additifs pouvant être utilisés dans les denrées alimentaires (dernière modification en date du 13/03/2011). </w:t>
      </w:r>
    </w:p>
    <w:p w:rsidR="004C119F" w:rsidRPr="00675E2A" w:rsidRDefault="004C119F" w:rsidP="00675E2A">
      <w:pPr>
        <w:pStyle w:val="Default"/>
        <w:rPr>
          <w:rFonts w:asciiTheme="minorHAnsi" w:hAnsiTheme="minorHAnsi" w:cstheme="minorHAnsi"/>
          <w:sz w:val="22"/>
          <w:szCs w:val="22"/>
        </w:rPr>
      </w:pPr>
      <w:r w:rsidRPr="00675E2A">
        <w:rPr>
          <w:rFonts w:asciiTheme="minorHAnsi" w:hAnsiTheme="minorHAnsi" w:cstheme="minorHAnsi"/>
          <w:sz w:val="22"/>
          <w:szCs w:val="22"/>
        </w:rPr>
        <w:t xml:space="preserve">Arrêté Royal du 12/03/1991 concernant les additifs pouvant être employés dans les denrées alimentaires. </w:t>
      </w:r>
    </w:p>
    <w:p w:rsidR="004C119F" w:rsidRPr="00675E2A" w:rsidRDefault="004C119F" w:rsidP="00675E2A">
      <w:pPr>
        <w:pStyle w:val="Default"/>
        <w:rPr>
          <w:rFonts w:asciiTheme="minorHAnsi" w:hAnsiTheme="minorHAnsi" w:cstheme="minorHAnsi"/>
          <w:sz w:val="22"/>
          <w:szCs w:val="22"/>
        </w:rPr>
      </w:pPr>
      <w:r w:rsidRPr="00675E2A">
        <w:rPr>
          <w:rFonts w:asciiTheme="minorHAnsi" w:hAnsiTheme="minorHAnsi" w:cstheme="minorHAnsi"/>
          <w:sz w:val="22"/>
          <w:szCs w:val="22"/>
        </w:rPr>
        <w:t xml:space="preserve">Arrêté Royal du 01/03/1998 relatif aux additifs autorisés dans les denrées alimentaires à l’exception des colorants et des édulcorants. </w:t>
      </w:r>
    </w:p>
    <w:p w:rsidR="004C119F" w:rsidRPr="00675E2A" w:rsidRDefault="004C119F" w:rsidP="00675E2A">
      <w:pPr>
        <w:pStyle w:val="Default"/>
        <w:rPr>
          <w:rFonts w:asciiTheme="minorHAnsi" w:hAnsiTheme="minorHAnsi" w:cstheme="minorHAnsi"/>
          <w:sz w:val="22"/>
          <w:szCs w:val="22"/>
        </w:rPr>
      </w:pPr>
      <w:r w:rsidRPr="00675E2A">
        <w:rPr>
          <w:rFonts w:asciiTheme="minorHAnsi" w:hAnsiTheme="minorHAnsi" w:cstheme="minorHAnsi"/>
          <w:sz w:val="22"/>
          <w:szCs w:val="22"/>
        </w:rPr>
        <w:t xml:space="preserve">Arrêté Royal du 01/12/1977 déterminant la procédure d’inscription sur les listes d’additifs et de contaminants ainsi que de modification des mêmes listes (dernière modification le 15/02/2007). </w:t>
      </w:r>
    </w:p>
    <w:p w:rsidR="004C119F" w:rsidRPr="00675E2A" w:rsidRDefault="004C119F" w:rsidP="00675E2A">
      <w:pPr>
        <w:pStyle w:val="Default"/>
        <w:rPr>
          <w:rFonts w:asciiTheme="minorHAnsi" w:hAnsiTheme="minorHAnsi" w:cstheme="minorHAnsi"/>
          <w:sz w:val="22"/>
          <w:szCs w:val="22"/>
        </w:rPr>
      </w:pPr>
      <w:r w:rsidRPr="00675E2A">
        <w:rPr>
          <w:rFonts w:asciiTheme="minorHAnsi" w:hAnsiTheme="minorHAnsi" w:cstheme="minorHAnsi"/>
          <w:sz w:val="22"/>
          <w:szCs w:val="22"/>
        </w:rPr>
        <w:t xml:space="preserve">Arrêté Royal du 09/10/1996 concernant les colorants destinés à être employés dans les denrées alimentaires. </w:t>
      </w:r>
    </w:p>
    <w:p w:rsidR="004C119F" w:rsidRPr="00675E2A" w:rsidRDefault="004C119F" w:rsidP="00675E2A">
      <w:pPr>
        <w:pStyle w:val="Default"/>
        <w:rPr>
          <w:rFonts w:asciiTheme="minorHAnsi" w:hAnsiTheme="minorHAnsi" w:cstheme="minorHAnsi"/>
          <w:sz w:val="22"/>
          <w:szCs w:val="22"/>
        </w:rPr>
      </w:pPr>
      <w:r w:rsidRPr="00675E2A">
        <w:rPr>
          <w:rFonts w:asciiTheme="minorHAnsi" w:hAnsiTheme="minorHAnsi" w:cstheme="minorHAnsi"/>
          <w:sz w:val="22"/>
          <w:szCs w:val="22"/>
        </w:rPr>
        <w:t xml:space="preserve">Arrêté Royal du 24/01/1990 relatif aux arômes destinés à être utilisés dans les denrées alimentaires (dernière modification le 03/03/1992). </w:t>
      </w:r>
    </w:p>
    <w:p w:rsidR="004C119F" w:rsidRPr="00675E2A" w:rsidRDefault="004C119F" w:rsidP="00675E2A">
      <w:pPr>
        <w:pStyle w:val="Default"/>
        <w:rPr>
          <w:rFonts w:asciiTheme="minorHAnsi" w:hAnsiTheme="minorHAnsi" w:cstheme="minorHAnsi"/>
          <w:sz w:val="22"/>
          <w:szCs w:val="22"/>
        </w:rPr>
      </w:pPr>
      <w:r w:rsidRPr="00675E2A">
        <w:rPr>
          <w:rFonts w:asciiTheme="minorHAnsi" w:hAnsiTheme="minorHAnsi" w:cstheme="minorHAnsi"/>
          <w:sz w:val="22"/>
          <w:szCs w:val="22"/>
        </w:rPr>
        <w:t xml:space="preserve">Arrêté Royal du 30/10/2003 concernant la mise sur le marché d’articles contenant certain colorants azoïques (modifié le 08/10/2004). </w:t>
      </w:r>
    </w:p>
    <w:p w:rsidR="004C119F" w:rsidRPr="00675E2A" w:rsidRDefault="004C119F" w:rsidP="00675E2A">
      <w:pPr>
        <w:pStyle w:val="Default"/>
        <w:rPr>
          <w:rFonts w:asciiTheme="minorHAnsi" w:hAnsiTheme="minorHAnsi" w:cstheme="minorHAnsi"/>
          <w:sz w:val="22"/>
          <w:szCs w:val="22"/>
        </w:rPr>
      </w:pPr>
      <w:r w:rsidRPr="00675E2A">
        <w:rPr>
          <w:rFonts w:asciiTheme="minorHAnsi" w:hAnsiTheme="minorHAnsi" w:cstheme="minorHAnsi"/>
          <w:sz w:val="22"/>
          <w:szCs w:val="22"/>
        </w:rPr>
        <w:t xml:space="preserve">Règlement CE 2232/96 du 28/10/1996 fixant une procédure communautaire dans le domaine des substances </w:t>
      </w:r>
      <w:proofErr w:type="spellStart"/>
      <w:r w:rsidRPr="00675E2A">
        <w:rPr>
          <w:rFonts w:asciiTheme="minorHAnsi" w:hAnsiTheme="minorHAnsi" w:cstheme="minorHAnsi"/>
          <w:sz w:val="22"/>
          <w:szCs w:val="22"/>
        </w:rPr>
        <w:t>aromatisantes</w:t>
      </w:r>
      <w:proofErr w:type="spellEnd"/>
      <w:r w:rsidRPr="00675E2A">
        <w:rPr>
          <w:rFonts w:asciiTheme="minorHAnsi" w:hAnsiTheme="minorHAnsi" w:cstheme="minorHAnsi"/>
          <w:sz w:val="22"/>
          <w:szCs w:val="22"/>
        </w:rPr>
        <w:t xml:space="preserve"> utilisées ou destinées à être utilisées dans ou sur les denrées alimentaires. </w:t>
      </w:r>
    </w:p>
    <w:p w:rsidR="00675E2A" w:rsidRDefault="004C119F" w:rsidP="00675E2A">
      <w:pPr>
        <w:pStyle w:val="Default"/>
        <w:rPr>
          <w:rFonts w:asciiTheme="minorHAnsi" w:hAnsiTheme="minorHAnsi" w:cstheme="minorHAnsi"/>
          <w:sz w:val="22"/>
          <w:szCs w:val="22"/>
        </w:rPr>
      </w:pPr>
      <w:r w:rsidRPr="00675E2A">
        <w:rPr>
          <w:rFonts w:asciiTheme="minorHAnsi" w:hAnsiTheme="minorHAnsi" w:cstheme="minorHAnsi"/>
          <w:sz w:val="22"/>
          <w:szCs w:val="22"/>
        </w:rPr>
        <w:t xml:space="preserve">Directive 2010/67/UE portant sur l’établissement de critères de pureté spécifiques pour les additifs alimentaires autres que les colorants et les édulcorants. </w:t>
      </w:r>
    </w:p>
    <w:p w:rsidR="004C119F" w:rsidRPr="00675E2A" w:rsidRDefault="004C119F" w:rsidP="00675E2A">
      <w:pPr>
        <w:pStyle w:val="Default"/>
        <w:rPr>
          <w:rFonts w:asciiTheme="minorHAnsi" w:hAnsiTheme="minorHAnsi" w:cstheme="minorHAnsi"/>
          <w:sz w:val="22"/>
          <w:szCs w:val="22"/>
        </w:rPr>
      </w:pPr>
      <w:r w:rsidRPr="00675E2A">
        <w:rPr>
          <w:rFonts w:asciiTheme="minorHAnsi" w:hAnsiTheme="minorHAnsi" w:cstheme="minorHAnsi"/>
          <w:sz w:val="22"/>
          <w:szCs w:val="22"/>
        </w:rPr>
        <w:t xml:space="preserve">Directive de la Commission 2010/69/UE concernant les additifs alimentaires autres que les colorants et les édulcorants. </w:t>
      </w:r>
    </w:p>
    <w:p w:rsidR="004C119F" w:rsidRPr="00675E2A" w:rsidRDefault="004C119F" w:rsidP="00675E2A">
      <w:pPr>
        <w:pStyle w:val="Default"/>
        <w:rPr>
          <w:rFonts w:asciiTheme="minorHAnsi" w:hAnsiTheme="minorHAnsi" w:cstheme="minorHAnsi"/>
          <w:sz w:val="22"/>
          <w:szCs w:val="22"/>
        </w:rPr>
      </w:pPr>
      <w:r w:rsidRPr="00675E2A">
        <w:rPr>
          <w:rFonts w:asciiTheme="minorHAnsi" w:hAnsiTheme="minorHAnsi" w:cstheme="minorHAnsi"/>
          <w:sz w:val="22"/>
          <w:szCs w:val="22"/>
        </w:rPr>
        <w:t xml:space="preserve">Arrêté Royal du 19/03/2004 concernant les sucres. </w:t>
      </w:r>
    </w:p>
    <w:p w:rsidR="00675E2A" w:rsidRDefault="004C119F" w:rsidP="00675E2A">
      <w:pPr>
        <w:spacing w:after="0"/>
        <w:rPr>
          <w:rFonts w:cstheme="minorHAnsi"/>
        </w:rPr>
      </w:pPr>
      <w:r w:rsidRPr="00675E2A">
        <w:rPr>
          <w:rFonts w:cstheme="minorHAnsi"/>
        </w:rPr>
        <w:t>Arrêté Royal du 29/06/1981 fixant les méthodes d’analyse de référence valables en matière de sucre.</w:t>
      </w:r>
    </w:p>
    <w:p w:rsidR="004C119F" w:rsidRPr="00675E2A" w:rsidRDefault="004C119F" w:rsidP="00675E2A">
      <w:pPr>
        <w:spacing w:after="0"/>
        <w:rPr>
          <w:rFonts w:cstheme="minorHAnsi"/>
        </w:rPr>
      </w:pPr>
      <w:r w:rsidRPr="00675E2A">
        <w:rPr>
          <w:rFonts w:cstheme="minorHAnsi"/>
        </w:rPr>
        <w:t xml:space="preserve">La Directive 94/35/CE du Parlement et du Conseil Européen concernant les édulcorants destinés à être employés dans les denrées alimentaires (aussi connue sous le nom de « Directive sur les édulcorants »). </w:t>
      </w:r>
    </w:p>
    <w:p w:rsidR="004C119F" w:rsidRPr="00675E2A" w:rsidRDefault="004C119F" w:rsidP="00675E2A">
      <w:pPr>
        <w:pStyle w:val="Default"/>
        <w:rPr>
          <w:rFonts w:asciiTheme="minorHAnsi" w:hAnsiTheme="minorHAnsi" w:cstheme="minorHAnsi"/>
          <w:sz w:val="22"/>
          <w:szCs w:val="22"/>
        </w:rPr>
      </w:pPr>
      <w:r w:rsidRPr="00675E2A">
        <w:rPr>
          <w:rFonts w:asciiTheme="minorHAnsi" w:hAnsiTheme="minorHAnsi" w:cstheme="minorHAnsi"/>
          <w:sz w:val="22"/>
          <w:szCs w:val="22"/>
        </w:rPr>
        <w:t xml:space="preserve">Afin de tenir compte des développements technologiques dans le secteur des édulcorants, trois amendements de directives ont été adoptés. Les articles de cette législation contiennent des explications et des conditions précises pour l'utilisation des édulcorants dans l'alimentation et les boissons. L'annexe de </w:t>
      </w:r>
      <w:r w:rsidRPr="00675E2A">
        <w:rPr>
          <w:rFonts w:asciiTheme="minorHAnsi" w:hAnsiTheme="minorHAnsi" w:cstheme="minorHAnsi"/>
          <w:sz w:val="22"/>
          <w:szCs w:val="22"/>
        </w:rPr>
        <w:lastRenderedPageBreak/>
        <w:t xml:space="preserve">cette Directive montre les niveaux d'usage maximum pour chaque édulcorant hypocalorique dans une catégorie d'alimentation spécifique. </w:t>
      </w:r>
    </w:p>
    <w:p w:rsidR="00675E2A" w:rsidRDefault="004C119F" w:rsidP="00675E2A">
      <w:pPr>
        <w:spacing w:after="0"/>
        <w:rPr>
          <w:rFonts w:cstheme="minorHAnsi"/>
        </w:rPr>
      </w:pPr>
      <w:r w:rsidRPr="00675E2A">
        <w:rPr>
          <w:rFonts w:cstheme="minorHAnsi"/>
        </w:rPr>
        <w:t>Arrêté Royal du 17/02/1997 concernant les édulcorants destinés à être employés dans les denrées alimentaires.</w:t>
      </w:r>
    </w:p>
    <w:p w:rsidR="004C119F" w:rsidRPr="00675E2A" w:rsidRDefault="004C119F" w:rsidP="00675E2A">
      <w:pPr>
        <w:spacing w:after="0"/>
        <w:rPr>
          <w:rFonts w:cstheme="minorHAnsi"/>
        </w:rPr>
      </w:pPr>
      <w:r w:rsidRPr="00675E2A">
        <w:rPr>
          <w:rFonts w:cstheme="minorHAnsi"/>
        </w:rPr>
        <w:t xml:space="preserve">Arrêté Royal du 19/03/2004 relatif aux jus et nectars de fruits, aux jus de légumes et à certaines denrées similaires. </w:t>
      </w:r>
    </w:p>
    <w:p w:rsidR="004C119F" w:rsidRPr="00675E2A" w:rsidRDefault="004C119F" w:rsidP="00675E2A">
      <w:pPr>
        <w:pStyle w:val="Default"/>
        <w:rPr>
          <w:rFonts w:asciiTheme="minorHAnsi" w:hAnsiTheme="minorHAnsi" w:cstheme="minorHAnsi"/>
          <w:sz w:val="22"/>
          <w:szCs w:val="22"/>
        </w:rPr>
      </w:pPr>
      <w:r w:rsidRPr="00675E2A">
        <w:rPr>
          <w:rFonts w:asciiTheme="minorHAnsi" w:hAnsiTheme="minorHAnsi" w:cstheme="minorHAnsi"/>
          <w:sz w:val="22"/>
          <w:szCs w:val="22"/>
        </w:rPr>
        <w:t xml:space="preserve">Modifié par l’AR du 25/01/2011. </w:t>
      </w:r>
    </w:p>
    <w:p w:rsidR="004C119F" w:rsidRPr="00675E2A" w:rsidRDefault="004C119F" w:rsidP="00675E2A">
      <w:pPr>
        <w:pStyle w:val="Default"/>
        <w:rPr>
          <w:rFonts w:asciiTheme="minorHAnsi" w:hAnsiTheme="minorHAnsi" w:cstheme="minorHAnsi"/>
          <w:sz w:val="22"/>
          <w:szCs w:val="22"/>
        </w:rPr>
      </w:pPr>
      <w:r w:rsidRPr="00675E2A">
        <w:rPr>
          <w:rFonts w:asciiTheme="minorHAnsi" w:hAnsiTheme="minorHAnsi" w:cstheme="minorHAnsi"/>
          <w:sz w:val="22"/>
          <w:szCs w:val="22"/>
        </w:rPr>
        <w:t xml:space="preserve">Directive européenne CE 112/2001 relative aux jus de fruits et à certains produits similaires destinés à l’alimentation humaine. </w:t>
      </w:r>
    </w:p>
    <w:p w:rsidR="004C119F" w:rsidRPr="00675E2A" w:rsidRDefault="004C119F" w:rsidP="00675E2A">
      <w:pPr>
        <w:spacing w:after="0"/>
        <w:rPr>
          <w:rFonts w:cstheme="minorHAnsi"/>
        </w:rPr>
      </w:pPr>
      <w:r w:rsidRPr="00675E2A">
        <w:rPr>
          <w:rFonts w:cstheme="minorHAnsi"/>
        </w:rPr>
        <w:t>Modifié par la directive CE 2009/106</w:t>
      </w:r>
    </w:p>
    <w:p w:rsidR="004C119F" w:rsidRPr="00675E2A" w:rsidRDefault="004C119F" w:rsidP="00675E2A">
      <w:pPr>
        <w:pStyle w:val="Default"/>
        <w:rPr>
          <w:rFonts w:asciiTheme="minorHAnsi" w:hAnsiTheme="minorHAnsi" w:cstheme="minorHAnsi"/>
          <w:sz w:val="22"/>
          <w:szCs w:val="22"/>
        </w:rPr>
      </w:pPr>
      <w:r w:rsidRPr="00675E2A">
        <w:rPr>
          <w:rFonts w:asciiTheme="minorHAnsi" w:hAnsiTheme="minorHAnsi" w:cstheme="minorHAnsi"/>
          <w:sz w:val="22"/>
          <w:szCs w:val="22"/>
        </w:rPr>
        <w:t xml:space="preserve">Arrêté Royal du 04/10/1995 relatif aux limonades. </w:t>
      </w:r>
    </w:p>
    <w:p w:rsidR="004C119F" w:rsidRPr="00675E2A" w:rsidRDefault="004C119F" w:rsidP="00675E2A">
      <w:pPr>
        <w:spacing w:after="0"/>
        <w:rPr>
          <w:rFonts w:cstheme="minorHAnsi"/>
        </w:rPr>
      </w:pPr>
      <w:r w:rsidRPr="00675E2A">
        <w:rPr>
          <w:rFonts w:cstheme="minorHAnsi"/>
        </w:rPr>
        <w:t>Modification par l’arrêté royal du 20/05/1997</w:t>
      </w:r>
    </w:p>
    <w:p w:rsidR="004C119F" w:rsidRPr="00675E2A" w:rsidRDefault="004C119F" w:rsidP="00675E2A">
      <w:pPr>
        <w:spacing w:after="0"/>
        <w:rPr>
          <w:rFonts w:cstheme="minorHAnsi"/>
        </w:rPr>
      </w:pPr>
      <w:r w:rsidRPr="00675E2A">
        <w:rPr>
          <w:rFonts w:cstheme="minorHAnsi"/>
        </w:rPr>
        <w:t>Directive CE 2002/67 relative à l’étiquetage des denrées alimentaires contenant de la quinine et des denrées alimentaires contenant de la caféine.</w:t>
      </w:r>
    </w:p>
    <w:p w:rsidR="004C119F" w:rsidRPr="00675E2A" w:rsidRDefault="00675E2A" w:rsidP="00675E2A">
      <w:pPr>
        <w:spacing w:after="0"/>
        <w:rPr>
          <w:rFonts w:cstheme="minorHAnsi"/>
        </w:rPr>
      </w:pPr>
      <w:r>
        <w:rPr>
          <w:rFonts w:cstheme="minorHAnsi"/>
        </w:rPr>
        <w:t xml:space="preserve">AR </w:t>
      </w:r>
      <w:r w:rsidR="004C119F" w:rsidRPr="00675E2A">
        <w:rPr>
          <w:rFonts w:cstheme="minorHAnsi"/>
        </w:rPr>
        <w:t>du 31 mars 1993 concernant la bière.</w:t>
      </w:r>
    </w:p>
    <w:p w:rsidR="004C119F" w:rsidRDefault="004C119F" w:rsidP="00675E2A">
      <w:pPr>
        <w:spacing w:after="0"/>
      </w:pPr>
    </w:p>
    <w:sectPr w:rsidR="004C119F" w:rsidSect="008B78E6">
      <w:pgSz w:w="11904" w:h="17338"/>
      <w:pgMar w:top="1855" w:right="1026" w:bottom="659" w:left="122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C119F"/>
    <w:rsid w:val="004C119F"/>
    <w:rsid w:val="00675E2A"/>
    <w:rsid w:val="00924694"/>
    <w:rsid w:val="00D97520"/>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69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4C119F"/>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779</Words>
  <Characters>4290</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Vanille</dc:creator>
  <cp:lastModifiedBy>Vanille</cp:lastModifiedBy>
  <cp:revision>1</cp:revision>
  <dcterms:created xsi:type="dcterms:W3CDTF">2012-05-28T11:02:00Z</dcterms:created>
  <dcterms:modified xsi:type="dcterms:W3CDTF">2012-05-28T11:20:00Z</dcterms:modified>
</cp:coreProperties>
</file>