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FC" w:rsidRPr="001217FC" w:rsidRDefault="001217FC" w:rsidP="001217FC">
      <w:pPr>
        <w:pStyle w:val="Sansinterligne"/>
        <w:jc w:val="center"/>
        <w:rPr>
          <w:b/>
          <w:sz w:val="30"/>
          <w:szCs w:val="30"/>
          <w:u w:val="single"/>
        </w:rPr>
      </w:pPr>
      <w:r w:rsidRPr="001217FC">
        <w:rPr>
          <w:b/>
          <w:sz w:val="30"/>
          <w:szCs w:val="30"/>
          <w:u w:val="single"/>
        </w:rPr>
        <w:t>TLA: AR, AM, ...</w:t>
      </w:r>
    </w:p>
    <w:p w:rsidR="001217FC" w:rsidRDefault="001217FC" w:rsidP="001217FC">
      <w:pPr>
        <w:pStyle w:val="Sansinterligne"/>
      </w:pP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loi du 04/02/2000: définit les missions, le fonctionnement, le financement, ... de l'AFSCA.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règlement CE 852/2004 relatif à l'hygiène des DA.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Règlement CE 853/2004 fixant les règles spécifiques d'hygiène applicables aux DA d'origine animale.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Décret du 12/12/2002 relatif à la qualité de l'eau destinée à la consommation humaine.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du gouvernement wallon du 15/01/2004 relatif aux valeurs paramétriques applicables aux eaux destinées à la consommation humaine.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14/01/2002 relatif à la qualité deseaux destinées à la consommation humaine qui sont conditionnées ou qui sont utilisées dans les établissements alimentaires pour la fabrication et/ou la mise dans le commerce de denrées alimentaires.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08/02/1999 concernant les eaux minérales naturelles et les eaux de sources.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15/12/2003 modifiant l'AR du 08/02/1999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Directive 94/35/CE concernant les édulcorants destinés à être employés dans les denrées alimentaires.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17/02/1997 concernant les édulcorants destinés à être employés dans les denrées alimentaires.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19/03/2004 relatif aux jus et nectars de fruits, aux jus de légumes et à certaines denrées similaires.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Directive européenne CE 112/2001 relative aux jus de fruits et à certains produits similaire destinés à l'alimentation humaine.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04/10/1995 relatif aux limonades. Modification par l'AR du 20/05/1997.</w:t>
      </w:r>
    </w:p>
    <w:p w:rsidR="00F46915" w:rsidRDefault="00F46915" w:rsidP="00F46915">
      <w:pPr>
        <w:pStyle w:val="Sansinterligne"/>
        <w:numPr>
          <w:ilvl w:val="0"/>
          <w:numId w:val="1"/>
        </w:numPr>
      </w:pPr>
      <w:r>
        <w:t>Arrêté Royal du 31/03/1993 concernant la bière. /!\ article 2 /!\</w:t>
      </w:r>
    </w:p>
    <w:sectPr w:rsidR="00F46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163B2"/>
    <w:multiLevelType w:val="hybridMultilevel"/>
    <w:tmpl w:val="C4D80D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217FC"/>
    <w:rsid w:val="001217FC"/>
    <w:rsid w:val="00F4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17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</cp:lastModifiedBy>
  <cp:revision>2</cp:revision>
  <dcterms:created xsi:type="dcterms:W3CDTF">2012-05-28T08:01:00Z</dcterms:created>
  <dcterms:modified xsi:type="dcterms:W3CDTF">2012-05-28T11:00:00Z</dcterms:modified>
</cp:coreProperties>
</file>