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C3" w:rsidRDefault="004F47EE">
      <w:r>
        <w:t>Décision-&gt; Communiqués de presse</w:t>
      </w:r>
    </w:p>
    <w:p w:rsidR="004F47EE" w:rsidRDefault="004F47EE">
      <w:hyperlink r:id="rId5" w:history="1">
        <w:r w:rsidRPr="00E30F9B">
          <w:rPr>
            <w:rStyle w:val="Lienhypertexte"/>
          </w:rPr>
          <w:t>www.autoritédelaconcurrence.fr</w:t>
        </w:r>
      </w:hyperlink>
    </w:p>
    <w:p w:rsidR="004F47EE" w:rsidRDefault="004F47EE"/>
    <w:p w:rsidR="004F47EE" w:rsidRDefault="004F47EE">
      <w:r>
        <w:t>05-D-66</w:t>
      </w:r>
    </w:p>
    <w:p w:rsidR="004F47EE" w:rsidRDefault="004F47EE">
      <w:r>
        <w:t>09-MC-01</w:t>
      </w:r>
    </w:p>
    <w:p w:rsidR="004F47EE" w:rsidRDefault="004F47EE">
      <w:r>
        <w:t>99-D-45</w:t>
      </w:r>
    </w:p>
    <w:p w:rsidR="004F47EE" w:rsidRDefault="004F47EE">
      <w:r>
        <w:t>05-D-65</w:t>
      </w:r>
    </w:p>
    <w:p w:rsidR="004F47EE" w:rsidRDefault="004F47EE">
      <w:r>
        <w:t>00-D-28</w:t>
      </w:r>
    </w:p>
    <w:p w:rsidR="004F47EE" w:rsidRDefault="004F47EE">
      <w:r>
        <w:t>07-D-15</w:t>
      </w:r>
    </w:p>
    <w:p w:rsidR="004F47EE" w:rsidRDefault="004F47EE">
      <w:r>
        <w:t>06-D-06</w:t>
      </w:r>
    </w:p>
    <w:p w:rsidR="004F47EE" w:rsidRDefault="004F47EE">
      <w:r>
        <w:t>05-D-32</w:t>
      </w:r>
    </w:p>
    <w:p w:rsidR="004F47EE" w:rsidRDefault="004F47EE">
      <w:r>
        <w:t>07-D-08</w:t>
      </w:r>
    </w:p>
    <w:p w:rsidR="004F47EE" w:rsidRDefault="004F47EE">
      <w:r>
        <w:t>09-D-04</w:t>
      </w:r>
    </w:p>
    <w:p w:rsidR="004F47EE" w:rsidRDefault="004F47EE">
      <w:r>
        <w:t>08-MC-01</w:t>
      </w:r>
    </w:p>
    <w:p w:rsidR="004F47EE" w:rsidRDefault="004F47EE">
      <w:r>
        <w:t>07-D-33</w:t>
      </w:r>
    </w:p>
    <w:p w:rsidR="004F47EE" w:rsidRDefault="004F47EE">
      <w:r>
        <w:t>05-D-59</w:t>
      </w:r>
    </w:p>
    <w:p w:rsidR="004F47EE" w:rsidRDefault="004F47EE">
      <w:r>
        <w:t>90-D-31</w:t>
      </w:r>
    </w:p>
    <w:p w:rsidR="004F47EE" w:rsidRDefault="004F47EE">
      <w:r>
        <w:t>09-D-32</w:t>
      </w:r>
    </w:p>
    <w:p w:rsidR="004F47EE" w:rsidRDefault="004F47EE">
      <w:r>
        <w:t>98-D-31</w:t>
      </w:r>
    </w:p>
    <w:p w:rsidR="004F47EE" w:rsidRDefault="004F47EE">
      <w:r>
        <w:t>09-DC</w:t>
      </w:r>
      <w:r w:rsidR="00CC0C43">
        <w:t>C</w:t>
      </w:r>
      <w:r>
        <w:t>-016</w:t>
      </w:r>
    </w:p>
    <w:p w:rsidR="004F47EE" w:rsidRDefault="004F47EE">
      <w:r>
        <w:t>04-A-16</w:t>
      </w:r>
    </w:p>
    <w:p w:rsidR="004F47EE" w:rsidRDefault="004F47EE">
      <w:r>
        <w:t>93-A-12</w:t>
      </w:r>
    </w:p>
    <w:p w:rsidR="004F47EE" w:rsidRDefault="004F47EE"/>
    <w:p w:rsidR="00875DC6" w:rsidRDefault="00875DC6"/>
    <w:p w:rsidR="00875DC6" w:rsidRDefault="00875DC6"/>
    <w:p w:rsidR="00875DC6" w:rsidRDefault="00875DC6"/>
    <w:p w:rsidR="00875DC6" w:rsidRDefault="00875DC6"/>
    <w:p w:rsidR="00865B9A" w:rsidRDefault="00865B9A" w:rsidP="00865B9A">
      <w:pPr>
        <w:jc w:val="center"/>
      </w:pPr>
      <w:r>
        <w:lastRenderedPageBreak/>
        <w:t>05-D-66</w:t>
      </w:r>
    </w:p>
    <w:p w:rsidR="00865B9A" w:rsidRDefault="00865B9A" w:rsidP="00865B9A">
      <w:pPr>
        <w:pStyle w:val="NormalWeb"/>
        <w:jc w:val="center"/>
        <w:rPr>
          <w:rStyle w:val="bold"/>
        </w:rPr>
      </w:pPr>
    </w:p>
    <w:p w:rsidR="00865B9A" w:rsidRDefault="00865B9A" w:rsidP="00865B9A">
      <w:pPr>
        <w:pStyle w:val="NormalWeb"/>
        <w:jc w:val="center"/>
      </w:pPr>
      <w:r>
        <w:rPr>
          <w:rStyle w:val="bold"/>
        </w:rPr>
        <w:t xml:space="preserve">Le Conseil de la concurrence sanctionne les fabricants Philips, Sony et Panasonic à hauteur de </w:t>
      </w:r>
      <w:r>
        <w:br/>
      </w:r>
      <w:r>
        <w:rPr>
          <w:rStyle w:val="bold"/>
        </w:rPr>
        <w:t xml:space="preserve">34,4 millions d'euros pour avoir mis en place un système de prix de détail minimum imposés </w:t>
      </w:r>
      <w:r>
        <w:br/>
      </w:r>
      <w:r>
        <w:rPr>
          <w:rStyle w:val="bold"/>
        </w:rPr>
        <w:t>auprès de leurs distributeurs</w:t>
      </w:r>
    </w:p>
    <w:p w:rsidR="00865B9A" w:rsidRDefault="00865B9A" w:rsidP="00875DC6">
      <w:pPr>
        <w:pStyle w:val="NormalWeb"/>
      </w:pPr>
    </w:p>
    <w:p w:rsidR="00875DC6" w:rsidRDefault="00875DC6" w:rsidP="00875DC6">
      <w:pPr>
        <w:pStyle w:val="NormalWeb"/>
      </w:pPr>
      <w:r>
        <w:t>Saisi par la société Avantage (enseigne TVHA), le Conseil de la concurrence a rendu, le 5 décembre, une décision au fond par laquelle il sanctionne les fabricants de produits d'électronique grand public Philips, Sony et Panasonic pour avoir respectivement mis en place une entente verticale avec chacun de leurs distributeurs ayant pour but de fixer les prix de revente au détail des produits bruns de leur marque.</w:t>
      </w:r>
      <w:r>
        <w:br/>
      </w:r>
      <w:r>
        <w:br/>
        <w:t>Il leur a infligé une amende d'un montant total de 34,4 millions d'euros :</w:t>
      </w:r>
    </w:p>
    <w:p w:rsidR="00875DC6" w:rsidRDefault="00875DC6" w:rsidP="00875DC6">
      <w:pPr>
        <w:numPr>
          <w:ilvl w:val="0"/>
          <w:numId w:val="3"/>
        </w:numPr>
        <w:spacing w:before="100" w:beforeAutospacing="1" w:after="100" w:afterAutospacing="1" w:line="240" w:lineRule="auto"/>
      </w:pPr>
      <w:r>
        <w:t>Philips France : 16 millions d'euros</w:t>
      </w:r>
    </w:p>
    <w:p w:rsidR="00875DC6" w:rsidRDefault="00875DC6" w:rsidP="00875DC6">
      <w:pPr>
        <w:numPr>
          <w:ilvl w:val="0"/>
          <w:numId w:val="3"/>
        </w:numPr>
        <w:spacing w:before="100" w:beforeAutospacing="1" w:after="100" w:afterAutospacing="1" w:line="240" w:lineRule="auto"/>
      </w:pPr>
      <w:r>
        <w:t>Sony France : 16 millions d'euros</w:t>
      </w:r>
    </w:p>
    <w:p w:rsidR="00875DC6" w:rsidRDefault="00875DC6" w:rsidP="00875DC6">
      <w:pPr>
        <w:numPr>
          <w:ilvl w:val="0"/>
          <w:numId w:val="3"/>
        </w:numPr>
        <w:spacing w:before="100" w:beforeAutospacing="1" w:after="100" w:afterAutospacing="1" w:line="240" w:lineRule="auto"/>
      </w:pPr>
      <w:r>
        <w:t>Panasonic : 2,4 millions d'euros</w:t>
      </w:r>
    </w:p>
    <w:p w:rsidR="00875DC6" w:rsidRDefault="00875DC6" w:rsidP="00875DC6">
      <w:pPr>
        <w:pStyle w:val="NormalWeb"/>
      </w:pPr>
      <w:r>
        <w:rPr>
          <w:rStyle w:val="bold"/>
        </w:rPr>
        <w:t>Les faits dénoncés</w:t>
      </w:r>
    </w:p>
    <w:p w:rsidR="00875DC6" w:rsidRDefault="00875DC6" w:rsidP="00875DC6">
      <w:pPr>
        <w:pStyle w:val="NormalWeb"/>
      </w:pPr>
      <w:r>
        <w:t xml:space="preserve">La SARL Avantage commercialisait au détail en 1997 des produits bruns sous l'enseigne TVHA dans son magasin situé à Grenoble. L'enseigne TVHA présentait la particularité de pratiquer des prix discount par rapport à ceux pratiqués par les autres distributeurs. </w:t>
      </w:r>
      <w:r>
        <w:br/>
      </w:r>
      <w:r>
        <w:br/>
        <w:t xml:space="preserve">La société Avantage affirme avoir rencontré des difficultés auprès de certains fournisseurs et de certains grossistes, au motif qu'elle pratiquait des prix inférieurs aux prix conseillés par les fournisseurs et ce à partir du moment où elle s'est engagée dans une campagne de publicité active dans la presse. </w:t>
      </w:r>
      <w:r>
        <w:br/>
      </w:r>
      <w:r>
        <w:br/>
        <w:t>Elle alléguait qu'il existait des pratiques d'entente de prix minimum entre fournisseurs et distributeurs de produits d'électronique grand public ainsi qu'un certain nombre de pratiques d'éviction à son encontre de la part de certains fournisseurs et grossistes.</w:t>
      </w:r>
      <w:r>
        <w:br/>
      </w:r>
      <w:r>
        <w:br/>
      </w:r>
      <w:r>
        <w:rPr>
          <w:rStyle w:val="bold"/>
        </w:rPr>
        <w:t>La mise en place d'une entente verticale entre les fabricants Philips, Sony et Panasonic et leurs distributeurs respectifs</w:t>
      </w:r>
      <w:r>
        <w:t xml:space="preserve"> </w:t>
      </w:r>
      <w:r>
        <w:br/>
      </w:r>
      <w:r>
        <w:br/>
        <w:t>L'instruction et les éléments au dossier montrent que Philips, Sony et Panasonic ont respectivement mis en place un système de contrôle des prix pratiqués par leurs distributeurs, afin de veiller à ce que ceux-ci respectent les prix « conseillés ».</w:t>
      </w:r>
      <w:r>
        <w:br/>
      </w:r>
      <w:r>
        <w:br/>
        <w:t>Le Conseil de la concurrence a considéré qu'il existait des indices graves, précis et concordants démontrant l'existence d'une entente entre les fabricants Philips, Sony et Panasonic et leurs distributeurs respectifs et a notamment retenu à cet égard comme éléments probants :</w:t>
      </w:r>
    </w:p>
    <w:p w:rsidR="00875DC6" w:rsidRDefault="00875DC6" w:rsidP="00875DC6">
      <w:pPr>
        <w:numPr>
          <w:ilvl w:val="0"/>
          <w:numId w:val="4"/>
        </w:numPr>
        <w:spacing w:before="100" w:beforeAutospacing="1" w:after="100" w:afterAutospacing="1" w:line="240" w:lineRule="auto"/>
      </w:pPr>
      <w:r>
        <w:lastRenderedPageBreak/>
        <w:t>la communication de prix de détail « conseillés » aux grossistes et aux détaillants</w:t>
      </w:r>
      <w:r>
        <w:br/>
      </w:r>
      <w:r>
        <w:br/>
        <w:t> </w:t>
      </w:r>
    </w:p>
    <w:p w:rsidR="00875DC6" w:rsidRDefault="00875DC6" w:rsidP="00875DC6">
      <w:pPr>
        <w:numPr>
          <w:ilvl w:val="0"/>
          <w:numId w:val="4"/>
        </w:numPr>
        <w:spacing w:before="100" w:beforeAutospacing="1" w:after="100" w:afterAutospacing="1" w:line="240" w:lineRule="auto"/>
      </w:pPr>
      <w:r>
        <w:t>l'alignement constaté des prix de vente d'un certain nombre de produits chez l'ensemble des distributeurs des marques concernées (une même référence de téléviseur par exemple étant, à quelques exceptions près, au même prix dans tous les magasins)</w:t>
      </w:r>
      <w:r>
        <w:br/>
      </w:r>
      <w:r>
        <w:br/>
        <w:t> </w:t>
      </w:r>
    </w:p>
    <w:p w:rsidR="00875DC6" w:rsidRDefault="00875DC6" w:rsidP="00875DC6">
      <w:pPr>
        <w:numPr>
          <w:ilvl w:val="0"/>
          <w:numId w:val="4"/>
        </w:numPr>
        <w:spacing w:before="100" w:beforeAutospacing="1" w:after="100" w:afterAutospacing="1" w:line="240" w:lineRule="auto"/>
      </w:pPr>
      <w:r>
        <w:t>l'existence de mécanismes de surveillance et de contrôle des prix de détail (rappels à l'ordre téléphoniques de la part des fabricants ou des grossistes pour « faire remonter les prix », passage de représentants régionaux de la marque dans les points de vente, menaces de cessation de livraison ou de réduction des facilités financières octroyées)</w:t>
      </w:r>
      <w:r>
        <w:br/>
      </w:r>
      <w:r>
        <w:br/>
        <w:t> </w:t>
      </w:r>
    </w:p>
    <w:p w:rsidR="00875DC6" w:rsidRDefault="00875DC6" w:rsidP="00875DC6">
      <w:pPr>
        <w:numPr>
          <w:ilvl w:val="0"/>
          <w:numId w:val="4"/>
        </w:numPr>
        <w:spacing w:before="100" w:beforeAutospacing="1" w:after="100" w:afterAutospacing="1" w:line="240" w:lineRule="auto"/>
      </w:pPr>
      <w:r>
        <w:t>l'existence - en ce qui concerne Philips et Sony - de contrats de coopération entre leurs revendeurs, procurant aux fabricants le contrôle de leur politique de publicité et de leur politique de prix</w:t>
      </w:r>
    </w:p>
    <w:p w:rsidR="00875DC6" w:rsidRDefault="00875DC6" w:rsidP="00875DC6">
      <w:pPr>
        <w:pStyle w:val="NormalWeb"/>
      </w:pPr>
      <w:r>
        <w:rPr>
          <w:rStyle w:val="bold"/>
        </w:rPr>
        <w:t>Gravité des pratiques et dommage à l'économie</w:t>
      </w:r>
    </w:p>
    <w:p w:rsidR="00875DC6" w:rsidRDefault="00875DC6" w:rsidP="00875DC6">
      <w:pPr>
        <w:pStyle w:val="NormalWeb"/>
      </w:pPr>
      <w:r>
        <w:t>La pratique qui consiste à instaurer une entente en vue de mettre en place un système de prix imposés sur un marché, notamment en retardant ou en suspendant les livraisons à l'encontre des distributeurs qui ne respectent pas ces prix, revêt un caractère d'une particulière gravité.</w:t>
      </w:r>
      <w:r>
        <w:br/>
      </w:r>
      <w:r>
        <w:br/>
        <w:t xml:space="preserve">En l'espèce, l'entente ici sanctionnée a privé les consommateurs de la possibilité d'acquérir les appareils des marques Philips, Sony et Panasonic à un prix plus avantageux, qui aurait résulté d'une véritable concurrence par les prix entre réseaux de distribution. Le Conseil a souligné que ces pratiques sont d'autant plus graves qu'elles ont été mises en </w:t>
      </w:r>
      <w:proofErr w:type="spellStart"/>
      <w:r>
        <w:t>oeuvre</w:t>
      </w:r>
      <w:proofErr w:type="spellEnd"/>
      <w:r>
        <w:t xml:space="preserve"> par de grands groupes d'envergure internationale, dont les comportements sont susceptibles de constituer la norme dans le secteur.</w:t>
      </w:r>
      <w:r>
        <w:br/>
      </w:r>
      <w:r>
        <w:br/>
        <w:t xml:space="preserve">Enfin, le Conseil a pris en compte le fait que ces pratiques ont été mises en œuvre par les fabricants leaders du secteur, qui sur la période 1998-2002, totalisaient, à eux trois, 55 % des ventes de chaînes hi-fi, près de 50 % des ventes de téléviseurs et près de 40 % des ventes de magnétoscopes et de DVD. </w:t>
      </w:r>
      <w:r>
        <w:br/>
      </w:r>
      <w:r>
        <w:br/>
        <w:t>Par ailleurs, le Conseil a écarté, faute de preuves suffisantes, les griefs qui avaient été « notifiés », sur le même fondement que celui retenu à l'encontre des sociétés sanctionnées, aux sociétés Toshiba et Yamaha.</w:t>
      </w:r>
    </w:p>
    <w:p w:rsidR="00875DC6" w:rsidRDefault="00875DC6" w:rsidP="00875DC6">
      <w:pPr>
        <w:pStyle w:val="NormalWeb"/>
      </w:pPr>
      <w:r>
        <w:br/>
      </w:r>
      <w:r>
        <w:rPr>
          <w:rStyle w:val="italic"/>
        </w:rPr>
        <w:t xml:space="preserve">&gt; </w:t>
      </w:r>
      <w:hyperlink r:id="rId6" w:history="1">
        <w:r>
          <w:rPr>
            <w:rStyle w:val="Lienhypertexte"/>
          </w:rPr>
          <w:t>Décision n° 05-D-66 du 5 décembre 2005 relative à la saisine de la SARL Avantage à l'encontre de pratiques mises en œuvre dans le secteur des produits d'électronique grand public</w:t>
        </w:r>
      </w:hyperlink>
    </w:p>
    <w:p w:rsidR="00875DC6" w:rsidRDefault="00875DC6"/>
    <w:p w:rsidR="00875DC6" w:rsidRDefault="00875DC6"/>
    <w:p w:rsidR="00875DC6" w:rsidRDefault="00875DC6"/>
    <w:p w:rsidR="00865B9A" w:rsidRDefault="00865B9A" w:rsidP="00865B9A">
      <w:pPr>
        <w:jc w:val="center"/>
      </w:pPr>
      <w:r>
        <w:lastRenderedPageBreak/>
        <w:t>09-MC-01</w:t>
      </w:r>
    </w:p>
    <w:p w:rsidR="00865B9A" w:rsidRDefault="00865B9A" w:rsidP="00865B9A"/>
    <w:p w:rsidR="00865B9A" w:rsidRDefault="00865B9A" w:rsidP="00865B9A">
      <w:pPr>
        <w:pStyle w:val="NormalWeb"/>
        <w:jc w:val="center"/>
      </w:pPr>
      <w:r>
        <w:rPr>
          <w:rStyle w:val="bold"/>
        </w:rPr>
        <w:t xml:space="preserve">Le Conseil de la concurrence sanctionne les fabricants Philips, Sony et Panasonic à hauteur de </w:t>
      </w:r>
      <w:r>
        <w:br/>
      </w:r>
      <w:r>
        <w:rPr>
          <w:rStyle w:val="bold"/>
        </w:rPr>
        <w:t xml:space="preserve">34,4 millions d'euros pour avoir mis en place un système de prix de détail minimum imposés </w:t>
      </w:r>
      <w:r>
        <w:br/>
      </w:r>
      <w:r>
        <w:rPr>
          <w:rStyle w:val="bold"/>
        </w:rPr>
        <w:t>auprès de leurs distributeurs</w:t>
      </w:r>
    </w:p>
    <w:p w:rsidR="00865B9A" w:rsidRDefault="00865B9A" w:rsidP="00865B9A">
      <w:pPr>
        <w:pStyle w:val="NormalWeb"/>
        <w:jc w:val="right"/>
      </w:pPr>
      <w:hyperlink r:id="rId7" w:history="1">
        <w:r>
          <w:rPr>
            <w:rStyle w:val="Lienhypertexte"/>
          </w:rPr>
          <w:t>&gt;English version</w:t>
        </w:r>
      </w:hyperlink>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65B9A" w:rsidRDefault="00865B9A" w:rsidP="00865B9A">
      <w:pPr>
        <w:pStyle w:val="NormalWeb"/>
      </w:pPr>
      <w:r>
        <w:br/>
        <w:t>Saisi par la société Avantage (enseigne TVHA), le Conseil de la concurrence a rendu, le 5 décembre, une décision au fond par laquelle il sanctionne les fabricants de produits d'électronique grand public Philips, Sony et Panasonic pour avoir respectivement mis en place une entente verticale avec chacun de leurs distributeurs ayant pour but de fixer les prix de revente au détail des produits bruns de leur marque.</w:t>
      </w:r>
      <w:r>
        <w:br/>
      </w:r>
      <w:r>
        <w:br/>
        <w:t>Il leur a infligé une amende d'un montant total de 34,4 millions d'euros :</w:t>
      </w:r>
    </w:p>
    <w:p w:rsidR="00865B9A" w:rsidRDefault="00865B9A" w:rsidP="00865B9A">
      <w:pPr>
        <w:numPr>
          <w:ilvl w:val="0"/>
          <w:numId w:val="5"/>
        </w:numPr>
        <w:spacing w:before="100" w:beforeAutospacing="1" w:after="100" w:afterAutospacing="1" w:line="240" w:lineRule="auto"/>
      </w:pPr>
      <w:r>
        <w:t>Philips France : 16 millions d'euros</w:t>
      </w:r>
    </w:p>
    <w:p w:rsidR="00865B9A" w:rsidRDefault="00865B9A" w:rsidP="00865B9A">
      <w:pPr>
        <w:numPr>
          <w:ilvl w:val="0"/>
          <w:numId w:val="5"/>
        </w:numPr>
        <w:spacing w:before="100" w:beforeAutospacing="1" w:after="100" w:afterAutospacing="1" w:line="240" w:lineRule="auto"/>
      </w:pPr>
      <w:r>
        <w:t>Sony France : 16 millions d'euros</w:t>
      </w:r>
    </w:p>
    <w:p w:rsidR="00865B9A" w:rsidRDefault="00865B9A" w:rsidP="00865B9A">
      <w:pPr>
        <w:numPr>
          <w:ilvl w:val="0"/>
          <w:numId w:val="5"/>
        </w:numPr>
        <w:spacing w:before="100" w:beforeAutospacing="1" w:after="100" w:afterAutospacing="1" w:line="240" w:lineRule="auto"/>
      </w:pPr>
      <w:r>
        <w:t>Panasonic : 2,4 millions d'euros</w:t>
      </w:r>
    </w:p>
    <w:p w:rsidR="00865B9A" w:rsidRDefault="00865B9A" w:rsidP="00865B9A">
      <w:pPr>
        <w:pStyle w:val="NormalWeb"/>
      </w:pPr>
      <w:r>
        <w:rPr>
          <w:rStyle w:val="bold"/>
        </w:rPr>
        <w:t>Les faits dénoncés</w:t>
      </w:r>
    </w:p>
    <w:p w:rsidR="00865B9A" w:rsidRDefault="00865B9A" w:rsidP="00865B9A">
      <w:pPr>
        <w:pStyle w:val="NormalWeb"/>
      </w:pPr>
      <w:r>
        <w:t xml:space="preserve">La SARL Avantage commercialisait au détail en 1997 des produits bruns sous l'enseigne TVHA dans son magasin situé à Grenoble. L'enseigne TVHA présentait la particularité de pratiquer des prix discount par rapport à ceux pratiqués par les autres distributeurs. </w:t>
      </w:r>
      <w:r>
        <w:br/>
      </w:r>
      <w:r>
        <w:br/>
        <w:t xml:space="preserve">La société Avantage affirme avoir rencontré des difficultés auprès de certains fournisseurs et de certains grossistes, au motif qu'elle pratiquait des prix inférieurs aux prix conseillés par les fournisseurs et ce à partir du moment où elle s'est engagée dans une campagne de publicité active dans la presse. </w:t>
      </w:r>
      <w:r>
        <w:br/>
      </w:r>
      <w:r>
        <w:br/>
        <w:t>Elle alléguait qu'il existait des pratiques d'entente de prix minimum entre fournisseurs et distributeurs de produits d'électronique grand public ainsi qu'un certain nombre de pratiques d'éviction à son encontre de la part de certains fournisseurs et grossistes.</w:t>
      </w:r>
      <w:r>
        <w:br/>
      </w:r>
      <w:r>
        <w:br/>
      </w:r>
      <w:r>
        <w:rPr>
          <w:rStyle w:val="bold"/>
        </w:rPr>
        <w:t>La mise en place d'une entente verticale entre les fabricants Philips, Sony et Panasonic et leurs distributeurs respectifs</w:t>
      </w:r>
      <w:r>
        <w:t xml:space="preserve"> </w:t>
      </w:r>
      <w:r>
        <w:br/>
      </w:r>
      <w:r>
        <w:br/>
        <w:t>L'instruction et les éléments au dossier montrent que Philips, Sony et Panasonic ont respectivement mis en place un système de contrôle des prix pratiqués par leurs distributeurs, afin de veiller à ce que ceux-ci respectent les prix « conseillés ».</w:t>
      </w:r>
      <w:r>
        <w:br/>
      </w:r>
      <w:r>
        <w:br/>
        <w:t>Le Conseil de la concurrence a considéré qu'il existait des indices graves, précis et concordants démontrant l'existence d'une entente entre les fabricants Philips, Sony et Panasonic et leurs distributeurs respectifs et a notamment retenu à cet égard comme éléments probants :</w:t>
      </w:r>
    </w:p>
    <w:p w:rsidR="00865B9A" w:rsidRDefault="00865B9A" w:rsidP="00865B9A">
      <w:pPr>
        <w:numPr>
          <w:ilvl w:val="0"/>
          <w:numId w:val="6"/>
        </w:numPr>
        <w:spacing w:before="100" w:beforeAutospacing="1" w:after="100" w:afterAutospacing="1" w:line="240" w:lineRule="auto"/>
      </w:pPr>
      <w:r>
        <w:lastRenderedPageBreak/>
        <w:t>la communication de prix de détail « conseillés » aux grossistes et aux détaillants</w:t>
      </w:r>
      <w:r>
        <w:br/>
      </w:r>
      <w:r>
        <w:br/>
        <w:t> </w:t>
      </w:r>
    </w:p>
    <w:p w:rsidR="00865B9A" w:rsidRDefault="00865B9A" w:rsidP="00865B9A">
      <w:pPr>
        <w:numPr>
          <w:ilvl w:val="0"/>
          <w:numId w:val="6"/>
        </w:numPr>
        <w:spacing w:before="100" w:beforeAutospacing="1" w:after="100" w:afterAutospacing="1" w:line="240" w:lineRule="auto"/>
      </w:pPr>
      <w:r>
        <w:t>l'alignement constaté des prix de vente d'un certain nombre de produits chez l'ensemble des distributeurs des marques concernées (une même référence de téléviseur par exemple étant, à quelques exceptions près, au même prix dans tous les magasins)</w:t>
      </w:r>
      <w:r>
        <w:br/>
      </w:r>
      <w:r>
        <w:br/>
        <w:t> </w:t>
      </w:r>
    </w:p>
    <w:p w:rsidR="00865B9A" w:rsidRDefault="00865B9A" w:rsidP="00865B9A">
      <w:pPr>
        <w:numPr>
          <w:ilvl w:val="0"/>
          <w:numId w:val="6"/>
        </w:numPr>
        <w:spacing w:before="100" w:beforeAutospacing="1" w:after="100" w:afterAutospacing="1" w:line="240" w:lineRule="auto"/>
      </w:pPr>
      <w:r>
        <w:t>l'existence de mécanismes de surveillance et de contrôle des prix de détail (rappels à l'ordre téléphoniques de la part des fabricants ou des grossistes pour « faire remonter les prix », passage de représentants régionaux de la marque dans les points de vente, menaces de cessation de livraison ou de réduction des facilités financières octroyées)</w:t>
      </w:r>
      <w:r>
        <w:br/>
      </w:r>
      <w:r>
        <w:br/>
        <w:t> </w:t>
      </w:r>
    </w:p>
    <w:p w:rsidR="00865B9A" w:rsidRDefault="00865B9A" w:rsidP="00865B9A">
      <w:pPr>
        <w:numPr>
          <w:ilvl w:val="0"/>
          <w:numId w:val="6"/>
        </w:numPr>
        <w:spacing w:before="100" w:beforeAutospacing="1" w:after="100" w:afterAutospacing="1" w:line="240" w:lineRule="auto"/>
      </w:pPr>
      <w:r>
        <w:t>l'existence - en ce qui concerne Philips et Sony - de contrats de coopération entre leurs revendeurs, procurant aux fabricants le contrôle de leur politique de publicité et de leur politique de prix</w:t>
      </w:r>
    </w:p>
    <w:p w:rsidR="00865B9A" w:rsidRDefault="00865B9A" w:rsidP="00865B9A">
      <w:pPr>
        <w:pStyle w:val="NormalWeb"/>
      </w:pPr>
      <w:r>
        <w:rPr>
          <w:rStyle w:val="bold"/>
        </w:rPr>
        <w:t>Gravité des pratiques et dommage à l'économie</w:t>
      </w:r>
    </w:p>
    <w:p w:rsidR="00865B9A" w:rsidRDefault="00865B9A" w:rsidP="00865B9A">
      <w:pPr>
        <w:pStyle w:val="NormalWeb"/>
      </w:pPr>
      <w:r>
        <w:t>La pratique qui consiste à instaurer une entente en vue de mettre en place un système de prix imposés sur un marché, notamment en retardant ou en suspendant les livraisons à l'encontre des distributeurs qui ne respectent pas ces prix, revêt un caractère d'une particulière gravité.</w:t>
      </w:r>
      <w:r>
        <w:br/>
      </w:r>
      <w:r>
        <w:br/>
        <w:t xml:space="preserve">En l'espèce, l'entente ici sanctionnée a privé les consommateurs de la possibilité d'acquérir les appareils des marques Philips, Sony et Panasonic à un prix plus avantageux, qui aurait résulté d'une véritable concurrence par les prix entre réseaux de distribution. Le Conseil a souligné que ces pratiques sont d'autant plus graves qu'elles ont été mises en </w:t>
      </w:r>
      <w:proofErr w:type="spellStart"/>
      <w:r>
        <w:t>oeuvre</w:t>
      </w:r>
      <w:proofErr w:type="spellEnd"/>
      <w:r>
        <w:t xml:space="preserve"> par de grands groupes d'envergure internationale, dont les comportements sont susceptibles de constituer la norme dans le secteur.</w:t>
      </w:r>
      <w:r>
        <w:br/>
      </w:r>
      <w:r>
        <w:br/>
        <w:t xml:space="preserve">Enfin, le Conseil a pris en compte le fait que ces pratiques ont été mises en œuvre par les fabricants leaders du secteur, qui sur la période 1998-2002, totalisaient, à eux trois, 55 % des ventes de chaînes hi-fi, près de 50 % des ventes de téléviseurs et près de 40 % des ventes de magnétoscopes et de DVD. </w:t>
      </w:r>
      <w:r>
        <w:br/>
      </w:r>
      <w:r>
        <w:br/>
        <w:t>Par ailleurs, le Conseil a écarté, faute de preuves suffisantes, les griefs qui avaient été « notifiés », sur le même fondement que celui retenu à l'encontre des sociétés sanctionnées, aux sociétés Toshiba et Yamaha.</w:t>
      </w:r>
    </w:p>
    <w:p w:rsidR="00865B9A" w:rsidRDefault="00865B9A" w:rsidP="00865B9A">
      <w:pPr>
        <w:pStyle w:val="NormalWeb"/>
      </w:pPr>
    </w:p>
    <w:p w:rsidR="00865B9A" w:rsidRDefault="00865B9A" w:rsidP="00865B9A"/>
    <w:p w:rsidR="00865B9A" w:rsidRDefault="00865B9A" w:rsidP="00865B9A"/>
    <w:p w:rsidR="00865B9A" w:rsidRDefault="00865B9A" w:rsidP="00865B9A"/>
    <w:p w:rsidR="00865B9A" w:rsidRDefault="00865B9A" w:rsidP="00865B9A"/>
    <w:p w:rsidR="007F33C8" w:rsidRDefault="007F33C8" w:rsidP="007F33C8"/>
    <w:p w:rsidR="00865B9A" w:rsidRDefault="00865B9A" w:rsidP="007F33C8">
      <w:pPr>
        <w:jc w:val="center"/>
      </w:pPr>
      <w:r>
        <w:lastRenderedPageBreak/>
        <w:t>05-D-65</w:t>
      </w:r>
    </w:p>
    <w:p w:rsidR="00865B9A" w:rsidRDefault="00865B9A" w:rsidP="00865B9A">
      <w:pPr>
        <w:pStyle w:val="NormalWeb"/>
        <w:jc w:val="center"/>
      </w:pPr>
      <w:r>
        <w:rPr>
          <w:rStyle w:val="bold"/>
        </w:rPr>
        <w:t>Le Conseil de la concurrence sanctionne à hauteur de 534 millions d'euros</w:t>
      </w:r>
      <w:r>
        <w:br/>
      </w:r>
      <w:r>
        <w:rPr>
          <w:rStyle w:val="bold"/>
        </w:rPr>
        <w:t>les sociétés Orange France, SFR et Bouygues Télécom</w:t>
      </w:r>
    </w:p>
    <w:p w:rsidR="00865B9A" w:rsidRDefault="00865B9A" w:rsidP="00865B9A">
      <w:pPr>
        <w:pStyle w:val="NormalWeb"/>
        <w:jc w:val="right"/>
      </w:pPr>
      <w:hyperlink r:id="rId8" w:history="1">
        <w:r>
          <w:rPr>
            <w:rStyle w:val="Lienhypertexte"/>
          </w:rPr>
          <w:t>&gt; English version</w:t>
        </w:r>
      </w:hyperlink>
      <w:r>
        <w:t xml:space="preserve"> </w:t>
      </w:r>
      <w:r>
        <w:rPr>
          <w:noProof/>
        </w:rPr>
        <w:drawing>
          <wp:inline distT="0" distB="0" distL="0" distR="0">
            <wp:extent cx="152400" cy="114300"/>
            <wp:effectExtent l="19050" t="0" r="0" b="0"/>
            <wp:docPr id="3" name="Image 3"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865B9A" w:rsidRDefault="00865B9A" w:rsidP="00865B9A">
      <w:pPr>
        <w:pStyle w:val="NormalWeb"/>
        <w:jc w:val="both"/>
      </w:pPr>
      <w:r>
        <w:t xml:space="preserve">Le Conseil a sanctionné les trois opérateurs mobiles, Orange France, SFR et Bouygues Télécom pour avoir mis en œuvre deux types de pratiques d'entente ayant restreint le jeu de la concurrence sur le marché, révélées par une enquête réalisée à la suite d'une </w:t>
      </w:r>
      <w:proofErr w:type="spellStart"/>
      <w:r>
        <w:t>autosaisine</w:t>
      </w:r>
      <w:proofErr w:type="spellEnd"/>
      <w:r>
        <w:t xml:space="preserve"> du Conseil du 28 août 2001 et d'une saisine de l'UFC-Que Choisir du 22 février 2002.</w:t>
      </w:r>
    </w:p>
    <w:p w:rsidR="00865B9A" w:rsidRDefault="00865B9A" w:rsidP="00865B9A">
      <w:pPr>
        <w:pStyle w:val="NormalWeb"/>
        <w:jc w:val="both"/>
      </w:pPr>
      <w:r>
        <w:t>Le montant total des sanctions prononcées est de 534 millions d'euros :</w:t>
      </w:r>
    </w:p>
    <w:p w:rsidR="00865B9A" w:rsidRDefault="00865B9A" w:rsidP="00865B9A">
      <w:pPr>
        <w:numPr>
          <w:ilvl w:val="0"/>
          <w:numId w:val="7"/>
        </w:numPr>
        <w:spacing w:before="100" w:beforeAutospacing="1" w:after="100" w:afterAutospacing="1" w:line="240" w:lineRule="auto"/>
        <w:jc w:val="both"/>
      </w:pPr>
      <w:r>
        <w:t>Orange France : 256 millions d'euros</w:t>
      </w:r>
    </w:p>
    <w:p w:rsidR="00865B9A" w:rsidRDefault="00865B9A" w:rsidP="00865B9A">
      <w:pPr>
        <w:numPr>
          <w:ilvl w:val="0"/>
          <w:numId w:val="7"/>
        </w:numPr>
        <w:spacing w:before="100" w:beforeAutospacing="1" w:after="100" w:afterAutospacing="1" w:line="240" w:lineRule="auto"/>
        <w:jc w:val="both"/>
      </w:pPr>
      <w:r>
        <w:t>SFR : 220 millions d'euros</w:t>
      </w:r>
    </w:p>
    <w:p w:rsidR="00865B9A" w:rsidRDefault="00865B9A" w:rsidP="00865B9A">
      <w:pPr>
        <w:numPr>
          <w:ilvl w:val="0"/>
          <w:numId w:val="7"/>
        </w:numPr>
        <w:spacing w:before="100" w:beforeAutospacing="1" w:after="100" w:afterAutospacing="1" w:line="240" w:lineRule="auto"/>
        <w:jc w:val="both"/>
      </w:pPr>
      <w:r>
        <w:t>Bouygues Télécom : 58 millions d'euros</w:t>
      </w:r>
    </w:p>
    <w:p w:rsidR="00865B9A" w:rsidRDefault="00865B9A" w:rsidP="00865B9A">
      <w:pPr>
        <w:pStyle w:val="NormalWeb"/>
        <w:jc w:val="both"/>
      </w:pPr>
      <w:r>
        <w:rPr>
          <w:rStyle w:val="bold"/>
        </w:rPr>
        <w:t>Des échanges d'informations stratégiques portant sur les nouveaux abonnements et les résiliations</w:t>
      </w:r>
    </w:p>
    <w:p w:rsidR="00865B9A" w:rsidRDefault="00865B9A" w:rsidP="00865B9A">
      <w:pPr>
        <w:pStyle w:val="NormalWeb"/>
        <w:jc w:val="both"/>
      </w:pPr>
      <w:r>
        <w:t>Les opérateurs mobiles ont échangé entre eux, de 1997 à 2003, tous les mois, des chiffres précis et confidentiels concernant les nouveaux abonnements qu'ils avaient vendus durant le mois écoulé, ainsi que le nombre de clients ayant résilié leur abonnement.</w:t>
      </w:r>
      <w:r>
        <w:br/>
      </w:r>
      <w:r>
        <w:br/>
        <w:t>Le Conseil a considéré que, bien que ne portant pas sur les décisions de prix qu'ils avaient l'intention de prendre, ces échanges d'informations étaient de nature à réduire l'intensité de la concurrence sur le marché des mobiles pour plusieurs raisons :</w:t>
      </w:r>
    </w:p>
    <w:p w:rsidR="00865B9A" w:rsidRDefault="00865B9A" w:rsidP="00865B9A">
      <w:pPr>
        <w:numPr>
          <w:ilvl w:val="0"/>
          <w:numId w:val="8"/>
        </w:numPr>
        <w:spacing w:before="100" w:beforeAutospacing="1" w:after="100" w:afterAutospacing="1" w:line="240" w:lineRule="auto"/>
        <w:jc w:val="both"/>
      </w:pPr>
      <w:r>
        <w:t>D'une part, les opérateurs n'auraient pu disposer de ce type d'informations s'ils n'avaient pas procédé à ces échanges systématiques, dont ils prenaient d'ailleurs garde de ne pas révéler l'existence. On notera à cet égard que l'ARCEP n'a jamais publié ces informations, ne publiant qu'un indicateur agrégeant les nouvelles acquisitions et les résiliations, tous les mois jusqu'en 2000, puis seulement tous les trimestres à partir d'avril 2000.</w:t>
      </w:r>
      <w:r>
        <w:br/>
        <w:t> </w:t>
      </w:r>
    </w:p>
    <w:p w:rsidR="00865B9A" w:rsidRDefault="00865B9A" w:rsidP="00865B9A">
      <w:pPr>
        <w:numPr>
          <w:ilvl w:val="0"/>
          <w:numId w:val="8"/>
        </w:numPr>
        <w:spacing w:before="100" w:beforeAutospacing="1" w:after="100" w:afterAutospacing="1" w:line="240" w:lineRule="auto"/>
        <w:jc w:val="both"/>
      </w:pPr>
      <w:r>
        <w:t>D'autre part, il apparaît, au travers des différents comptes rendus des conseils de direction des trois opérateurs que l'évolution de ces indicateurs constituait une information très importante dont il était tenu compte pour orienter les stratégies commerciales.</w:t>
      </w:r>
    </w:p>
    <w:p w:rsidR="00865B9A" w:rsidRDefault="00865B9A" w:rsidP="00865B9A">
      <w:pPr>
        <w:pStyle w:val="NormalWeb"/>
        <w:jc w:val="both"/>
      </w:pPr>
      <w:r>
        <w:br/>
        <w:t xml:space="preserve">Sur un marché où n'opèrent que trois acteurs et sur lequel l'entrée est très difficile, des échanges d'informations de ce type sont de nature à altérer le jeu de la concurrence, en réduisant l'incertitude sur la stratégie des autres acteurs et en diminuant l'autonomie commerciale de chaque entreprise, particulièrement lorsque - comme cela a été le cas sur le marché de la téléphonie mobile à partir de 2000 - la croissance de la demande se ralentit fortement. </w:t>
      </w:r>
      <w:r>
        <w:br/>
      </w:r>
      <w:r>
        <w:br/>
        <w:t>En outre, le Conseil a constaté qu'à partir de 2000, ces échanges avaient permis aux opérateurs de surveiller l'accord qu'ils avaient conclu, par ailleurs, quant à l'évolution de leurs parts de marché respectives.</w:t>
      </w:r>
    </w:p>
    <w:p w:rsidR="00865B9A" w:rsidRDefault="00865B9A" w:rsidP="00865B9A">
      <w:pPr>
        <w:pStyle w:val="NormalWeb"/>
        <w:jc w:val="both"/>
      </w:pPr>
      <w:r>
        <w:rPr>
          <w:rStyle w:val="bold"/>
        </w:rPr>
        <w:lastRenderedPageBreak/>
        <w:t>L'existence d'un accord entre 2000 et 2002 entre les trois opérateurs portant sur la stabilisation de leurs parts de marché autour d'objectifs définis en commun</w:t>
      </w:r>
    </w:p>
    <w:p w:rsidR="00865B9A" w:rsidRDefault="00865B9A" w:rsidP="00865B9A">
      <w:pPr>
        <w:pStyle w:val="NormalWeb"/>
        <w:jc w:val="both"/>
      </w:pPr>
      <w:r>
        <w:t xml:space="preserve">Il a par ailleurs été constaté que les trois opérateurs se sont entendus afin de stabiliser l'évolution de leurs parts de marché entre 2000 et 2002. </w:t>
      </w:r>
      <w:r>
        <w:br/>
      </w:r>
      <w:r>
        <w:br/>
        <w:t>L'existence d'une telle concertation a été établie grâce au recoupement de plusieurs indices graves, précis et concordants, tels que l'existence de documents manuscrits mentionnant de manière explicite un « accord » entre les trois opérateurs ou la « pacification du marché » ou encore le « Yalta des parts de marché » ainsi que des similitudes relevées au cours de cette période dans les politiques commerciales des opérateurs, notamment en matière de coûts d'acquisition et de tarification des communications. A cet égard, la saisine de l'UFC - Que Choisir a été motivée par l'observation d'un tel parallélisme, s'agissant du passage à une tarification par paliers de 30 secondes après une première minute indivisible, lequel a été opéré concomitamment par les trois opérateurs au début de l'année 2001.</w:t>
      </w:r>
      <w:r>
        <w:br/>
      </w:r>
      <w:r>
        <w:br/>
        <w:t>Cette concertation s'est effectivement traduite par une relative stabilité, à moyen terme, des parts des trois opérateurs dans les ventes de nouveaux abonnements et a facilité le changement de stratégie qu'ils ont opéré à partir de 2000. Jusqu'alors, le développement des opérateurs mobiles s'était appuyé sur l'acquisition de parts de marché, au prix de dépenses d'acquisition élevées.</w:t>
      </w:r>
    </w:p>
    <w:p w:rsidR="00865B9A" w:rsidRDefault="00865B9A" w:rsidP="00865B9A">
      <w:pPr>
        <w:pStyle w:val="NormalWeb"/>
        <w:jc w:val="both"/>
      </w:pPr>
      <w:r>
        <w:t>A partir de 2000, période qui coïncide avec la fin de la course à la part de marché, l'accent mis par les trois opérateurs, de manière concordante, sur la rentabilisation de la base de clientèle acquise, a notamment entraîné un relèvement des prix et l'adoption de mesures telles que la priorité donnée aux forfaits avec engagements contre les cartes prépayées ou l'instauration des paliers de 30 secondes après une première minute indivisible.</w:t>
      </w:r>
    </w:p>
    <w:p w:rsidR="00865B9A" w:rsidRDefault="00865B9A" w:rsidP="00865B9A">
      <w:pPr>
        <w:pStyle w:val="NormalWeb"/>
        <w:jc w:val="both"/>
      </w:pPr>
      <w:r>
        <w:t>Ces mesures, défavorables au consommateur, présentaient le risque de provoquer une baisse des ventes (et donc des parts de marché) de l'opérateur qui se serait aventuré à les mettre en œuvre unilatéralement. L'intérêt de la concertation était donc de faciliter la mise en place de cette stratégie, en permettant aux trois opérateurs de s'assurer qu'ils poursuivaient simultanément la même politique et que leurs parts de marché relatives resteraient par conséquent stables.</w:t>
      </w:r>
    </w:p>
    <w:p w:rsidR="00865B9A" w:rsidRDefault="00865B9A" w:rsidP="00865B9A">
      <w:pPr>
        <w:pStyle w:val="NormalWeb"/>
        <w:jc w:val="both"/>
      </w:pPr>
      <w:r>
        <w:rPr>
          <w:rStyle w:val="bold"/>
        </w:rPr>
        <w:t>Des pratiques particulièrement graves et un dommage à l'économie très important</w:t>
      </w:r>
    </w:p>
    <w:p w:rsidR="00865B9A" w:rsidRDefault="00865B9A" w:rsidP="00865B9A">
      <w:pPr>
        <w:numPr>
          <w:ilvl w:val="0"/>
          <w:numId w:val="9"/>
        </w:numPr>
        <w:spacing w:before="100" w:beforeAutospacing="1" w:after="100" w:afterAutospacing="1" w:line="240" w:lineRule="auto"/>
        <w:jc w:val="both"/>
      </w:pPr>
      <w:r>
        <w:t>Concernant la pratique d'échange d'informations</w:t>
      </w:r>
      <w:r>
        <w:br/>
      </w:r>
      <w:r>
        <w:br/>
        <w:t>Le Conseil a tenu compte de la durée des pratiques (de 1997 à 2003) et de la taille très importante du marché concerné. Il souligne que le dommage à l'économie causé par la pratique du fait de la création artificielle d'une structure de transparence préjudiciable à la libre concurrence, a varié dans le temps et qu'il a été plus important pour la période postérieure à 2000 que pour la période précédente. C'est en effet à partir de 2000 que l'échange, déjà en place, a permis de surveiller, de la part de chacun des trois opérateurs, la politique de pacification du marché menée par ces derniers au détriment des consommateurs.</w:t>
      </w:r>
      <w:r>
        <w:br/>
      </w:r>
      <w:r>
        <w:br/>
        <w:t> </w:t>
      </w:r>
    </w:p>
    <w:p w:rsidR="00865B9A" w:rsidRDefault="00865B9A" w:rsidP="00865B9A">
      <w:pPr>
        <w:numPr>
          <w:ilvl w:val="0"/>
          <w:numId w:val="9"/>
        </w:numPr>
        <w:spacing w:before="100" w:beforeAutospacing="1" w:after="100" w:afterAutospacing="1" w:line="240" w:lineRule="auto"/>
        <w:jc w:val="both"/>
      </w:pPr>
      <w:r>
        <w:t>Concernant la pratique d'entente sur les parts de marché</w:t>
      </w:r>
      <w:r>
        <w:br/>
      </w:r>
      <w:r>
        <w:br/>
      </w:r>
      <w:r>
        <w:lastRenderedPageBreak/>
        <w:t>Les ententes sur la répartition des marchés sont considérées par les autorités de concurrence, et notamment par le Conseil, comme étant injustifiables et donc parmi les plus graves.</w:t>
      </w:r>
      <w:r>
        <w:br/>
      </w:r>
      <w:r>
        <w:br/>
        <w:t>Le dommage à l'économie doit être apprécié au regard de la durée des pratiques, soit trois ans et de la taille très importante du marché concerné. Il y a lieu de relever également que l'entente s'est déroulée sur un marché fermé, l'activité d'opérateur mobile étant soumise à l'obtention d'une licence et aucun MVNO ne s'étant vu accorder l'accès au réseau des opérateurs sur la période en cause.</w:t>
      </w:r>
      <w:r>
        <w:br/>
      </w:r>
      <w:r>
        <w:br/>
        <w:t>Le Conseil a également tenu compte du fait que les dépenses de téléphonie mobile ont constitué depuis la fin des années 90, une dépense nouvelle pour les ménages, qui a pris dans leur budget une part non négligeable, et du fait que la concertation en cause a facilité la mise en place par les opérateurs de mesures défavorables aux consommateurs.</w:t>
      </w:r>
    </w:p>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C16F54" w:rsidRDefault="00C16F54" w:rsidP="00865B9A"/>
    <w:p w:rsidR="00C16F54" w:rsidRDefault="00C16F54" w:rsidP="00865B9A"/>
    <w:p w:rsidR="00C16F54" w:rsidRDefault="00C16F54" w:rsidP="00865B9A"/>
    <w:p w:rsidR="00C16F54" w:rsidRDefault="00C16F54" w:rsidP="00865B9A"/>
    <w:p w:rsidR="00C16F54" w:rsidRDefault="00C16F54" w:rsidP="00865B9A"/>
    <w:p w:rsidR="00865B9A" w:rsidRDefault="00865B9A" w:rsidP="00865B9A"/>
    <w:p w:rsidR="00865B9A" w:rsidRDefault="00865B9A" w:rsidP="00865B9A">
      <w:pPr>
        <w:jc w:val="center"/>
      </w:pPr>
      <w:r>
        <w:lastRenderedPageBreak/>
        <w:t>00-D-28</w:t>
      </w:r>
    </w:p>
    <w:p w:rsidR="00865B9A" w:rsidRPr="00865B9A" w:rsidRDefault="00865B9A" w:rsidP="00865B9A">
      <w:pPr>
        <w:spacing w:before="100" w:beforeAutospacing="1" w:after="100" w:afterAutospacing="1" w:line="240" w:lineRule="auto"/>
        <w:outlineLvl w:val="3"/>
        <w:rPr>
          <w:rFonts w:ascii="Times New Roman" w:hAnsi="Times New Roman" w:cs="Times New Roman"/>
          <w:b/>
          <w:bCs/>
          <w:sz w:val="24"/>
          <w:szCs w:val="24"/>
          <w:lang w:eastAsia="fr-FR"/>
        </w:rPr>
      </w:pPr>
      <w:r w:rsidRPr="00865B9A">
        <w:rPr>
          <w:rFonts w:ascii="Times New Roman" w:hAnsi="Times New Roman" w:cs="Times New Roman"/>
          <w:b/>
          <w:bCs/>
          <w:sz w:val="24"/>
          <w:szCs w:val="24"/>
          <w:lang w:eastAsia="fr-FR"/>
        </w:rPr>
        <w:t xml:space="preserve">19 septembre 2000 : sanction de plusieurs grandes banques et établissements de crédit, pour avoir mis en </w:t>
      </w:r>
      <w:proofErr w:type="spellStart"/>
      <w:r w:rsidRPr="00865B9A">
        <w:rPr>
          <w:rFonts w:ascii="Times New Roman" w:hAnsi="Times New Roman" w:cs="Times New Roman"/>
          <w:b/>
          <w:bCs/>
          <w:sz w:val="24"/>
          <w:szCs w:val="24"/>
          <w:lang w:eastAsia="fr-FR"/>
        </w:rPr>
        <w:t>oeuvre</w:t>
      </w:r>
      <w:proofErr w:type="spellEnd"/>
      <w:r w:rsidRPr="00865B9A">
        <w:rPr>
          <w:rFonts w:ascii="Times New Roman" w:hAnsi="Times New Roman" w:cs="Times New Roman"/>
          <w:b/>
          <w:bCs/>
          <w:sz w:val="24"/>
          <w:szCs w:val="24"/>
          <w:lang w:eastAsia="fr-FR"/>
        </w:rPr>
        <w:t xml:space="preserve"> en 1993 et 1994 une entente anticoncurrentielle dans le secteur du crédit immobilier aux particuliers.</w:t>
      </w:r>
    </w:p>
    <w:p w:rsidR="00865B9A" w:rsidRPr="00865B9A" w:rsidRDefault="00865B9A" w:rsidP="00865B9A">
      <w:pPr>
        <w:spacing w:before="100" w:beforeAutospacing="1" w:after="100" w:afterAutospacing="1" w:line="240" w:lineRule="auto"/>
        <w:jc w:val="right"/>
        <w:rPr>
          <w:rFonts w:ascii="Times New Roman" w:hAnsi="Times New Roman" w:cs="Times New Roman"/>
          <w:sz w:val="24"/>
          <w:szCs w:val="24"/>
          <w:lang w:eastAsia="fr-FR"/>
        </w:rPr>
      </w:pPr>
      <w:hyperlink r:id="rId10" w:history="1">
        <w:r w:rsidRPr="00865B9A">
          <w:rPr>
            <w:rFonts w:ascii="Times New Roman" w:hAnsi="Times New Roman" w:cs="Times New Roman"/>
            <w:color w:val="0000FF"/>
            <w:sz w:val="24"/>
            <w:szCs w:val="24"/>
            <w:u w:val="single"/>
            <w:lang w:eastAsia="fr-FR"/>
          </w:rPr>
          <w:t>&gt; English version</w:t>
        </w:r>
      </w:hyperlink>
      <w:r w:rsidRPr="00865B9A">
        <w:rPr>
          <w:rFonts w:ascii="Times New Roman" w:hAnsi="Times New Roman" w:cs="Times New Roman"/>
          <w:sz w:val="24"/>
          <w:szCs w:val="24"/>
          <w:lang w:eastAsia="fr-FR"/>
        </w:rPr>
        <w:t> </w:t>
      </w:r>
      <w:r>
        <w:rPr>
          <w:rFonts w:ascii="Times New Roman" w:hAnsi="Times New Roman" w:cs="Times New Roman"/>
          <w:noProof/>
          <w:sz w:val="24"/>
          <w:szCs w:val="24"/>
          <w:lang w:eastAsia="fr-FR"/>
        </w:rPr>
        <w:drawing>
          <wp:inline distT="0" distB="0" distL="0" distR="0">
            <wp:extent cx="152400" cy="114300"/>
            <wp:effectExtent l="19050" t="0" r="0" b="0"/>
            <wp:docPr id="5" name="Image 5"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Par une décision en date du 19 septembre 2000, rendue publique ce jour, le Conseil de la concurrence a sanctionné plusieurs grandes banques et établissements de crédit, pour avoir mis en œuvre en 1993 et 1994 une entente anticoncurrentielle dans le secteur du crédit immobilier aux particuliers. C'est la première fois que le Conseil de la concurrence connaît de pratiques anticoncurrentielles dans le secteur bancaire.</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Les taux d'intérêt à long terme des crédits immobiliers, après avoir culminé au début des années 1980 à 20 %, ont chuté en quelques trimestres à partir de 1985 pour se stabiliser autour de 12 % à la fin de l'année 1992, date à laquelle ils ont enregistré à nouveau une baisse importante jusqu'en 1994 et se sont alors situés à un niveau compris entre 7,5 et 9 %.</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En période de baisse des taux, lorsque l'écart entre les taux pratiqués pour les nouveaux prêts et les taux pratiqués dans la période antérieure atteint environ 2 %, les titulaires de prêts dont la durée restant à courir est supérieure à cinq/sept ans ont avantage soit à obtenir un réaménagement des conditions de leur prêt auprès de leur banque, soit à faire jouer la concurrence entre banques en remboursant par anticipation leur emprunt et en renégociant un nouvel emprunt avec un nouveau prêteur. Cette dernière possibilité est expressément prévue par l'article L 312-21 du code de la consommation.</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 xml:space="preserve">Le Conseil de la concurrence a constaté que, face à cette situation, les principaux établissements de la place avaient conclu un « pacte de non agression </w:t>
      </w:r>
      <w:proofErr w:type="spellStart"/>
      <w:r w:rsidRPr="00865B9A">
        <w:rPr>
          <w:rFonts w:ascii="Times New Roman" w:hAnsi="Times New Roman" w:cs="Times New Roman"/>
          <w:sz w:val="24"/>
          <w:szCs w:val="24"/>
          <w:lang w:eastAsia="fr-FR"/>
        </w:rPr>
        <w:t>interbanque</w:t>
      </w:r>
      <w:proofErr w:type="spellEnd"/>
      <w:r w:rsidRPr="00865B9A">
        <w:rPr>
          <w:rFonts w:ascii="Times New Roman" w:hAnsi="Times New Roman" w:cs="Times New Roman"/>
          <w:sz w:val="24"/>
          <w:szCs w:val="24"/>
          <w:lang w:eastAsia="fr-FR"/>
        </w:rPr>
        <w:t> » par lequel chacun d'entre eux s'interdisait de faire des propositions aux clients des autres banques souhaitant renégocier leurs emprunts immobiliers.</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Outre que cet accord visait à empêcher la concurrence entre les banques, il permettait aussi à chacune d'elle de pouvoir mieux résister aux demandes de renégociation de ses propres clients puisque ceux-ci étaient privés de la possibilité de réagir à un refus de leur banquier en se tournant vers un autre établissement. Une telle action concertée entre les principaux acteurs d'un marché pour fausser la concurrence par les prix est non seulement prohibée par l'ordonnance du 1</w:t>
      </w:r>
      <w:r w:rsidRPr="00865B9A">
        <w:rPr>
          <w:rFonts w:ascii="Times New Roman" w:hAnsi="Times New Roman" w:cs="Times New Roman"/>
          <w:sz w:val="24"/>
          <w:szCs w:val="24"/>
          <w:vertAlign w:val="superscript"/>
          <w:lang w:eastAsia="fr-FR"/>
        </w:rPr>
        <w:t>er</w:t>
      </w:r>
      <w:r w:rsidRPr="00865B9A">
        <w:rPr>
          <w:rFonts w:ascii="Times New Roman" w:hAnsi="Times New Roman" w:cs="Times New Roman"/>
          <w:sz w:val="24"/>
          <w:szCs w:val="24"/>
          <w:lang w:eastAsia="fr-FR"/>
        </w:rPr>
        <w:t xml:space="preserve"> décembre 1986 relative à la liberté des prix et de la concurrence, mais constitue une pratique anticoncurrentielle considérée comme particulièrement grave par toutes les autorités de la concurrence.</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Le Conseil de la concurrence, qui s'est saisi d'office, a rappelé que, si les activités bancaires font l'objet d'une réglementation spécifique, elles n'en demeurent pas moins également soumises, comme toutes les autres activités de service, réglementées ou non, au droit de la concurrence, que le fonctionnement concurrentiel du marché repose sur l'indépendance et l'autonomie des acteurs et que, dès lors que, à la suite de pratiques de concertation, toute incertitude est levée, le fonctionnement de la concurrence se trouve faussé, chaque établissement étant assuré que les autres réseaux bancaires appliqueront une même politique commerciale.</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lastRenderedPageBreak/>
        <w:t>Le Conseil a noté que, même si l'accord de cartel qui liait les banques n'a pas été appliqué de manière uniforme, les emprunteurs ont été privés de la possibilité de diminuer sensiblement le montant de leur dette immobilière, alors que le logement constitue l'investissement en valeur le plus important des ménages et que le remboursement des emprunts nécessaires à cet investissement représente 30 % en moyenne de leur revenu disponible.</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Selon les établissements bancaires, le montant des encours susceptibles d'être affectés par la renégociation des crédits immobiliers au cours de la période considérée était de 600 milliards de francs environ ; or, seuls 36 milliards de francs environ ont pu être renégociés par les ménages, ce qui a représenté pour eux un allégement de charges d'intérêt de 3 milliards de francs sur dix ans.</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Compte tenu de la gravité de la pratique, de l'étendue nationale de l'entente mise en œuvre par les principaux opérateurs en matière de crédit immobilier aux particuliers, le Conseil a infligé des sanctions pécuniaires dont le montant total s'élève à plus d'un milliard de francs, soit 450 millions de francs à la Caisse nationale de Crédit agricole, 250 millions de francs à la Banque nationale de Paris, 250 millions de francs à la Société Générale, 100 millions de francs au Crédit lyonnais, 70 millions de francs à la Caisse Nationale des Caisses d'Épargne et de Prévoyance, 10 millions de francs à la Confédération nationale du Crédit mutuel, 8 millions de francs à la Caisse d'épargne des Alpes, 6 millions de francs à la Caisse régionale du Crédit agricole de Loire-Atlantique et 500 000 francs à la Fédération du Crédit mutuel Océan.</w:t>
      </w:r>
    </w:p>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Pr>
        <w:jc w:val="center"/>
      </w:pPr>
      <w:r>
        <w:lastRenderedPageBreak/>
        <w:t>07-D-15</w:t>
      </w:r>
    </w:p>
    <w:p w:rsidR="00865B9A" w:rsidRDefault="00865B9A" w:rsidP="00865B9A"/>
    <w:p w:rsidR="00865B9A" w:rsidRDefault="00865B9A" w:rsidP="00865B9A">
      <w:pPr>
        <w:pStyle w:val="NormalWeb"/>
        <w:jc w:val="center"/>
      </w:pPr>
      <w:r>
        <w:rPr>
          <w:rStyle w:val="bold"/>
        </w:rPr>
        <w:t>Le Conseil de la concurrence sanctionne à hauteur de 47,3 millions d'euros 12 entreprises appartenant aux groupes du BTP pour entente générale</w:t>
      </w:r>
    </w:p>
    <w:p w:rsidR="00865B9A" w:rsidRDefault="00865B9A" w:rsidP="00865B9A">
      <w:pPr>
        <w:pStyle w:val="NormalWeb"/>
        <w:jc w:val="right"/>
      </w:pPr>
      <w:hyperlink r:id="rId11" w:history="1">
        <w:r>
          <w:rPr>
            <w:rStyle w:val="Lienhypertexte"/>
          </w:rPr>
          <w:t>&gt;English version</w:t>
        </w:r>
      </w:hyperlink>
      <w:r>
        <w:rPr>
          <w:rStyle w:val="italic"/>
          <w:u w:val="single"/>
        </w:rPr>
        <w:t xml:space="preserve"> </w:t>
      </w:r>
      <w:r>
        <w:rPr>
          <w:noProof/>
        </w:rPr>
        <w:drawing>
          <wp:inline distT="0" distB="0" distL="0" distR="0">
            <wp:extent cx="152400" cy="114300"/>
            <wp:effectExtent l="19050" t="0" r="0" b="0"/>
            <wp:docPr id="7" name="Image 7"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865B9A" w:rsidRDefault="00865B9A" w:rsidP="00865B9A">
      <w:pPr>
        <w:pStyle w:val="NormalWeb"/>
      </w:pPr>
      <w:r>
        <w:br/>
        <w:t xml:space="preserve">Par un arrêt du 27 février 2007, la cour d'appel de Paris a donné valeur définitive aux condamnations pénales prononcées le 26 octobre 2005 par le tribunal de grande instance de Paris à l'encontre de dirigeants des sociétés Bouygues Bâtiment, CBC Ile-de-France, Dumez Ile-de-France, </w:t>
      </w:r>
      <w:proofErr w:type="spellStart"/>
      <w:r>
        <w:t>Fougerolle</w:t>
      </w:r>
      <w:proofErr w:type="spellEnd"/>
      <w:r>
        <w:t xml:space="preserve">, GTM, Nord France, SAEP, SCGPM et SPIE. Ceux-ci ont été condamnés, sur le fondement de l'article L. 420-6 du Code de commerce, pour avoir « pris frauduleusement (…) une part personnelle et déterminante dans la conception, l'organisation ou la mise en </w:t>
      </w:r>
      <w:proofErr w:type="spellStart"/>
      <w:r>
        <w:t>oeuvre</w:t>
      </w:r>
      <w:proofErr w:type="spellEnd"/>
      <w:r>
        <w:t xml:space="preserve"> d'une entente ayant pour objet ou pouvant avoir pour effet d'empêcher de restreindre ou de fausser le jeu de la concurrence sur le marché ».</w:t>
      </w:r>
    </w:p>
    <w:p w:rsidR="00865B9A" w:rsidRDefault="00865B9A" w:rsidP="00865B9A">
      <w:pPr>
        <w:pStyle w:val="NormalWeb"/>
      </w:pPr>
      <w:r>
        <w:t>S'appuyant sur les déclarations concordantes recueillies au cours de l'instruction pénale, le Conseil de la concurrence, qui s'est saisi d'office, mais avait également reçu plusieurs plaintes du Conseil régional d'Ile-de-France, condamne aujourd'hui les entreprises ayant participé à cette entente.</w:t>
      </w:r>
    </w:p>
    <w:p w:rsidR="00865B9A" w:rsidRDefault="00865B9A" w:rsidP="00865B9A">
      <w:pPr>
        <w:pStyle w:val="NormalWeb"/>
      </w:pPr>
      <w:r>
        <w:t>Entre 1989 et 1996, 14 sociétés, dont certaines sont issues d'une restructuration de plusieurs entreprises et appartenant aux six grands groupes de BTP opérant en France au cours de la période concernée, se sont livrées à une entente générale et continue pour se répartir 88 marchés publics d'un montant total de 10 milliards de francs.</w:t>
      </w:r>
    </w:p>
    <w:p w:rsidR="00865B9A" w:rsidRDefault="00865B9A" w:rsidP="00865B9A">
      <w:pPr>
        <w:pStyle w:val="NormalWeb"/>
      </w:pPr>
      <w:r>
        <w:rPr>
          <w:rStyle w:val="bold"/>
        </w:rPr>
        <w:t xml:space="preserve">Un dossier d'une ampleur et d'une complexité </w:t>
      </w:r>
      <w:proofErr w:type="gramStart"/>
      <w:r>
        <w:rPr>
          <w:rStyle w:val="bold"/>
        </w:rPr>
        <w:t>exceptionnelles</w:t>
      </w:r>
      <w:proofErr w:type="gramEnd"/>
    </w:p>
    <w:p w:rsidR="00865B9A" w:rsidRDefault="00865B9A" w:rsidP="00865B9A">
      <w:pPr>
        <w:pStyle w:val="NormalWeb"/>
      </w:pPr>
      <w:r>
        <w:t>En 1990, le Conseil régional d'Ile-de-France a lancé un vaste programme de rénovation de son patrimoine immobilier scolaire. L'état médiocre des bâtiments a conduit la collectivité à attribuer 241 marchés publics de travaux, pour un coût global de 23,3 milliards de francs, le plus gros montant jamais engagé par une collectivité pour ce type d'opération, et dont faisaient partie les 88 marchés en cause.</w:t>
      </w:r>
    </w:p>
    <w:p w:rsidR="00865B9A" w:rsidRDefault="00865B9A" w:rsidP="00865B9A">
      <w:pPr>
        <w:pStyle w:val="NormalWeb"/>
      </w:pPr>
      <w:r>
        <w:t>Le nombre de marchés concernés ainsi que l'existence d'un volet pénal ont rendu l'instruction de l'affaire particulièrement longue et complexe.</w:t>
      </w:r>
    </w:p>
    <w:p w:rsidR="00865B9A" w:rsidRDefault="00865B9A" w:rsidP="00865B9A">
      <w:pPr>
        <w:pStyle w:val="NormalWeb"/>
      </w:pPr>
      <w:r>
        <w:rPr>
          <w:rStyle w:val="bold"/>
        </w:rPr>
        <w:t>Les entreprises se répartissaient les marchés avant les appels d'offre lors de réunions «tours de table»</w:t>
      </w:r>
    </w:p>
    <w:p w:rsidR="00865B9A" w:rsidRDefault="00865B9A" w:rsidP="00865B9A">
      <w:pPr>
        <w:numPr>
          <w:ilvl w:val="0"/>
          <w:numId w:val="10"/>
        </w:numPr>
        <w:spacing w:before="100" w:beforeAutospacing="1" w:after="100" w:afterAutospacing="1" w:line="240" w:lineRule="auto"/>
      </w:pPr>
      <w:r>
        <w:t>Échanges d'informations et répartition des marchés</w:t>
      </w:r>
    </w:p>
    <w:p w:rsidR="00865B9A" w:rsidRDefault="00865B9A" w:rsidP="00865B9A">
      <w:pPr>
        <w:pStyle w:val="NormalWeb"/>
      </w:pPr>
      <w:r>
        <w:t>Les déclarations concordantes des dirigeants des entreprises mises en cause ont révélé que, dès 1989, avant même le lancement de la première vague de marchés, les entreprises se sont réunies et accordées sur le principe d'une répartition de tous les marchés à venir. Elles ont confirmé que les sept vagues de marchés publics lancées par la région ont fait l'objet d'autres réunions de répartition, de contacts directs entre les entreprises ou d'échanges d'informations.</w:t>
      </w:r>
    </w:p>
    <w:p w:rsidR="00865B9A" w:rsidRDefault="00865B9A" w:rsidP="00865B9A">
      <w:pPr>
        <w:pStyle w:val="NormalWeb"/>
      </w:pPr>
      <w:r>
        <w:lastRenderedPageBreak/>
        <w:t>Les participants à cette entente générale appartenaient aux groupes représentés lors des réunions qui en ont lancé le principe.</w:t>
      </w:r>
    </w:p>
    <w:p w:rsidR="00865B9A" w:rsidRDefault="00865B9A" w:rsidP="00865B9A">
      <w:pPr>
        <w:numPr>
          <w:ilvl w:val="0"/>
          <w:numId w:val="11"/>
        </w:numPr>
        <w:spacing w:before="100" w:beforeAutospacing="1" w:after="100" w:afterAutospacing="1" w:line="240" w:lineRule="auto"/>
      </w:pPr>
      <w:r>
        <w:t>L'entente a fonctionné pendant 7 ans sous l'égide de Patrimoine Ingénierie, assistant du maître d'ouvrage</w:t>
      </w:r>
    </w:p>
    <w:p w:rsidR="00865B9A" w:rsidRDefault="00865B9A" w:rsidP="00865B9A">
      <w:pPr>
        <w:pStyle w:val="NormalWeb"/>
      </w:pPr>
      <w:r>
        <w:t xml:space="preserve">Le mode opératoire était toujours le même et a permis à l'entente de fonctionner sur la durée. </w:t>
      </w:r>
      <w:r>
        <w:br/>
        <w:t>Dans un premier temps, les entreprises étaient présélectionnées par une commission occulte auprès de laquelle Patrimoine Ingénierie avait notamment pour rôle de faire respecter une règle de partage des marchés entre PME et grands groupes (1/3 ; 2/3) avalisée par le Conseil régional d'Ile-de-France.</w:t>
      </w:r>
    </w:p>
    <w:p w:rsidR="00865B9A" w:rsidRDefault="00865B9A" w:rsidP="00865B9A">
      <w:pPr>
        <w:pStyle w:val="NormalWeb"/>
      </w:pPr>
      <w:r>
        <w:t>Dans un second temps, conformément au plan de répartition convenu, chaque entreprise présélectionnée faisait en sorte soit d'obtenir l'attribution du marché en indiquant à ses « concurrents » les marchés sur lesquels ses choix s'étaient portés et en leur communiquant ses prix ; soit d'y renoncer en déposant une offre de prix délibérément majorée (offre de couverture).</w:t>
      </w:r>
    </w:p>
    <w:p w:rsidR="00865B9A" w:rsidRDefault="00865B9A" w:rsidP="00865B9A">
      <w:pPr>
        <w:pStyle w:val="NormalWeb"/>
      </w:pPr>
      <w:r>
        <w:t>La bonne exécution de ce partage général des marchés était garantie par Patrimoine Ingénierie, qui, en amont donnait des informations aux entreprises sur les opérations à venir, et en aval, veillait à ce que l'entreprise pressentie obtienne bien le marché.</w:t>
      </w:r>
    </w:p>
    <w:p w:rsidR="00865B9A" w:rsidRDefault="00865B9A" w:rsidP="00865B9A">
      <w:pPr>
        <w:pStyle w:val="NormalWeb"/>
      </w:pPr>
      <w:r>
        <w:rPr>
          <w:rStyle w:val="bold"/>
        </w:rPr>
        <w:t>Le Conseil a souligné que cette entente généralisée a causé un dommage particulièrement grave à l'économie…</w:t>
      </w:r>
    </w:p>
    <w:p w:rsidR="00865B9A" w:rsidRDefault="00865B9A" w:rsidP="00865B9A">
      <w:pPr>
        <w:pStyle w:val="NormalWeb"/>
      </w:pPr>
      <w:r>
        <w:t>Le Conseil a souligné l'extrême gravité du comportement des entreprises. En mettant en place de telles ententes, des entreprises du BTP parmi les plus importantes ont délibérément violé les règles de concurrence et ont pu réaliser indûment des marges bien supérieures aux marges habituellement constatées dans le secteur.</w:t>
      </w:r>
    </w:p>
    <w:p w:rsidR="00865B9A" w:rsidRDefault="00865B9A" w:rsidP="00865B9A">
      <w:pPr>
        <w:pStyle w:val="NormalWeb"/>
      </w:pPr>
      <w:r>
        <w:t>Le Conseil a souligné que cette entente généralisée a causé un dommage particulièrement grave à l'économie, du fait du signal donné par les majors aux autres entreprises du secteur.</w:t>
      </w:r>
    </w:p>
    <w:p w:rsidR="00865B9A" w:rsidRDefault="00865B9A" w:rsidP="00865B9A">
      <w:pPr>
        <w:pStyle w:val="NormalWeb"/>
      </w:pPr>
      <w:r>
        <w:rPr>
          <w:rStyle w:val="bold"/>
        </w:rPr>
        <w:t>… ce qui justifie le prononcé de sanctions exemplaires</w:t>
      </w:r>
    </w:p>
    <w:p w:rsidR="00865B9A" w:rsidRDefault="00865B9A" w:rsidP="00865B9A">
      <w:pPr>
        <w:pStyle w:val="NormalWeb"/>
      </w:pPr>
      <w:r>
        <w:t>Compte tenu de ces éléments, le Conseil de la concurrence a infligé aux entreprises du secteur des sanctions qui représentent 5% de leur chiffre d'affaires - soit le maximum autorisé par la législation alors applicable (1), exception faite de deux entreprises compte tenu de l'inexistence de leur chiffre d'affaires lors du dernier exercice clos.</w:t>
      </w:r>
    </w:p>
    <w:p w:rsidR="00865B9A" w:rsidRDefault="00865B9A" w:rsidP="00865B9A">
      <w:pPr>
        <w:pStyle w:val="NormalWeb"/>
      </w:pPr>
      <w:r>
        <w:t>Le Conseil a ainsi infligé aux entreprises les sanctions suivantes :</w:t>
      </w:r>
    </w:p>
    <w:p w:rsidR="00865B9A" w:rsidRDefault="00865B9A" w:rsidP="00865B9A">
      <w:pPr>
        <w:numPr>
          <w:ilvl w:val="0"/>
          <w:numId w:val="12"/>
        </w:numPr>
        <w:spacing w:before="100" w:beforeAutospacing="1" w:after="100" w:afterAutospacing="1" w:line="240" w:lineRule="auto"/>
      </w:pPr>
      <w:r>
        <w:t>à la société Bouygues SA : 3 213 000 euros ;</w:t>
      </w:r>
    </w:p>
    <w:p w:rsidR="00865B9A" w:rsidRDefault="00865B9A" w:rsidP="00865B9A">
      <w:pPr>
        <w:numPr>
          <w:ilvl w:val="0"/>
          <w:numId w:val="12"/>
        </w:numPr>
        <w:spacing w:before="100" w:beforeAutospacing="1" w:after="100" w:afterAutospacing="1" w:line="240" w:lineRule="auto"/>
      </w:pPr>
      <w:r>
        <w:t>à la société Bouygues Bâtiment Ile-de-France SA : 20 765 000 euros ;</w:t>
      </w:r>
    </w:p>
    <w:p w:rsidR="00865B9A" w:rsidRDefault="00865B9A" w:rsidP="00865B9A">
      <w:pPr>
        <w:numPr>
          <w:ilvl w:val="0"/>
          <w:numId w:val="12"/>
        </w:numPr>
        <w:spacing w:before="100" w:beforeAutospacing="1" w:after="100" w:afterAutospacing="1" w:line="240" w:lineRule="auto"/>
      </w:pPr>
      <w:r>
        <w:t xml:space="preserve">à la société </w:t>
      </w:r>
      <w:proofErr w:type="spellStart"/>
      <w:r>
        <w:t>Gespace</w:t>
      </w:r>
      <w:proofErr w:type="spellEnd"/>
      <w:r>
        <w:t xml:space="preserve"> France SA : 242 100 euros ;</w:t>
      </w:r>
    </w:p>
    <w:p w:rsidR="00865B9A" w:rsidRDefault="00865B9A" w:rsidP="00865B9A">
      <w:pPr>
        <w:numPr>
          <w:ilvl w:val="0"/>
          <w:numId w:val="12"/>
        </w:numPr>
        <w:spacing w:before="100" w:beforeAutospacing="1" w:after="100" w:afterAutospacing="1" w:line="240" w:lineRule="auto"/>
      </w:pPr>
      <w:r>
        <w:t xml:space="preserve">à la société Entreprise de Travaux Publics André et Max </w:t>
      </w:r>
      <w:proofErr w:type="spellStart"/>
      <w:r>
        <w:t>Brezillon</w:t>
      </w:r>
      <w:proofErr w:type="spellEnd"/>
      <w:r>
        <w:t xml:space="preserve"> : 13 338 000 euros ;</w:t>
      </w:r>
    </w:p>
    <w:p w:rsidR="00865B9A" w:rsidRDefault="00865B9A" w:rsidP="00865B9A">
      <w:pPr>
        <w:numPr>
          <w:ilvl w:val="0"/>
          <w:numId w:val="12"/>
        </w:numPr>
        <w:spacing w:before="100" w:beforeAutospacing="1" w:after="100" w:afterAutospacing="1" w:line="240" w:lineRule="auto"/>
      </w:pPr>
      <w:r>
        <w:t>à la société Compagnie Générale de Bâtiment et de construction (CBC) SA : 9 200 euros ;</w:t>
      </w:r>
    </w:p>
    <w:p w:rsidR="00865B9A" w:rsidRDefault="00865B9A" w:rsidP="00865B9A">
      <w:pPr>
        <w:numPr>
          <w:ilvl w:val="0"/>
          <w:numId w:val="12"/>
        </w:numPr>
        <w:spacing w:before="100" w:beforeAutospacing="1" w:after="100" w:afterAutospacing="1" w:line="240" w:lineRule="auto"/>
      </w:pPr>
      <w:r>
        <w:t xml:space="preserve">à la société </w:t>
      </w:r>
      <w:proofErr w:type="spellStart"/>
      <w:r>
        <w:t>Société</w:t>
      </w:r>
      <w:proofErr w:type="spellEnd"/>
      <w:r>
        <w:t xml:space="preserve"> Industrielle de Constructions Rapides (</w:t>
      </w:r>
      <w:proofErr w:type="spellStart"/>
      <w:r>
        <w:t>Sicra</w:t>
      </w:r>
      <w:proofErr w:type="spellEnd"/>
      <w:r>
        <w:t>) SNC : 516 300 euros ;</w:t>
      </w:r>
    </w:p>
    <w:p w:rsidR="00865B9A" w:rsidRDefault="00865B9A" w:rsidP="00865B9A">
      <w:pPr>
        <w:numPr>
          <w:ilvl w:val="0"/>
          <w:numId w:val="12"/>
        </w:numPr>
        <w:spacing w:before="100" w:beforeAutospacing="1" w:after="100" w:afterAutospacing="1" w:line="240" w:lineRule="auto"/>
      </w:pPr>
      <w:r>
        <w:t xml:space="preserve">à la société </w:t>
      </w:r>
      <w:proofErr w:type="spellStart"/>
      <w:r>
        <w:t>Fougerolle</w:t>
      </w:r>
      <w:proofErr w:type="spellEnd"/>
      <w:r>
        <w:t xml:space="preserve"> SAS : 7 600 euros ;</w:t>
      </w:r>
    </w:p>
    <w:p w:rsidR="00865B9A" w:rsidRDefault="00865B9A" w:rsidP="00865B9A">
      <w:pPr>
        <w:numPr>
          <w:ilvl w:val="0"/>
          <w:numId w:val="12"/>
        </w:numPr>
        <w:spacing w:before="100" w:beforeAutospacing="1" w:after="100" w:afterAutospacing="1" w:line="240" w:lineRule="auto"/>
      </w:pPr>
      <w:r>
        <w:t xml:space="preserve">à la société </w:t>
      </w:r>
      <w:proofErr w:type="spellStart"/>
      <w:r>
        <w:t>Spie</w:t>
      </w:r>
      <w:proofErr w:type="spellEnd"/>
      <w:r>
        <w:t>-SCGPM : 7 341 000 euros ;</w:t>
      </w:r>
    </w:p>
    <w:p w:rsidR="00865B9A" w:rsidRDefault="00865B9A" w:rsidP="00865B9A">
      <w:pPr>
        <w:numPr>
          <w:ilvl w:val="0"/>
          <w:numId w:val="12"/>
        </w:numPr>
        <w:spacing w:before="100" w:beforeAutospacing="1" w:after="100" w:afterAutospacing="1" w:line="240" w:lineRule="auto"/>
      </w:pPr>
      <w:r>
        <w:lastRenderedPageBreak/>
        <w:t>à la société Vinci Construction : 270 200 euros ;</w:t>
      </w:r>
    </w:p>
    <w:p w:rsidR="00865B9A" w:rsidRDefault="00865B9A" w:rsidP="00865B9A">
      <w:pPr>
        <w:numPr>
          <w:ilvl w:val="0"/>
          <w:numId w:val="12"/>
        </w:numPr>
        <w:spacing w:before="100" w:beforeAutospacing="1" w:after="100" w:afterAutospacing="1" w:line="240" w:lineRule="auto"/>
      </w:pPr>
      <w:r>
        <w:t xml:space="preserve">à la société </w:t>
      </w:r>
      <w:proofErr w:type="spellStart"/>
      <w:r>
        <w:t>Eiffage</w:t>
      </w:r>
      <w:proofErr w:type="spellEnd"/>
      <w:r>
        <w:t xml:space="preserve"> Construction : 527 500 euros ;</w:t>
      </w:r>
    </w:p>
    <w:p w:rsidR="00865B9A" w:rsidRDefault="00865B9A" w:rsidP="00865B9A">
      <w:pPr>
        <w:numPr>
          <w:ilvl w:val="0"/>
          <w:numId w:val="12"/>
        </w:numPr>
        <w:spacing w:before="100" w:beforeAutospacing="1" w:after="100" w:afterAutospacing="1" w:line="240" w:lineRule="auto"/>
      </w:pPr>
      <w:r>
        <w:t xml:space="preserve">à la société </w:t>
      </w:r>
      <w:proofErr w:type="spellStart"/>
      <w:r>
        <w:t>Spie</w:t>
      </w:r>
      <w:proofErr w:type="spellEnd"/>
      <w:r>
        <w:t xml:space="preserve"> SA, anciennement dénommée Amec SA : 1 078 000 euros ;</w:t>
      </w:r>
    </w:p>
    <w:p w:rsidR="00865B9A" w:rsidRDefault="00865B9A" w:rsidP="00865B9A">
      <w:pPr>
        <w:numPr>
          <w:ilvl w:val="0"/>
          <w:numId w:val="12"/>
        </w:numPr>
        <w:spacing w:before="100" w:beforeAutospacing="1" w:after="100" w:afterAutospacing="1" w:line="240" w:lineRule="auto"/>
      </w:pPr>
      <w:r>
        <w:t xml:space="preserve">à la société Nord France </w:t>
      </w:r>
      <w:proofErr w:type="spellStart"/>
      <w:r>
        <w:t>Boutonnat</w:t>
      </w:r>
      <w:proofErr w:type="spellEnd"/>
      <w:r>
        <w:t xml:space="preserve"> SARL : 6 300 euros.</w:t>
      </w:r>
    </w:p>
    <w:p w:rsidR="00865B9A" w:rsidRDefault="00865B9A" w:rsidP="00865B9A">
      <w:pPr>
        <w:pStyle w:val="NormalWeb"/>
      </w:pPr>
      <w:r>
        <w:br/>
        <w:t>(1) La loi NRE a depuis modifié les dispositions de l'article L. 464-2 du Code de commerce en relevant le plafond de sanctions, lequel est passé de 5% du dernier chiffre d'affaires de la société à 10% du chiffre d'affaires mondial de l'entreprise ou du groupe. En l'espèce, c'est l'ancien plafond qui s'applique dans cette affaire.</w:t>
      </w:r>
    </w:p>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 w:rsidR="00865B9A" w:rsidRDefault="00865B9A" w:rsidP="00865B9A">
      <w:pPr>
        <w:jc w:val="center"/>
      </w:pPr>
      <w:r>
        <w:lastRenderedPageBreak/>
        <w:t>06-D-06</w:t>
      </w:r>
    </w:p>
    <w:p w:rsidR="00865B9A" w:rsidRDefault="00865B9A" w:rsidP="00865B9A"/>
    <w:p w:rsidR="00865B9A" w:rsidRPr="00865B9A" w:rsidRDefault="00865B9A" w:rsidP="00865B9A">
      <w:pPr>
        <w:spacing w:before="100" w:beforeAutospacing="1" w:after="100" w:afterAutospacing="1" w:line="240" w:lineRule="auto"/>
        <w:jc w:val="center"/>
        <w:rPr>
          <w:rFonts w:ascii="Times New Roman" w:hAnsi="Times New Roman" w:cs="Times New Roman"/>
          <w:sz w:val="24"/>
          <w:szCs w:val="24"/>
          <w:lang w:eastAsia="fr-FR"/>
        </w:rPr>
      </w:pPr>
      <w:r w:rsidRPr="00865B9A">
        <w:rPr>
          <w:rFonts w:ascii="Times New Roman" w:hAnsi="Times New Roman" w:cs="Times New Roman"/>
          <w:sz w:val="24"/>
          <w:szCs w:val="24"/>
          <w:lang w:eastAsia="fr-FR"/>
        </w:rPr>
        <w:t xml:space="preserve">Le Conseil de la concurrence enjoint à Gîtes de France de supprimer ou modifier les clauses d'exclusivité imposées à ses adhérents </w:t>
      </w:r>
    </w:p>
    <w:p w:rsidR="00865B9A" w:rsidRPr="00865B9A" w:rsidRDefault="00865B9A" w:rsidP="00865B9A">
      <w:pPr>
        <w:spacing w:before="100" w:beforeAutospacing="1" w:after="100" w:afterAutospacing="1" w:line="240" w:lineRule="auto"/>
        <w:jc w:val="right"/>
        <w:rPr>
          <w:rFonts w:ascii="Times New Roman" w:hAnsi="Times New Roman" w:cs="Times New Roman"/>
          <w:sz w:val="24"/>
          <w:szCs w:val="24"/>
          <w:lang w:eastAsia="fr-FR"/>
        </w:rPr>
      </w:pPr>
      <w:hyperlink r:id="rId12" w:history="1">
        <w:r w:rsidRPr="00865B9A">
          <w:rPr>
            <w:rFonts w:ascii="Times New Roman" w:hAnsi="Times New Roman" w:cs="Times New Roman"/>
            <w:color w:val="0000FF"/>
            <w:sz w:val="24"/>
            <w:szCs w:val="24"/>
            <w:u w:val="single"/>
            <w:lang w:eastAsia="fr-FR"/>
          </w:rPr>
          <w:t>&gt;English version</w:t>
        </w:r>
      </w:hyperlink>
      <w:r w:rsidRPr="00865B9A">
        <w:rPr>
          <w:rFonts w:ascii="Times New Roman" w:hAnsi="Times New Roman" w:cs="Times New Roman"/>
          <w:sz w:val="24"/>
          <w:szCs w:val="24"/>
          <w:lang w:eastAsia="fr-FR"/>
        </w:rPr>
        <w:t> </w:t>
      </w:r>
      <w:r>
        <w:rPr>
          <w:rFonts w:ascii="Times New Roman" w:hAnsi="Times New Roman" w:cs="Times New Roman"/>
          <w:noProof/>
          <w:sz w:val="24"/>
          <w:szCs w:val="24"/>
          <w:lang w:eastAsia="fr-FR"/>
        </w:rPr>
        <w:drawing>
          <wp:inline distT="0" distB="0" distL="0" distR="0">
            <wp:extent cx="152400" cy="114300"/>
            <wp:effectExtent l="19050" t="0" r="0" b="0"/>
            <wp:docPr id="9" name="Image 9"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Saisi par le ministre de l'économie, des finances et de l'industrie, le Conseil de la concurrence vient de rendre une décision, dans laquelle il sanctionne la Fédération nationale Gîtes de France pour avoir abusé de sa position dominante sur le marché des gîtes et chambres d'hôtes labellisés et lui demande de modifier certaines clauses des contrats qu'elle passe avec ses adhérents.</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La prépondérance de Gîtes de France sur le marché des gîtes et chambres d'hôtes labellisés</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 xml:space="preserve">Gîtes de France, </w:t>
      </w:r>
      <w:proofErr w:type="spellStart"/>
      <w:r w:rsidRPr="00865B9A">
        <w:rPr>
          <w:rFonts w:ascii="Times New Roman" w:hAnsi="Times New Roman" w:cs="Times New Roman"/>
          <w:sz w:val="24"/>
          <w:szCs w:val="24"/>
          <w:lang w:eastAsia="fr-FR"/>
        </w:rPr>
        <w:t>Clévacances</w:t>
      </w:r>
      <w:proofErr w:type="spellEnd"/>
      <w:r w:rsidRPr="00865B9A">
        <w:rPr>
          <w:rFonts w:ascii="Times New Roman" w:hAnsi="Times New Roman" w:cs="Times New Roman"/>
          <w:sz w:val="24"/>
          <w:szCs w:val="24"/>
          <w:lang w:eastAsia="fr-FR"/>
        </w:rPr>
        <w:t xml:space="preserve"> et Accueil Paysan sont les principaux organismes proposant des labels aux propriétaires de gîtes en France. En ce qui concerne les chambres d'hôtes labellisées, outre les trois labels précités, sont présents également Fleurs de Soleil et </w:t>
      </w:r>
      <w:proofErr w:type="spellStart"/>
      <w:r w:rsidRPr="00865B9A">
        <w:rPr>
          <w:rFonts w:ascii="Times New Roman" w:hAnsi="Times New Roman" w:cs="Times New Roman"/>
          <w:sz w:val="24"/>
          <w:szCs w:val="24"/>
          <w:lang w:eastAsia="fr-FR"/>
        </w:rPr>
        <w:t>Bed</w:t>
      </w:r>
      <w:proofErr w:type="spellEnd"/>
      <w:r w:rsidRPr="00865B9A">
        <w:rPr>
          <w:rFonts w:ascii="Times New Roman" w:hAnsi="Times New Roman" w:cs="Times New Roman"/>
          <w:sz w:val="24"/>
          <w:szCs w:val="24"/>
          <w:lang w:eastAsia="fr-FR"/>
        </w:rPr>
        <w:t>&amp;Breakfast (B&amp;B).</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Sur ces deux marchés, Gîtes de France détient une part de marché d'au moins 70 % et bénéficie par ailleurs d'une position privilégiée au sein des structures publiques départementales, ce qui renforce encore sa position sur le marché de la délivrance de labels.</w:t>
      </w:r>
      <w:r w:rsidRPr="00865B9A">
        <w:rPr>
          <w:rFonts w:ascii="Times New Roman" w:hAnsi="Times New Roman" w:cs="Times New Roman"/>
          <w:sz w:val="24"/>
          <w:szCs w:val="24"/>
          <w:lang w:eastAsia="fr-FR"/>
        </w:rPr>
        <w:br/>
      </w:r>
      <w:r w:rsidRPr="00865B9A">
        <w:rPr>
          <w:rFonts w:ascii="Times New Roman" w:hAnsi="Times New Roman" w:cs="Times New Roman"/>
          <w:sz w:val="24"/>
          <w:szCs w:val="24"/>
          <w:lang w:eastAsia="fr-FR"/>
        </w:rPr>
        <w:br/>
        <w:t>Le Conseil de la concurrence a constaté à cet égard qu'il existait une certaine confusion structurelle entre Gîtes de France et certains organismes publics de tourisme (comité départemental du tourisme, chambre d'agriculture, conseils général et régional) et que les Gîtes de France avaient par ce biais acquis une place prépondérante dans les procédures publiques de classement et d'allocation des subventions.</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Les pratiques en cause : les clauses d'exclusivité imposées par Gîtes de France à ses adhérents</w:t>
      </w:r>
      <w:r w:rsidRPr="00865B9A">
        <w:rPr>
          <w:rFonts w:ascii="Times New Roman" w:hAnsi="Times New Roman" w:cs="Times New Roman"/>
          <w:sz w:val="24"/>
          <w:szCs w:val="24"/>
          <w:lang w:eastAsia="fr-FR"/>
        </w:rPr>
        <w:br/>
      </w:r>
      <w:r w:rsidRPr="00865B9A">
        <w:rPr>
          <w:rFonts w:ascii="Times New Roman" w:hAnsi="Times New Roman" w:cs="Times New Roman"/>
          <w:sz w:val="24"/>
          <w:szCs w:val="24"/>
          <w:lang w:eastAsia="fr-FR"/>
        </w:rPr>
        <w:br/>
        <w:t>Gîtes de France impose à ses adhérents 3 types de clauses d'exclusivité :</w:t>
      </w:r>
    </w:p>
    <w:p w:rsidR="00865B9A" w:rsidRPr="00865B9A" w:rsidRDefault="00865B9A" w:rsidP="00865B9A">
      <w:pPr>
        <w:numPr>
          <w:ilvl w:val="0"/>
          <w:numId w:val="13"/>
        </w:num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La clause d'adhésion exclusive au label Gîtes de France, interdisant l'appartenance simultanée à un autre label.</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Pour un propriétaire, cette clause signifie non seulement qu'il ne pourra offrir sous deux labels différents un même logement, mais également qu'il lui sera impossible de commercialiser, à proximité, une autre location saisonnière qui ne soit pas agréée Gîtes de France (chambres d'hôtes, gîtes ou aires de camping).</w:t>
      </w:r>
    </w:p>
    <w:p w:rsidR="00865B9A" w:rsidRPr="00865B9A" w:rsidRDefault="00865B9A" w:rsidP="00865B9A">
      <w:pPr>
        <w:numPr>
          <w:ilvl w:val="0"/>
          <w:numId w:val="14"/>
        </w:num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La clause d'exclusivité de publication, imposant aux adhérents que toute publicité s'effectue uniquement par le biais de guides édités par les Gîtes de France.</w:t>
      </w:r>
    </w:p>
    <w:p w:rsidR="00865B9A" w:rsidRPr="00865B9A" w:rsidRDefault="00865B9A" w:rsidP="00865B9A">
      <w:pPr>
        <w:numPr>
          <w:ilvl w:val="0"/>
          <w:numId w:val="15"/>
        </w:num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 xml:space="preserve">L'exclusivité de commercialisation, qui prévoit que, si la commercialisation de l'hébergement n'est pas réalisée par le propriétaire lui-même, elle doit être </w:t>
      </w:r>
      <w:r w:rsidRPr="00865B9A">
        <w:rPr>
          <w:rFonts w:ascii="Times New Roman" w:hAnsi="Times New Roman" w:cs="Times New Roman"/>
          <w:sz w:val="24"/>
          <w:szCs w:val="24"/>
          <w:lang w:eastAsia="fr-FR"/>
        </w:rPr>
        <w:lastRenderedPageBreak/>
        <w:t>obligatoirement effectuée par le service de réservation habilité par le Relais départemental, lorsqu'il en existe un.</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Des clauses d'exclusivité qui font obstacle au développement de labels concurrents</w:t>
      </w:r>
      <w:r w:rsidRPr="00865B9A">
        <w:rPr>
          <w:rFonts w:ascii="Times New Roman" w:hAnsi="Times New Roman" w:cs="Times New Roman"/>
          <w:sz w:val="24"/>
          <w:szCs w:val="24"/>
          <w:lang w:eastAsia="fr-FR"/>
        </w:rPr>
        <w:br/>
      </w:r>
      <w:r w:rsidRPr="00865B9A">
        <w:rPr>
          <w:rFonts w:ascii="Times New Roman" w:hAnsi="Times New Roman" w:cs="Times New Roman"/>
          <w:sz w:val="24"/>
          <w:szCs w:val="24"/>
          <w:lang w:eastAsia="fr-FR"/>
        </w:rPr>
        <w:br/>
        <w:t xml:space="preserve">Le Conseil de la concurrence a considéré qu'étant donné la position dominante de Gîtes de France, </w:t>
      </w:r>
      <w:r w:rsidRPr="00865B9A">
        <w:rPr>
          <w:rFonts w:ascii="Times New Roman" w:hAnsi="Times New Roman" w:cs="Times New Roman"/>
          <w:sz w:val="24"/>
          <w:szCs w:val="24"/>
          <w:u w:val="single"/>
          <w:lang w:eastAsia="fr-FR"/>
        </w:rPr>
        <w:t>ces clauses d'exclusivité étaient abusives, dans la mesure où elles tendaient à rendre captive cette clientèle</w:t>
      </w:r>
      <w:r w:rsidRPr="00865B9A">
        <w:rPr>
          <w:rFonts w:ascii="Times New Roman" w:hAnsi="Times New Roman" w:cs="Times New Roman"/>
          <w:sz w:val="24"/>
          <w:szCs w:val="24"/>
          <w:lang w:eastAsia="fr-FR"/>
        </w:rPr>
        <w:t xml:space="preserve"> et où elles permettaient à Gîtes de France de contrôler toute la chaîne de la commercialisation des hébergements portant son label, et ce pendant toute la durée de l'adhésion, qui est de 10 ans en cas de subventions.</w:t>
      </w:r>
      <w:r w:rsidRPr="00865B9A">
        <w:rPr>
          <w:rFonts w:ascii="Times New Roman" w:hAnsi="Times New Roman" w:cs="Times New Roman"/>
          <w:sz w:val="24"/>
          <w:szCs w:val="24"/>
          <w:lang w:eastAsia="fr-FR"/>
        </w:rPr>
        <w:br/>
      </w:r>
      <w:r w:rsidRPr="00865B9A">
        <w:rPr>
          <w:rFonts w:ascii="Times New Roman" w:hAnsi="Times New Roman" w:cs="Times New Roman"/>
          <w:sz w:val="24"/>
          <w:szCs w:val="24"/>
          <w:lang w:eastAsia="fr-FR"/>
        </w:rPr>
        <w:br/>
      </w:r>
      <w:r w:rsidRPr="00865B9A">
        <w:rPr>
          <w:rFonts w:ascii="Times New Roman" w:hAnsi="Times New Roman" w:cs="Times New Roman"/>
          <w:sz w:val="24"/>
          <w:szCs w:val="24"/>
          <w:u w:val="single"/>
          <w:lang w:eastAsia="fr-FR"/>
        </w:rPr>
        <w:t>Il a estimé que ces clauses, faisant obstacle au développement de labels concurrents et à la liberté commerciale des adhérents étaient excessives dans leur étendue ou leur durée.</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 xml:space="preserve">Injonctions </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Le Conseil a limité la sanction pécuniaire à 10 000 €, mais a adressé plusieurs injonctions à la Fédération, en lui ordonnant de :</w:t>
      </w:r>
    </w:p>
    <w:p w:rsidR="00865B9A" w:rsidRPr="00865B9A" w:rsidRDefault="00865B9A" w:rsidP="00865B9A">
      <w:pPr>
        <w:numPr>
          <w:ilvl w:val="0"/>
          <w:numId w:val="16"/>
        </w:num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supprimer de ses documents contractuels :</w:t>
      </w:r>
    </w:p>
    <w:p w:rsidR="00865B9A" w:rsidRPr="00865B9A" w:rsidRDefault="00865B9A" w:rsidP="00865B9A">
      <w:pPr>
        <w:spacing w:before="100" w:beforeAutospacing="1" w:after="100" w:afterAutospacing="1" w:line="240" w:lineRule="auto"/>
        <w:ind w:left="600"/>
        <w:rPr>
          <w:rFonts w:ascii="Times New Roman" w:hAnsi="Times New Roman" w:cs="Times New Roman"/>
          <w:sz w:val="24"/>
          <w:szCs w:val="24"/>
          <w:lang w:eastAsia="fr-FR"/>
        </w:rPr>
      </w:pPr>
      <w:r w:rsidRPr="00865B9A">
        <w:rPr>
          <w:rFonts w:ascii="Times New Roman" w:hAnsi="Times New Roman" w:cs="Times New Roman"/>
          <w:sz w:val="24"/>
          <w:szCs w:val="24"/>
          <w:lang w:eastAsia="fr-FR"/>
        </w:rPr>
        <w:t>- la clause soumettant à l'accord préalable du relais départemental la publicité sur d'autres supports que ceux édités par le réseau ;</w:t>
      </w:r>
    </w:p>
    <w:p w:rsidR="00865B9A" w:rsidRPr="00865B9A" w:rsidRDefault="00865B9A" w:rsidP="00865B9A">
      <w:pPr>
        <w:spacing w:before="100" w:beforeAutospacing="1" w:after="100" w:afterAutospacing="1" w:line="240" w:lineRule="auto"/>
        <w:ind w:left="600"/>
        <w:rPr>
          <w:rFonts w:ascii="Times New Roman" w:hAnsi="Times New Roman" w:cs="Times New Roman"/>
          <w:sz w:val="24"/>
          <w:szCs w:val="24"/>
          <w:lang w:eastAsia="fr-FR"/>
        </w:rPr>
      </w:pPr>
      <w:r w:rsidRPr="00865B9A">
        <w:rPr>
          <w:rFonts w:ascii="Times New Roman" w:hAnsi="Times New Roman" w:cs="Times New Roman"/>
          <w:sz w:val="24"/>
          <w:szCs w:val="24"/>
          <w:lang w:eastAsia="fr-FR"/>
        </w:rPr>
        <w:t>- la clause interdisant au propriétaire de gérer en parallèle, à proximité du gîte de France lui appartenant, des meublés saisonniers ou toute autre formule d'accueil non agréés Gîtes de France.</w:t>
      </w:r>
    </w:p>
    <w:p w:rsidR="00865B9A" w:rsidRPr="00865B9A" w:rsidRDefault="00865B9A" w:rsidP="00865B9A">
      <w:pPr>
        <w:numPr>
          <w:ilvl w:val="0"/>
          <w:numId w:val="17"/>
        </w:num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limiter aux deux premières années d'adhésion à son réseau la clause interdisant aux adhérents d'apposer, sauf protocole signé entre la Fédération et un organisme tiers, un double label sur le même gîte rural et la clause imposant aux adhérents qui ne désirent pas commercialiser eux-mêmes leur hébergement de le faire par l'intermédiaire des relais départementaux Gîtes de France, et ce, même dans le cas d'une durée d'adhésion supérieure à deux ans ou de renouvellement de cette adhésion, tacite ou explicite.</w:t>
      </w:r>
    </w:p>
    <w:p w:rsidR="00865B9A" w:rsidRPr="00865B9A" w:rsidRDefault="00865B9A" w:rsidP="00865B9A">
      <w:pPr>
        <w:spacing w:before="100" w:beforeAutospacing="1" w:after="100" w:afterAutospacing="1" w:line="240" w:lineRule="auto"/>
        <w:rPr>
          <w:rFonts w:ascii="Times New Roman" w:hAnsi="Times New Roman" w:cs="Times New Roman"/>
          <w:sz w:val="24"/>
          <w:szCs w:val="24"/>
          <w:lang w:eastAsia="fr-FR"/>
        </w:rPr>
      </w:pPr>
      <w:r w:rsidRPr="00865B9A">
        <w:rPr>
          <w:rFonts w:ascii="Times New Roman" w:hAnsi="Times New Roman" w:cs="Times New Roman"/>
          <w:sz w:val="24"/>
          <w:szCs w:val="24"/>
          <w:lang w:eastAsia="fr-FR"/>
        </w:rPr>
        <w:t>Ces injonctions devront être exécutées dans un délai de 4 mois, sous astreinte de 150 € par jour de retard, à compter de la date d'expiration du délai.</w:t>
      </w:r>
    </w:p>
    <w:p w:rsidR="00865B9A" w:rsidRDefault="00865B9A"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865B9A" w:rsidRDefault="00865B9A" w:rsidP="0037474D">
      <w:pPr>
        <w:jc w:val="center"/>
      </w:pPr>
      <w:r>
        <w:lastRenderedPageBreak/>
        <w:t>05-D-32</w:t>
      </w:r>
    </w:p>
    <w:p w:rsidR="0037474D" w:rsidRDefault="0037474D" w:rsidP="00865B9A"/>
    <w:p w:rsidR="0037474D" w:rsidRDefault="0037474D" w:rsidP="0037474D">
      <w:pPr>
        <w:pStyle w:val="Titre4"/>
      </w:pPr>
      <w:r>
        <w:t>22 juin 2005 : Entente et abus de position dominante sur le marché des aliments pour chiens</w:t>
      </w:r>
    </w:p>
    <w:p w:rsidR="0037474D" w:rsidRDefault="0037474D" w:rsidP="0037474D">
      <w:pPr>
        <w:pStyle w:val="NormalWeb"/>
        <w:jc w:val="center"/>
      </w:pPr>
      <w:r>
        <w:rPr>
          <w:rStyle w:val="bold"/>
        </w:rPr>
        <w:t xml:space="preserve">Le Conseil de la concurrence sanctionne Royal Canin et son réseau de distribution </w:t>
      </w:r>
      <w:r>
        <w:br/>
      </w:r>
      <w:r>
        <w:rPr>
          <w:rStyle w:val="bold"/>
        </w:rPr>
        <w:t xml:space="preserve">pour un montant total de 5 000 </w:t>
      </w:r>
      <w:proofErr w:type="spellStart"/>
      <w:r>
        <w:rPr>
          <w:rStyle w:val="bold"/>
        </w:rPr>
        <w:t>000</w:t>
      </w:r>
      <w:proofErr w:type="spellEnd"/>
      <w:r>
        <w:rPr>
          <w:rStyle w:val="bold"/>
        </w:rPr>
        <w:t xml:space="preserve"> d'euros</w:t>
      </w:r>
    </w:p>
    <w:p w:rsidR="0037474D" w:rsidRDefault="0037474D" w:rsidP="0037474D">
      <w:pPr>
        <w:pStyle w:val="NormalWeb"/>
        <w:jc w:val="right"/>
      </w:pPr>
      <w:hyperlink r:id="rId13" w:history="1">
        <w:r>
          <w:rPr>
            <w:rStyle w:val="italic"/>
            <w:color w:val="0000FF"/>
            <w:u w:val="single"/>
          </w:rPr>
          <w:t>&gt;English version</w:t>
        </w:r>
        <w:r>
          <w:rPr>
            <w:rStyle w:val="Lienhypertexte"/>
          </w:rPr>
          <w:t xml:space="preserve"> </w:t>
        </w:r>
      </w:hyperlink>
      <w:r>
        <w:rPr>
          <w:noProof/>
        </w:rPr>
        <w:drawing>
          <wp:inline distT="0" distB="0" distL="0" distR="0">
            <wp:extent cx="152400" cy="114300"/>
            <wp:effectExtent l="19050" t="0" r="0" b="0"/>
            <wp:docPr id="11" name="Image 11"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37474D" w:rsidRDefault="0037474D" w:rsidP="0037474D">
      <w:pPr>
        <w:pStyle w:val="NormalWeb"/>
      </w:pPr>
      <w:r>
        <w:br/>
        <w:t xml:space="preserve">Saisi par le ministre de l'économie de pratiques mises en </w:t>
      </w:r>
      <w:proofErr w:type="spellStart"/>
      <w:r>
        <w:t>oeuvre</w:t>
      </w:r>
      <w:proofErr w:type="spellEnd"/>
      <w:r>
        <w:t xml:space="preserve"> par la société Royal Canin et son réseau de distribution, le Conseil de la concurrence a sanctionné Royal Canin pour avoir abusé de sa position dominante sur le marché de la vente d'aliments secs pour chiens en magasins spécialisés et pour avoir été l'instigateur d'une série d'ententes verticales avec les membres de son réseau de distribution. </w:t>
      </w:r>
      <w:r>
        <w:br/>
      </w:r>
      <w:r>
        <w:br/>
        <w:t xml:space="preserve">Les pratiques anticoncurrentielles relevées concernent exclusivement le circuit de la distribution spécialisée au niveau des grossistes, des centrales d'achat et des détaillants et affectent tant la concurrence </w:t>
      </w:r>
      <w:proofErr w:type="spellStart"/>
      <w:r>
        <w:t>intramarque</w:t>
      </w:r>
      <w:proofErr w:type="spellEnd"/>
      <w:r>
        <w:t xml:space="preserve"> que la concurrence </w:t>
      </w:r>
      <w:proofErr w:type="spellStart"/>
      <w:r>
        <w:t>intermarque</w:t>
      </w:r>
      <w:proofErr w:type="spellEnd"/>
      <w:r>
        <w:t xml:space="preserve">. </w:t>
      </w:r>
      <w:r>
        <w:br/>
      </w:r>
      <w:r>
        <w:br/>
      </w:r>
      <w:r>
        <w:rPr>
          <w:rStyle w:val="bold"/>
        </w:rPr>
        <w:t>Le marché de la vente de croquettes pour chiens en magasins spécialisés</w:t>
      </w:r>
      <w:r>
        <w:t xml:space="preserve"> </w:t>
      </w:r>
      <w:r>
        <w:br/>
      </w:r>
      <w:r>
        <w:br/>
        <w:t xml:space="preserve">Le Conseil a considéré que la vente d'aliments secs pour chiens en magasins spécialisés constitue un marché pertinent, sur lequel Royal Canin réalise une part importante de son chiffre d'affaires et distribue des produits élaborés ou haut de gamme, introuvables en grandes surfaces. </w:t>
      </w:r>
      <w:r>
        <w:br/>
      </w:r>
      <w:r>
        <w:br/>
        <w:t>Il a par ailleurs estimé que Royal Canin était en position dominante sur ce marché entre 1998 et 2000, compte tenu de ses parts de marché et de la nature du marché :</w:t>
      </w:r>
    </w:p>
    <w:p w:rsidR="0037474D" w:rsidRDefault="0037474D" w:rsidP="0037474D">
      <w:pPr>
        <w:numPr>
          <w:ilvl w:val="0"/>
          <w:numId w:val="18"/>
        </w:numPr>
        <w:spacing w:before="100" w:beforeAutospacing="1" w:after="100" w:afterAutospacing="1" w:line="240" w:lineRule="auto"/>
      </w:pPr>
      <w:r>
        <w:t>Royal Canin détenait 39 % de parts de marché en 1998, 41 % en 1999 et 42 % en 2000.</w:t>
      </w:r>
      <w:r>
        <w:br/>
        <w:t> </w:t>
      </w:r>
    </w:p>
    <w:p w:rsidR="0037474D" w:rsidRDefault="0037474D" w:rsidP="0037474D">
      <w:pPr>
        <w:numPr>
          <w:ilvl w:val="0"/>
          <w:numId w:val="18"/>
        </w:numPr>
        <w:spacing w:before="100" w:beforeAutospacing="1" w:after="100" w:afterAutospacing="1" w:line="240" w:lineRule="auto"/>
      </w:pPr>
      <w:r>
        <w:t xml:space="preserve">Le marché concerné est un marché de marques où les investissements élevés constituent de réelles barrières à l'entrée. Par ailleurs, certaines de ses marques sont incontournables : Royal Canin détient en effet deux des trois premières marques distribuées en magasins spécialisés : la marque leader "RCCI Size" et la troisième "Sélection". </w:t>
      </w:r>
      <w:r>
        <w:br/>
        <w:t> </w:t>
      </w:r>
    </w:p>
    <w:p w:rsidR="0037474D" w:rsidRDefault="0037474D" w:rsidP="0037474D">
      <w:pPr>
        <w:numPr>
          <w:ilvl w:val="0"/>
          <w:numId w:val="18"/>
        </w:numPr>
        <w:spacing w:before="100" w:beforeAutospacing="1" w:after="100" w:afterAutospacing="1" w:line="240" w:lineRule="auto"/>
      </w:pPr>
      <w:r>
        <w:t>Il bénéficie d'une avance certaine sur ses concurrents du fait de l'ancienneté de sa présence sur le créneau phare des produits nutritionnels.</w:t>
      </w:r>
      <w:r>
        <w:br/>
        <w:t> </w:t>
      </w:r>
    </w:p>
    <w:p w:rsidR="0037474D" w:rsidRDefault="0037474D" w:rsidP="0037474D">
      <w:pPr>
        <w:numPr>
          <w:ilvl w:val="0"/>
          <w:numId w:val="18"/>
        </w:numPr>
        <w:spacing w:before="100" w:beforeAutospacing="1" w:after="100" w:afterAutospacing="1" w:line="240" w:lineRule="auto"/>
      </w:pPr>
      <w:r>
        <w:t>Par ailleurs, les autres concurrents n'ont sur ce marché que des parts sensiblement inférieures, au plus de l'ordre de 10%.</w:t>
      </w:r>
    </w:p>
    <w:p w:rsidR="0037474D" w:rsidRDefault="0037474D" w:rsidP="0037474D">
      <w:pPr>
        <w:pStyle w:val="NormalWeb"/>
      </w:pPr>
      <w:r>
        <w:rPr>
          <w:rStyle w:val="bold"/>
        </w:rPr>
        <w:t xml:space="preserve">Le verrouillage de la concurrence </w:t>
      </w:r>
      <w:proofErr w:type="spellStart"/>
      <w:r>
        <w:rPr>
          <w:rStyle w:val="bold"/>
        </w:rPr>
        <w:t>intramarque</w:t>
      </w:r>
      <w:proofErr w:type="spellEnd"/>
    </w:p>
    <w:p w:rsidR="0037474D" w:rsidRDefault="0037474D" w:rsidP="0037474D">
      <w:pPr>
        <w:pStyle w:val="NormalWeb"/>
      </w:pPr>
      <w:r>
        <w:t xml:space="preserve">Pour distribuer ses produits, Royal Canin a mis sur pied un réseau de 19 distributeurs, qui maillent le territoire. Il distribue ses produits auprès de 13 000 lieux de vente spécialisés, ce qui lui assure une présence incomparable sur le marché. Les relations entre Royal Canin et son réseau de distribution sont formalisées au sein de contrats spécifiques, les contrats « </w:t>
      </w:r>
      <w:r>
        <w:lastRenderedPageBreak/>
        <w:t xml:space="preserve">Alliance service ». </w:t>
      </w:r>
      <w:r>
        <w:br/>
      </w:r>
      <w:r>
        <w:br/>
      </w:r>
      <w:r>
        <w:rPr>
          <w:rStyle w:val="italic"/>
        </w:rPr>
        <w:t>Les accords de restriction de clientèle</w:t>
      </w:r>
      <w:r>
        <w:t xml:space="preserve"> </w:t>
      </w:r>
      <w:r>
        <w:br/>
      </w:r>
      <w:r>
        <w:br/>
        <w:t xml:space="preserve">La politique commerciale de Royal Canin sépare de façon parfaitement étanche le circuit de la distribution dans les grandes surfaces du circuit de la distribution spécialisée, interdisant ainsi toute concurrence </w:t>
      </w:r>
      <w:proofErr w:type="spellStart"/>
      <w:r>
        <w:t>intramarque</w:t>
      </w:r>
      <w:proofErr w:type="spellEnd"/>
      <w:r>
        <w:t>.</w:t>
      </w:r>
      <w:r>
        <w:br/>
      </w:r>
      <w:r>
        <w:br/>
        <w:t xml:space="preserve">Les accords d'exclusivité conclus entre Royal Canin et ses grossistes distributeurs leur imposaient de se limiter exclusivement à la distribution spécialisée, aux éleveurs professionnels et aux vétérinaires. </w:t>
      </w:r>
      <w:r>
        <w:br/>
      </w:r>
      <w:r>
        <w:br/>
        <w:t>Les croquettes haut de gamme Royal Canin étaient de ce fait totalement absentes de la grande distribution à l'époque des faits et les marques d'aliments secs pour chiens étaient destinées exclusivement à l'un ou à l'autre des deux circuits.</w:t>
      </w:r>
      <w:r>
        <w:br/>
      </w:r>
      <w:r>
        <w:br/>
      </w:r>
      <w:r>
        <w:rPr>
          <w:rStyle w:val="italic"/>
        </w:rPr>
        <w:t>Des prix de vente imposés aux grossistes et l'existence d'un dispositif de contrôle de l'entente</w:t>
      </w:r>
      <w:r>
        <w:br/>
      </w:r>
      <w:r>
        <w:br/>
        <w:t xml:space="preserve">Par le biais de ses contrats « Alliance service », Royal Canin imposait également à ses grossistes des prix de revente et en contrôlait le respect par un système de remontée d'informations, véritable dispositif de contrôle de l'entente. </w:t>
      </w:r>
      <w:r>
        <w:br/>
      </w:r>
      <w:r>
        <w:br/>
      </w:r>
      <w:r>
        <w:rPr>
          <w:rStyle w:val="italic"/>
        </w:rPr>
        <w:t>Les effets de ces pratiques sur le marché concerné</w:t>
      </w:r>
      <w:r>
        <w:br/>
      </w:r>
      <w:r>
        <w:br/>
        <w:t>De ce fait, un détaillant, voulant s'approvisionner en produits Royal Canin, ne pouvait faire jouer la concurrence entre offreurs et se trouvait contraint de s'adresser aux grossistes prescrits par Royal Canin et de s'approvisionner au prix unique imposé.</w:t>
      </w:r>
      <w:r>
        <w:br/>
      </w:r>
      <w:r>
        <w:br/>
        <w:t xml:space="preserve">Cette absence de concurrence </w:t>
      </w:r>
      <w:proofErr w:type="spellStart"/>
      <w:r>
        <w:t>intramarque</w:t>
      </w:r>
      <w:proofErr w:type="spellEnd"/>
      <w:r>
        <w:t xml:space="preserve"> a contribué à renchérir les coûts d'approvisionnement des détaillants. Étant donné la part importante représentée par Royal Canin dans le circuit spécialisé, ces pratiques ont nécessairement affecté une part importante du segment du marché intermédiaire, et par conséquent, du segment des marchés avals.</w:t>
      </w:r>
      <w:r>
        <w:br/>
      </w:r>
      <w:r>
        <w:br/>
        <w:t>Par ailleurs, certains produits, jugés incontournables, ne sont présents que dans ce circuit.</w:t>
      </w:r>
      <w:r>
        <w:br/>
      </w:r>
      <w:r>
        <w:br/>
      </w:r>
      <w:r>
        <w:rPr>
          <w:rStyle w:val="italic"/>
        </w:rPr>
        <w:t>Des prix de détail imposés au consommateur final</w:t>
      </w:r>
      <w:r>
        <w:br/>
      </w:r>
      <w:r>
        <w:br/>
        <w:t xml:space="preserve">Le Conseil a estimé par ailleurs que Royal Canin a été l'instigateur d'une série d'ententes verticales sur le marché de détail, visant notamment à imposer des prix de vente aux consommateurs. </w:t>
      </w:r>
      <w:r>
        <w:br/>
      </w:r>
      <w:r>
        <w:br/>
        <w:t xml:space="preserve">Les relevés de prix effectués pour les besoins de l'enquête (plus de 1000) ont manifesté un alignement des prix de vente aux consommateurs sur les gammes nutritionnelles RCCI Size et Premium de Royal Canin. </w:t>
      </w:r>
      <w:r>
        <w:br/>
      </w:r>
      <w:r>
        <w:br/>
        <w:t xml:space="preserve">Le Conseil a constaté que Royal Canin établissait et diffusait des prix publics indicatifs qui, en réalité étaient des prix de détail imposés. Ces prix étaient </w:t>
      </w:r>
      <w:proofErr w:type="spellStart"/>
      <w:r>
        <w:t>eux-même</w:t>
      </w:r>
      <w:proofErr w:type="spellEnd"/>
      <w:r>
        <w:t xml:space="preserve"> repris et relayés auprès des détaillants par les grossistes et les centrales de franchisés puis respectés scrupuleusement par les détaillants.</w:t>
      </w:r>
    </w:p>
    <w:p w:rsidR="0037474D" w:rsidRDefault="0037474D" w:rsidP="0037474D">
      <w:pPr>
        <w:pStyle w:val="NormalWeb"/>
      </w:pPr>
      <w:r>
        <w:rPr>
          <w:rStyle w:val="bold"/>
        </w:rPr>
        <w:lastRenderedPageBreak/>
        <w:t xml:space="preserve">Le verrouillage de la concurrence </w:t>
      </w:r>
      <w:proofErr w:type="spellStart"/>
      <w:r>
        <w:rPr>
          <w:rStyle w:val="bold"/>
        </w:rPr>
        <w:t>intermarque</w:t>
      </w:r>
      <w:proofErr w:type="spellEnd"/>
      <w:r>
        <w:rPr>
          <w:rStyle w:val="bold"/>
        </w:rPr>
        <w:t xml:space="preserve"> par le biais de remises </w:t>
      </w:r>
      <w:proofErr w:type="spellStart"/>
      <w:r>
        <w:rPr>
          <w:rStyle w:val="bold"/>
        </w:rPr>
        <w:t>fidélisantes</w:t>
      </w:r>
      <w:proofErr w:type="spellEnd"/>
      <w:r>
        <w:t xml:space="preserve"> </w:t>
      </w:r>
      <w:r>
        <w:br/>
      </w:r>
      <w:r>
        <w:br/>
        <w:t xml:space="preserve">Le Conseil a également jugé anticoncurrentiel le système de remises </w:t>
      </w:r>
      <w:proofErr w:type="spellStart"/>
      <w:r>
        <w:t>fidélisantes</w:t>
      </w:r>
      <w:proofErr w:type="spellEnd"/>
      <w:r>
        <w:t xml:space="preserve"> mis en place par Royal Canin. Celle-ci octroyait des ristournes de fin d'année à certains membres de son réseau - et notamment aux centrales de franchisés, c'est à dire en dernière instance aux détaillants - en fonction de leur chiffre d'affaires et/ou de tonnage de produits Royal Canin vendus.</w:t>
      </w:r>
      <w:r>
        <w:br/>
      </w:r>
      <w:r>
        <w:br/>
        <w:t>Le Conseil a souligné que les barèmes consentis par Royal Canin, fortement incitatifs, ne pouvaient être combattus par des concurrents qu'au prix d'efforts disproportionnés. De la part d'une entreprise en position dominante, ce système tend en effet à barrer l'entrée de nouveaux concurrents sur le marché : il obligerait un concurrent voulant prendre des parts de marchés à Royal Canin à baisser considérablement ses prix et à mettre en danger son équilibre économique.</w:t>
      </w:r>
      <w:r>
        <w:br/>
      </w:r>
      <w:r>
        <w:br/>
      </w:r>
      <w:r>
        <w:rPr>
          <w:rStyle w:val="bold"/>
        </w:rPr>
        <w:t>Les sanctions prononcées par le Conseil de la concurrence</w:t>
      </w:r>
      <w:r>
        <w:br/>
      </w:r>
      <w:r>
        <w:br/>
        <w:t xml:space="preserve">Le Conseil a ainsi sanctionné Royal Canin pour entente avec son réseau de distribution, pour ses pratiques de prix à la fois au niveau du gros et au niveau du détail. Il l'a également sanctionné au titre de l'abus de position dominante du fait d'une part de pratiques de prix imposés et de restrictions de clientèle, d'autre part de pratiques de remises de fidélité à l'égard des centrales d'achat et des détaillants. </w:t>
      </w:r>
      <w:r>
        <w:br/>
      </w:r>
      <w:r>
        <w:br/>
        <w:t>Il a ainsi infligé les sanctions pécuniaires suivantes :</w:t>
      </w:r>
      <w:r>
        <w:br/>
      </w:r>
      <w:r>
        <w:br/>
        <w:t>• à la société Royal Canin une sanction de 2 500 000 € ;</w:t>
      </w:r>
      <w:r>
        <w:br/>
        <w:t>• à la société Normandie Loir Distribution une sanction de 89 000 € ;</w:t>
      </w:r>
      <w:r>
        <w:br/>
        <w:t xml:space="preserve">• à la société </w:t>
      </w:r>
      <w:proofErr w:type="spellStart"/>
      <w:r>
        <w:t>Sodiamal</w:t>
      </w:r>
      <w:proofErr w:type="spellEnd"/>
      <w:r>
        <w:t xml:space="preserve"> une sanction de 1000 € ;</w:t>
      </w:r>
      <w:r>
        <w:br/>
        <w:t xml:space="preserve">• à la société </w:t>
      </w:r>
      <w:proofErr w:type="spellStart"/>
      <w:r>
        <w:t>Sodegal</w:t>
      </w:r>
      <w:proofErr w:type="spellEnd"/>
      <w:r>
        <w:t xml:space="preserve"> une sanction de 24 000 € ;</w:t>
      </w:r>
      <w:r>
        <w:br/>
        <w:t xml:space="preserve">• à la société </w:t>
      </w:r>
      <w:proofErr w:type="spellStart"/>
      <w:r>
        <w:t>Cazenave</w:t>
      </w:r>
      <w:proofErr w:type="spellEnd"/>
      <w:r>
        <w:t xml:space="preserve"> une sanction de 37 000 € ;</w:t>
      </w:r>
      <w:r>
        <w:br/>
        <w:t>• à la société Ferrat une sanction de 71 000 € ;</w:t>
      </w:r>
      <w:r>
        <w:br/>
        <w:t>• à la société Garibaldi une sanction de 29 000 € ;</w:t>
      </w:r>
      <w:r>
        <w:br/>
        <w:t xml:space="preserve">• à la société </w:t>
      </w:r>
      <w:proofErr w:type="spellStart"/>
      <w:r>
        <w:t>Fapac</w:t>
      </w:r>
      <w:proofErr w:type="spellEnd"/>
      <w:r>
        <w:t>-</w:t>
      </w:r>
      <w:proofErr w:type="spellStart"/>
      <w:r>
        <w:t>Tivadis</w:t>
      </w:r>
      <w:proofErr w:type="spellEnd"/>
      <w:r>
        <w:t xml:space="preserve"> une sanction de 34 000 € ;</w:t>
      </w:r>
      <w:r>
        <w:br/>
        <w:t xml:space="preserve">• à la société </w:t>
      </w:r>
      <w:proofErr w:type="spellStart"/>
      <w:r>
        <w:t>Rhonaldis</w:t>
      </w:r>
      <w:proofErr w:type="spellEnd"/>
      <w:r>
        <w:t xml:space="preserve"> une sanction de 98 000 € ;</w:t>
      </w:r>
      <w:r>
        <w:br/>
        <w:t xml:space="preserve">• à la société </w:t>
      </w:r>
      <w:proofErr w:type="spellStart"/>
      <w:r>
        <w:t>Alpadis</w:t>
      </w:r>
      <w:proofErr w:type="spellEnd"/>
      <w:r>
        <w:t xml:space="preserve"> une sanction de 60 000 € ;</w:t>
      </w:r>
      <w:r>
        <w:br/>
        <w:t xml:space="preserve">• à la société </w:t>
      </w:r>
      <w:proofErr w:type="spellStart"/>
      <w:r>
        <w:t>Canidis</w:t>
      </w:r>
      <w:proofErr w:type="spellEnd"/>
      <w:r>
        <w:t xml:space="preserve"> une sanction de 65 000 € ;</w:t>
      </w:r>
      <w:r>
        <w:br/>
        <w:t>• à la société Tripode une sanction de 210 000 € ;</w:t>
      </w:r>
      <w:r>
        <w:br/>
        <w:t>• à la société Truffaut une sanction de 1 500 000€ ;</w:t>
      </w:r>
      <w:r>
        <w:br/>
        <w:t xml:space="preserve">• à la société </w:t>
      </w:r>
      <w:proofErr w:type="spellStart"/>
      <w:r>
        <w:t>Delbard</w:t>
      </w:r>
      <w:proofErr w:type="spellEnd"/>
      <w:r>
        <w:t xml:space="preserve"> une sanction de 279 000€ ; </w:t>
      </w:r>
      <w:r>
        <w:br/>
        <w:t xml:space="preserve">• à la société Les Jardins de </w:t>
      </w:r>
      <w:proofErr w:type="spellStart"/>
      <w:r>
        <w:t>Pacy</w:t>
      </w:r>
      <w:proofErr w:type="spellEnd"/>
      <w:r>
        <w:t xml:space="preserve"> une sanction de 4 000 € ;</w:t>
      </w:r>
      <w:r>
        <w:br/>
        <w:t>• à la société Idéal Canin Valdoie une sanction de 1 000 €.</w:t>
      </w:r>
    </w:p>
    <w:p w:rsidR="0037474D" w:rsidRDefault="0037474D" w:rsidP="0037474D">
      <w:pPr>
        <w:pStyle w:val="NormalWeb"/>
      </w:pPr>
    </w:p>
    <w:p w:rsidR="0037474D" w:rsidRDefault="0037474D" w:rsidP="0037474D">
      <w:pPr>
        <w:pStyle w:val="NormalWeb"/>
      </w:pPr>
    </w:p>
    <w:p w:rsidR="0037474D" w:rsidRDefault="0037474D" w:rsidP="00865B9A">
      <w:pPr>
        <w:rPr>
          <w:rFonts w:ascii="Times New Roman" w:hAnsi="Times New Roman" w:cs="Times New Roman"/>
          <w:sz w:val="24"/>
          <w:szCs w:val="24"/>
          <w:lang w:eastAsia="fr-FR"/>
        </w:rPr>
      </w:pPr>
    </w:p>
    <w:p w:rsidR="0037474D" w:rsidRDefault="0037474D" w:rsidP="00865B9A">
      <w:pPr>
        <w:rPr>
          <w:rFonts w:ascii="Times New Roman" w:hAnsi="Times New Roman" w:cs="Times New Roman"/>
          <w:sz w:val="24"/>
          <w:szCs w:val="24"/>
          <w:lang w:eastAsia="fr-FR"/>
        </w:rPr>
      </w:pPr>
    </w:p>
    <w:p w:rsidR="0037474D" w:rsidRDefault="0037474D" w:rsidP="00865B9A"/>
    <w:p w:rsidR="00865B9A" w:rsidRDefault="00865B9A" w:rsidP="0037474D">
      <w:pPr>
        <w:jc w:val="center"/>
      </w:pPr>
      <w:r>
        <w:t>07-D-08</w:t>
      </w:r>
    </w:p>
    <w:p w:rsidR="0037474D" w:rsidRDefault="0037474D" w:rsidP="00865B9A"/>
    <w:p w:rsidR="0037474D" w:rsidRDefault="0037474D" w:rsidP="0037474D">
      <w:pPr>
        <w:pStyle w:val="Titre4"/>
      </w:pPr>
      <w:r>
        <w:t>12 mars 2007 : Approvisionnement et distribution du ciment en Corse</w:t>
      </w:r>
    </w:p>
    <w:p w:rsidR="0037474D" w:rsidRDefault="0037474D" w:rsidP="0037474D">
      <w:pPr>
        <w:pStyle w:val="NormalWeb"/>
        <w:jc w:val="center"/>
      </w:pPr>
      <w:r>
        <w:rPr>
          <w:rStyle w:val="bold"/>
        </w:rPr>
        <w:t>Le Conseil de la concurrence sanctionne à hauteur de 25 millions d'euros les cimentiers Lafarge et Vicat, ainsi que leurs distributeurs, pour s'être réservé l'approvisionnement de l'île au détriment de leurs concurrents étrangers</w:t>
      </w:r>
    </w:p>
    <w:p w:rsidR="0037474D" w:rsidRDefault="0037474D" w:rsidP="0037474D">
      <w:pPr>
        <w:pStyle w:val="NormalWeb"/>
        <w:jc w:val="right"/>
      </w:pPr>
      <w:hyperlink r:id="rId14" w:history="1">
        <w:r>
          <w:rPr>
            <w:rStyle w:val="Lienhypertexte"/>
          </w:rPr>
          <w:t>&gt;English version</w:t>
        </w:r>
      </w:hyperlink>
      <w:r>
        <w:t xml:space="preserve"> </w:t>
      </w:r>
      <w:r>
        <w:rPr>
          <w:noProof/>
        </w:rPr>
        <w:drawing>
          <wp:inline distT="0" distB="0" distL="0" distR="0">
            <wp:extent cx="152400" cy="114300"/>
            <wp:effectExtent l="19050" t="0" r="0" b="0"/>
            <wp:docPr id="13" name="Image 13"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37474D" w:rsidRDefault="0037474D" w:rsidP="0037474D">
      <w:pPr>
        <w:pStyle w:val="NormalWeb"/>
        <w:spacing w:after="240" w:afterAutospacing="0"/>
        <w:jc w:val="both"/>
      </w:pPr>
      <w:r>
        <w:t xml:space="preserve">Saisi par le ministre de l'économie en juin 2000, le Conseil de la concurrence rend aujourd'hui une décision, par laquelle il sanctionne deux producteurs de ciment français, Lafarge et Vicat, pour s'être entendus avec leurs principaux distributeurs en Corse, dans le but de se réserver l'approvisionnement de l'île et d'entraver les importations de ciment, en provenance de Grèce et d'Italie notamment. </w:t>
      </w:r>
      <w:r>
        <w:br/>
      </w:r>
      <w:r>
        <w:br/>
        <w:t>Il n'existe pas de cimenteries en Corse : aussi, tout le ciment qui y est distribué doit-il être acheminé par voie maritime. La majeure partie du ciment utilisé est produit dans les régions de Marseille et de Nice.</w:t>
      </w:r>
      <w:r>
        <w:br/>
      </w:r>
      <w:r>
        <w:br/>
      </w:r>
      <w:r>
        <w:rPr>
          <w:rStyle w:val="bold"/>
        </w:rPr>
        <w:t>Le Conseil a sanctionné deux accords qui organisaient l'approvisionnement exclusif de l'île en ciments Lafarge et Vicat, empêchant les concurrents, notamment grecs et italiens, de se développer sur le marché</w:t>
      </w:r>
      <w:r>
        <w:br/>
      </w:r>
      <w:r>
        <w:br/>
        <w:t xml:space="preserve">Le Conseil a estimé que Lafarge, Vicat et le Syndicat des négociants-distributeurs, se sont entendus par le biais d'un protocole d'accord (1), prévoyant que les membres du Syndicat s'approvisionneraient en ciment Lafarge et Vicat pour l'essentiel de leurs besoins, et ce, pendant quatre ans au moins. Ce protocole, renouvelé tacitement, a restreint artificiellement la concurrence sur le marché de l'approvisionnement en ciment et a barré l'accès à ces marchés aux concurrents grecs et italiens, dont les prix étaient, en moyenne, 20 % inférieurs. </w:t>
      </w:r>
      <w:r>
        <w:br/>
      </w:r>
      <w:r>
        <w:br/>
        <w:t>Par ailleurs, le Conseil a considéré qu'était constitutive d'une entente, la signature d'une convention (2), par laquelle les deux cimentiers octroyaient, pour une durée de 30 ans à un GIE regroupant les négociants-distributeurs de Haute-Corse, une exclusivité d'exploitation des infrastructures de stockage et d'ensachage de ciment du port de Bastia. Cette convention protégeait en effet les membres du GIE de la concurrence et réservait à Lafarge et à Vicat l'exclusivité de leur approvisionnement en ciment, conduisant à ce que les prix du ciment soient très élevés en Haute-Corse.</w:t>
      </w:r>
      <w:r>
        <w:br/>
      </w:r>
      <w:r>
        <w:br/>
      </w:r>
      <w:r>
        <w:rPr>
          <w:rStyle w:val="bold"/>
        </w:rPr>
        <w:t>Le Conseil a également sanctionné une pratique de remises récompensant les négociants qui n'achetaient pas de ciments d'importation ainsi qu'une entente particulière entre deux négociants</w:t>
      </w:r>
      <w:r>
        <w:br/>
      </w:r>
      <w:r>
        <w:br/>
        <w:t xml:space="preserve">Le Conseil a considéré que certaines remises, accordées par Lafarge et Vicat aux membres du syndicat et du GIE, par périodes entre 1997 et 1999, étaient anticoncurrentielles, car elles étaient attribuées sous la seule condition que le négociant bénéficiaire n'ait pas importé en Corse d'autres ciments que ceux de Lafarge et de Vicat. Enfin, deux négociants d'Ajaccio ont </w:t>
      </w:r>
      <w:r>
        <w:lastRenderedPageBreak/>
        <w:t>été condamnés pour avoir coordonné leurs prix.</w:t>
      </w:r>
      <w:r>
        <w:br/>
      </w:r>
      <w:r>
        <w:br/>
      </w:r>
      <w:r>
        <w:rPr>
          <w:rStyle w:val="bold"/>
        </w:rPr>
        <w:t>Le Conseil a prononcé des sanctions proportionnées en tenant compte de la gravité des comportements en cause et de l'importance du dommage causé à l'économie de l'île</w:t>
      </w:r>
    </w:p>
    <w:p w:rsidR="0037474D" w:rsidRDefault="0037474D" w:rsidP="0037474D">
      <w:pPr>
        <w:numPr>
          <w:ilvl w:val="0"/>
          <w:numId w:val="19"/>
        </w:numPr>
        <w:spacing w:before="100" w:beforeAutospacing="1" w:after="100" w:afterAutospacing="1" w:line="240" w:lineRule="auto"/>
        <w:jc w:val="both"/>
      </w:pPr>
      <w:r>
        <w:t>à la société Lafarge, il a été infligé une sanction de 17 millions d'euros ;</w:t>
      </w:r>
    </w:p>
    <w:p w:rsidR="0037474D" w:rsidRDefault="0037474D" w:rsidP="0037474D">
      <w:pPr>
        <w:numPr>
          <w:ilvl w:val="0"/>
          <w:numId w:val="19"/>
        </w:numPr>
        <w:spacing w:before="100" w:beforeAutospacing="1" w:after="100" w:afterAutospacing="1" w:line="240" w:lineRule="auto"/>
        <w:jc w:val="both"/>
      </w:pPr>
      <w:r>
        <w:t>à la société Vicat, 8 millions d'euros ;</w:t>
      </w:r>
    </w:p>
    <w:p w:rsidR="0037474D" w:rsidRDefault="0037474D" w:rsidP="0037474D">
      <w:pPr>
        <w:numPr>
          <w:ilvl w:val="0"/>
          <w:numId w:val="19"/>
        </w:numPr>
        <w:spacing w:before="100" w:beforeAutospacing="1" w:after="100" w:afterAutospacing="1" w:line="240" w:lineRule="auto"/>
        <w:jc w:val="both"/>
      </w:pPr>
      <w:r>
        <w:t>au GIE, 15 000 euros ;</w:t>
      </w:r>
    </w:p>
    <w:p w:rsidR="0037474D" w:rsidRDefault="0037474D" w:rsidP="0037474D">
      <w:pPr>
        <w:numPr>
          <w:ilvl w:val="0"/>
          <w:numId w:val="19"/>
        </w:numPr>
        <w:spacing w:before="100" w:beforeAutospacing="1" w:after="100" w:afterAutospacing="1" w:line="240" w:lineRule="auto"/>
        <w:jc w:val="both"/>
      </w:pPr>
      <w:r>
        <w:t>au Syndicat des négociants en matériaux de construction, 15 000 euros ;</w:t>
      </w:r>
    </w:p>
    <w:p w:rsidR="0037474D" w:rsidRDefault="0037474D" w:rsidP="0037474D">
      <w:pPr>
        <w:numPr>
          <w:ilvl w:val="0"/>
          <w:numId w:val="19"/>
        </w:numPr>
        <w:spacing w:before="100" w:beforeAutospacing="1" w:after="100" w:afterAutospacing="1" w:line="240" w:lineRule="auto"/>
        <w:jc w:val="both"/>
      </w:pPr>
      <w:r>
        <w:t xml:space="preserve">à la société </w:t>
      </w:r>
      <w:proofErr w:type="spellStart"/>
      <w:r>
        <w:t>Simat</w:t>
      </w:r>
      <w:proofErr w:type="spellEnd"/>
      <w:r>
        <w:t xml:space="preserve"> </w:t>
      </w:r>
      <w:proofErr w:type="spellStart"/>
      <w:r>
        <w:t>Simongiovani</w:t>
      </w:r>
      <w:proofErr w:type="spellEnd"/>
      <w:r>
        <w:t>, 70 000 euros ;</w:t>
      </w:r>
    </w:p>
    <w:p w:rsidR="0037474D" w:rsidRDefault="0037474D" w:rsidP="0037474D">
      <w:pPr>
        <w:numPr>
          <w:ilvl w:val="0"/>
          <w:numId w:val="19"/>
        </w:numPr>
        <w:spacing w:before="100" w:beforeAutospacing="1" w:after="100" w:afterAutospacing="1" w:line="240" w:lineRule="auto"/>
        <w:jc w:val="both"/>
      </w:pPr>
      <w:r>
        <w:t xml:space="preserve">à la société </w:t>
      </w:r>
      <w:proofErr w:type="spellStart"/>
      <w:r>
        <w:t>Gedimat</w:t>
      </w:r>
      <w:proofErr w:type="spellEnd"/>
      <w:r>
        <w:t xml:space="preserve"> </w:t>
      </w:r>
      <w:proofErr w:type="spellStart"/>
      <w:r>
        <w:t>Anchetti</w:t>
      </w:r>
      <w:proofErr w:type="spellEnd"/>
      <w:r>
        <w:t>, 150 000 euros.</w:t>
      </w:r>
    </w:p>
    <w:p w:rsidR="0037474D" w:rsidRDefault="0037474D" w:rsidP="0037474D">
      <w:pPr>
        <w:pStyle w:val="NormalWeb"/>
        <w:jc w:val="both"/>
      </w:pPr>
      <w:r>
        <w:br/>
        <w:t>(1) Protocole d'accord du 6 mai 1999</w:t>
      </w:r>
      <w:r>
        <w:br/>
        <w:t>(2) Convention de subdélégation du 8 novembre 1994</w:t>
      </w:r>
    </w:p>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865B9A" w:rsidRDefault="00865B9A" w:rsidP="0037474D">
      <w:pPr>
        <w:jc w:val="center"/>
        <w:rPr>
          <w:lang w:val="en-US"/>
        </w:rPr>
      </w:pPr>
      <w:r w:rsidRPr="00865B9A">
        <w:rPr>
          <w:lang w:val="en-US"/>
        </w:rPr>
        <w:lastRenderedPageBreak/>
        <w:t>08-MC-01</w:t>
      </w:r>
    </w:p>
    <w:p w:rsidR="0037474D" w:rsidRDefault="0037474D" w:rsidP="00865B9A">
      <w:pPr>
        <w:rPr>
          <w:lang w:val="en-US"/>
        </w:rPr>
      </w:pPr>
    </w:p>
    <w:p w:rsidR="0037474D" w:rsidRDefault="0037474D" w:rsidP="0037474D">
      <w:pPr>
        <w:pStyle w:val="Titre4"/>
      </w:pPr>
      <w:r>
        <w:t>17 décembre 2008 : Décision du Conseil de la concurrence sur le contrat d'exclusivité Orange / Apple pour la commercialisation de l'</w:t>
      </w:r>
      <w:proofErr w:type="spellStart"/>
      <w:r>
        <w:t>iPhone</w:t>
      </w:r>
      <w:proofErr w:type="spellEnd"/>
    </w:p>
    <w:p w:rsidR="0037474D" w:rsidRDefault="0037474D" w:rsidP="0037474D">
      <w:pPr>
        <w:pStyle w:val="NormalWeb"/>
        <w:jc w:val="center"/>
      </w:pPr>
      <w:r>
        <w:rPr>
          <w:rStyle w:val="bold"/>
        </w:rPr>
        <w:t>L'</w:t>
      </w:r>
      <w:proofErr w:type="spellStart"/>
      <w:r>
        <w:rPr>
          <w:rStyle w:val="bold"/>
        </w:rPr>
        <w:t>iPhone</w:t>
      </w:r>
      <w:proofErr w:type="spellEnd"/>
      <w:r>
        <w:rPr>
          <w:rStyle w:val="bold"/>
        </w:rPr>
        <w:t xml:space="preserve"> ne pourra pas être réservé aux abonnés d'Orange</w:t>
      </w:r>
    </w:p>
    <w:p w:rsidR="0037474D" w:rsidRDefault="0037474D" w:rsidP="0037474D">
      <w:pPr>
        <w:pStyle w:val="NormalWeb"/>
        <w:jc w:val="right"/>
      </w:pPr>
      <w:hyperlink r:id="rId15" w:history="1">
        <w:r>
          <w:rPr>
            <w:rStyle w:val="italic"/>
            <w:color w:val="0000FF"/>
            <w:u w:val="single"/>
          </w:rPr>
          <w:t>&gt; English version</w:t>
        </w:r>
      </w:hyperlink>
      <w:r>
        <w:t> </w:t>
      </w:r>
      <w:r>
        <w:rPr>
          <w:noProof/>
        </w:rPr>
        <w:drawing>
          <wp:inline distT="0" distB="0" distL="0" distR="0">
            <wp:extent cx="152400" cy="114300"/>
            <wp:effectExtent l="19050" t="0" r="0" b="0"/>
            <wp:docPr id="15" name="Image 15"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37474D" w:rsidRDefault="0037474D" w:rsidP="0037474D">
      <w:pPr>
        <w:pStyle w:val="NormalWeb"/>
      </w:pPr>
      <w:r>
        <w:br/>
        <w:t>Le Conseil de la concurrence a été saisi en septembre 2008 par Bouygues Télécom d'une plainte au fond assortie d'une demande de mesures conservatoires, à l'encontre de pratiques mises en œuvre par Orange et Apple pour la commercialisation de l'</w:t>
      </w:r>
      <w:proofErr w:type="spellStart"/>
      <w:r>
        <w:t>iPhone</w:t>
      </w:r>
      <w:proofErr w:type="spellEnd"/>
      <w:r>
        <w:t xml:space="preserve"> en France. Le plaignant a mis en cause le partenariat négocié entre Apple et Orange, qui fait d'Orange l'opérateur de réseau et le grossiste exclusif pour l'</w:t>
      </w:r>
      <w:proofErr w:type="spellStart"/>
      <w:r>
        <w:t>iPhone</w:t>
      </w:r>
      <w:proofErr w:type="spellEnd"/>
      <w:r>
        <w:t xml:space="preserve"> en France.</w:t>
      </w:r>
    </w:p>
    <w:p w:rsidR="0037474D" w:rsidRDefault="0037474D" w:rsidP="0037474D">
      <w:pPr>
        <w:pStyle w:val="NormalWeb"/>
      </w:pPr>
      <w:r>
        <w:rPr>
          <w:rStyle w:val="bold"/>
        </w:rPr>
        <w:t>L'exclusivité d'Orange sur l'</w:t>
      </w:r>
      <w:proofErr w:type="spellStart"/>
      <w:r>
        <w:rPr>
          <w:rStyle w:val="bold"/>
        </w:rPr>
        <w:t>iPhone</w:t>
      </w:r>
      <w:proofErr w:type="spellEnd"/>
      <w:r>
        <w:rPr>
          <w:rStyle w:val="bold"/>
        </w:rPr>
        <w:t xml:space="preserve"> est de nature à introduire un nouveau facteur de rigidité dans un secteur qui souffre déjà d'un déficit de concurrence</w:t>
      </w:r>
    </w:p>
    <w:p w:rsidR="0037474D" w:rsidRDefault="0037474D" w:rsidP="0037474D">
      <w:pPr>
        <w:pStyle w:val="NormalWeb"/>
      </w:pPr>
      <w:r>
        <w:t>Le Conseil de la concurrence, comme l'ARCEP et la Commission européenne, ont déjà à plusieurs reprises eu l'occasion de déplorer un déficit de concurrence sur le marché de la téléphonie mobile du fait notamment du petit nombre d'opérateurs sur ce marché, de la prépondérance des offres avec engagements de durée, de l'existence de programmes de fidélisation et du faible essor des opérateurs virtuels (MVNO).</w:t>
      </w:r>
    </w:p>
    <w:p w:rsidR="0037474D" w:rsidRDefault="0037474D" w:rsidP="0037474D">
      <w:pPr>
        <w:pStyle w:val="NormalWeb"/>
      </w:pPr>
      <w:r>
        <w:t>Or, au moment où le développement de l'Internet mobile et le lancement d'offres illimitées d'échange de données par les opérateurs pourraient animer le marché, l'exclusivité d'Orange sur l'</w:t>
      </w:r>
      <w:proofErr w:type="spellStart"/>
      <w:r>
        <w:t>iPhone</w:t>
      </w:r>
      <w:proofErr w:type="spellEnd"/>
      <w:r>
        <w:t xml:space="preserve"> est de nature à introduire un nouveau facteur de rigidité ciblé sur ce segment du marché. Le Conseil constate dans sa décision que l'exclusivité accordée par Apple au premier opérateur mobile français porte sur une période très longue (cinq ans, même si Apple peut mettre fin au contrat au bout de trois ans) et concerne non seulement les modèles d'</w:t>
      </w:r>
      <w:proofErr w:type="spellStart"/>
      <w:r>
        <w:t>iPhone</w:t>
      </w:r>
      <w:proofErr w:type="spellEnd"/>
      <w:r>
        <w:t xml:space="preserve"> déjà en vente mais aussi ceux qui pourront être mis sur le marché au cours de la durée du contrat. Elle est de plus verrouillée par les obstacles mis à la vente d'</w:t>
      </w:r>
      <w:proofErr w:type="spellStart"/>
      <w:r>
        <w:t>iPhone</w:t>
      </w:r>
      <w:proofErr w:type="spellEnd"/>
      <w:r>
        <w:t xml:space="preserve"> « nus ».</w:t>
      </w:r>
    </w:p>
    <w:p w:rsidR="0037474D" w:rsidRDefault="0037474D" w:rsidP="0037474D">
      <w:pPr>
        <w:pStyle w:val="NormalWeb"/>
      </w:pPr>
      <w:r>
        <w:t xml:space="preserve">L'annonce récente par SFR de la conclusion de partenariats avec deux constructeurs, </w:t>
      </w:r>
      <w:proofErr w:type="spellStart"/>
      <w:r>
        <w:t>Blackberry</w:t>
      </w:r>
      <w:proofErr w:type="spellEnd"/>
      <w:r>
        <w:t xml:space="preserve"> et HTC, ne conduit pas le Conseil à relativiser les effets de l'exclusivité d'Orange sur le marché. En effet, cette riposte confirmerait le risque d'effets cumulatifs du type de partenariat mis en cause.</w:t>
      </w:r>
    </w:p>
    <w:p w:rsidR="0037474D" w:rsidRDefault="0037474D" w:rsidP="0037474D">
      <w:pPr>
        <w:pStyle w:val="NormalWeb"/>
      </w:pPr>
      <w:r>
        <w:rPr>
          <w:rStyle w:val="bold"/>
        </w:rPr>
        <w:t>Une telle exclusivité accroît encore les coûts de changement d'opérateur mobile pour les consommateurs</w:t>
      </w:r>
    </w:p>
    <w:p w:rsidR="0037474D" w:rsidRDefault="0037474D" w:rsidP="0037474D">
      <w:pPr>
        <w:pStyle w:val="NormalWeb"/>
      </w:pPr>
      <w:r>
        <w:t>Alors qu'en dépit des mesures prises en faveur de la portabilité, il est toujours difficile pour les consommateurs de changer d'opérateur mobile - beaucoup d'entre eux étant engagés pour des durées de 12 voire 24 mois et fidélisés par des programmes spécifiques - une exclusivité durable des opérateurs sur certains modèles très demandés ajouterait en effet un autre obstacle au changement d'opérateur. S'agissant de terminaux comme l'</w:t>
      </w:r>
      <w:proofErr w:type="spellStart"/>
      <w:r>
        <w:t>iPhone</w:t>
      </w:r>
      <w:proofErr w:type="spellEnd"/>
      <w:r>
        <w:t xml:space="preserve">, la captivité des </w:t>
      </w:r>
      <w:r>
        <w:lastRenderedPageBreak/>
        <w:t>consommateurs est aggravée par les problèmes d'interopérabilité qui rendent difficile la migration des données vers d'autres marques de téléphone.</w:t>
      </w:r>
    </w:p>
    <w:p w:rsidR="0037474D" w:rsidRDefault="0037474D" w:rsidP="0037474D">
      <w:pPr>
        <w:pStyle w:val="NormalWeb"/>
      </w:pPr>
      <w:r>
        <w:t>Pour le Conseil, une telle évolution aurait pour effet de réduire encore la concurrence sur les prix, sur la qualité des réseaux, des infrastructures et des services clients, les opérateurs portant surtout leurs efforts de différenciation sur les terminaux qu'ils sont en mesure d'offrir. Ce type de concurrence favoriserait de plus les réseaux comptant le plus d'abonnés qui seraient alors choisis par les constructeurs pour la commercialisation de leurs modèles les plus attractifs.</w:t>
      </w:r>
    </w:p>
    <w:p w:rsidR="0037474D" w:rsidRDefault="0037474D" w:rsidP="0037474D">
      <w:pPr>
        <w:pStyle w:val="NormalWeb"/>
      </w:pPr>
      <w:r>
        <w:rPr>
          <w:rStyle w:val="bold"/>
        </w:rPr>
        <w:t>Des mesures conservatoires pour donner aux autres opérateurs la possibilité de commercialiser l'</w:t>
      </w:r>
      <w:proofErr w:type="spellStart"/>
      <w:r>
        <w:rPr>
          <w:rStyle w:val="bold"/>
        </w:rPr>
        <w:t>iPhone</w:t>
      </w:r>
      <w:proofErr w:type="spellEnd"/>
    </w:p>
    <w:p w:rsidR="0037474D" w:rsidRDefault="0037474D" w:rsidP="0037474D">
      <w:pPr>
        <w:pStyle w:val="NormalWeb"/>
      </w:pPr>
      <w:r>
        <w:t xml:space="preserve">Considérant que l'exclusivité, dans les conditions où elle a été négociée, était, à ce stade de l'instruction, susceptible d'être prohibée par les règles communautaires et nationales de concurrence et de nature à porter une atteinte grave et immédiate à la concurrence sur le marché des mobiles et aux consommateurs, le Conseil a décidé de prononcer des mesures conservatoires dans l'attente de sa décision au fond. L'injonction prononcée vise à ce que les produits </w:t>
      </w:r>
      <w:proofErr w:type="spellStart"/>
      <w:r>
        <w:t>iPhone</w:t>
      </w:r>
      <w:proofErr w:type="spellEnd"/>
      <w:r>
        <w:t xml:space="preserve"> ne soient plus exclusivement commercialisés par Orange mais puissent l'être par tout autre opérateur souhaitant bâtir une offre avec ce terminal.</w:t>
      </w:r>
    </w:p>
    <w:p w:rsidR="0037474D" w:rsidRDefault="0037474D" w:rsidP="0037474D">
      <w:pPr>
        <w:pStyle w:val="NormalWeb"/>
      </w:pPr>
      <w:r>
        <w:t>Ces mesures d'urgence remettent en cause non seulement l'exclusivité dont bénéficie Orange en tant qu'opérateur de réseau mais également celle dont il bénéficie en tant que grossiste pour la distribution de l'</w:t>
      </w:r>
      <w:proofErr w:type="spellStart"/>
      <w:r>
        <w:t>iPhone</w:t>
      </w:r>
      <w:proofErr w:type="spellEnd"/>
      <w:r>
        <w:t>, ainsi que les dispositions du contrat type de distribution d'Apple qui obligeait tout candidat distributeur de l'</w:t>
      </w:r>
      <w:proofErr w:type="spellStart"/>
      <w:r>
        <w:t>iPhone</w:t>
      </w:r>
      <w:proofErr w:type="spellEnd"/>
      <w:r>
        <w:t xml:space="preserve"> à ne le distribuer qu'associé aux services Orange. Elles prennent effet dès la notification de la décision.</w:t>
      </w: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37474D" w:rsidRDefault="0037474D" w:rsidP="00865B9A">
      <w:pPr>
        <w:rPr>
          <w:lang w:val="en-US"/>
        </w:rPr>
      </w:pPr>
    </w:p>
    <w:p w:rsidR="00C16F54" w:rsidRDefault="00C16F54" w:rsidP="00865B9A">
      <w:pPr>
        <w:rPr>
          <w:lang w:val="en-US"/>
        </w:rPr>
      </w:pPr>
    </w:p>
    <w:p w:rsidR="0037474D" w:rsidRDefault="0037474D" w:rsidP="00865B9A">
      <w:pPr>
        <w:rPr>
          <w:lang w:val="en-US"/>
        </w:rPr>
      </w:pPr>
    </w:p>
    <w:p w:rsidR="0037474D" w:rsidRDefault="0037474D" w:rsidP="00865B9A">
      <w:pPr>
        <w:rPr>
          <w:lang w:val="en-US"/>
        </w:rPr>
      </w:pPr>
    </w:p>
    <w:p w:rsidR="00865B9A" w:rsidRDefault="00865B9A" w:rsidP="0037474D">
      <w:pPr>
        <w:jc w:val="center"/>
        <w:rPr>
          <w:lang w:val="en-US"/>
        </w:rPr>
      </w:pPr>
      <w:r w:rsidRPr="00865B9A">
        <w:rPr>
          <w:lang w:val="en-US"/>
        </w:rPr>
        <w:lastRenderedPageBreak/>
        <w:t>07-D-33</w:t>
      </w:r>
    </w:p>
    <w:p w:rsidR="0037474D" w:rsidRDefault="0037474D" w:rsidP="0037474D">
      <w:pPr>
        <w:pStyle w:val="Titre4"/>
      </w:pPr>
      <w:r>
        <w:t>15 octobre 2007 : Marché de l'accès à internet haut débit</w:t>
      </w:r>
    </w:p>
    <w:p w:rsidR="0037474D" w:rsidRDefault="0037474D" w:rsidP="0037474D">
      <w:pPr>
        <w:pStyle w:val="NormalWeb"/>
        <w:jc w:val="center"/>
      </w:pPr>
      <w:r>
        <w:rPr>
          <w:rStyle w:val="bold"/>
        </w:rPr>
        <w:t>A la suite d'une transaction avec l'entreprise, le Conseil de la concurrence sanctionne France Télécom à hauteur de 45 millions d'euros pour avoir entravé le développement des fournisseurs d'accès concurrents de sa filiale Wanadoo</w:t>
      </w:r>
    </w:p>
    <w:p w:rsidR="0037474D" w:rsidRDefault="0037474D" w:rsidP="0037474D">
      <w:pPr>
        <w:pStyle w:val="NormalWeb"/>
        <w:jc w:val="right"/>
      </w:pPr>
      <w:hyperlink r:id="rId16" w:history="1">
        <w:r>
          <w:rPr>
            <w:rStyle w:val="Lienhypertexte"/>
          </w:rPr>
          <w:t>&gt;English version</w:t>
        </w:r>
      </w:hyperlink>
      <w:r>
        <w:t xml:space="preserve"> </w:t>
      </w:r>
      <w:r>
        <w:rPr>
          <w:noProof/>
        </w:rPr>
        <w:drawing>
          <wp:inline distT="0" distB="0" distL="0" distR="0">
            <wp:extent cx="152400" cy="114300"/>
            <wp:effectExtent l="19050" t="0" r="0" b="0"/>
            <wp:docPr id="17" name="Image 17"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37474D" w:rsidRDefault="0037474D" w:rsidP="0037474D">
      <w:pPr>
        <w:pStyle w:val="NormalWeb"/>
      </w:pPr>
      <w:r>
        <w:br/>
        <w:t xml:space="preserve">Saisi par les sociétés T-Online en novembre 2001 et Liberty Surf en février 2002, qui se sont ultérieurement désisté de leur plainte, puis s'étant </w:t>
      </w:r>
      <w:proofErr w:type="spellStart"/>
      <w:r>
        <w:t>auto-saisi</w:t>
      </w:r>
      <w:proofErr w:type="spellEnd"/>
      <w:r>
        <w:t xml:space="preserve"> en juillet 2005, le Conseil de la concurrence vient de rendre une décision dans laquelle il sanctionne France Télécom pour avoir abusé de sa position dominante sur le marché de la boucle locale en favorisant la commercialisation des services d'accès à internet par l'ADSL de sa filiale Wanadoo au détriment du développement des FAI concurrents.</w:t>
      </w:r>
    </w:p>
    <w:p w:rsidR="0037474D" w:rsidRDefault="0037474D" w:rsidP="0037474D">
      <w:pPr>
        <w:pStyle w:val="NormalWeb"/>
      </w:pPr>
      <w:r>
        <w:t>Cette décision vient clore une série d'injonctions prononcées à titre conservatoire et de décisions de fond par lesquelles le Conseil et la Commission européenne ont sanctionné l'opérateur historique pour des pratiques visant à préempter au début des années 2000, le marché alors émergent de l'accès à Internet haut débit par l'ADSL (1), au profit de sa filiale Wanadoo.</w:t>
      </w:r>
    </w:p>
    <w:p w:rsidR="0037474D" w:rsidRDefault="0037474D" w:rsidP="0037474D">
      <w:pPr>
        <w:pStyle w:val="NormalWeb"/>
      </w:pPr>
      <w:r>
        <w:t>Grâce notamment à l'action de l'autorité de concurrence et du régulateur, le marché français de l'internet haut débit compte aujourd'hui parmi les plus concurrentiels en Europe, comme en témoigne le nombre important d'opérateurs en présence et la vive concurrence qui s'exerce entre eux sur les prix et les services offerts au consommateur.</w:t>
      </w:r>
    </w:p>
    <w:p w:rsidR="0037474D" w:rsidRDefault="0037474D" w:rsidP="0037474D">
      <w:pPr>
        <w:pStyle w:val="NormalWeb"/>
      </w:pPr>
      <w:r>
        <w:rPr>
          <w:rStyle w:val="bold"/>
        </w:rPr>
        <w:t>Les pratiques reprochées à France Télécom</w:t>
      </w:r>
    </w:p>
    <w:p w:rsidR="0037474D" w:rsidRDefault="0037474D" w:rsidP="0037474D">
      <w:pPr>
        <w:pStyle w:val="NormalWeb"/>
      </w:pPr>
      <w:r>
        <w:t>De janvier 2001 jusqu'à la fin du premier semestre 2002, France Télécom a mis en œuvre des pratiques de discrimination à l'encontre des concurrents de sa filiale Wanadoo :</w:t>
      </w:r>
    </w:p>
    <w:p w:rsidR="0037474D" w:rsidRDefault="0037474D" w:rsidP="0037474D">
      <w:pPr>
        <w:numPr>
          <w:ilvl w:val="0"/>
          <w:numId w:val="20"/>
        </w:numPr>
        <w:spacing w:before="100" w:beforeAutospacing="1" w:after="100" w:afterAutospacing="1" w:line="240" w:lineRule="auto"/>
      </w:pPr>
      <w:r>
        <w:t xml:space="preserve">en mettant à la disposition des FAI alternatifs (et de leurs distributeurs) des informations relatives à </w:t>
      </w:r>
      <w:r>
        <w:rPr>
          <w:u w:val="single"/>
        </w:rPr>
        <w:t>l'éligibilité des lignes à l'ADSL moins actualisées et moins précises</w:t>
      </w:r>
      <w:r>
        <w:t xml:space="preserve"> que celles dont disposaient les agents commerciaux de France Télécom pour la commercialisation des packs Wanadoo ainsi qu'</w:t>
      </w:r>
      <w:r>
        <w:rPr>
          <w:u w:val="single"/>
        </w:rPr>
        <w:t>en ne mettant pas en place un système de commande d'une ligne ADSL aussi direct et rapide</w:t>
      </w:r>
      <w:r>
        <w:t xml:space="preserve"> que celui dont disposait les agents commerciaux de France Télécom pour la commercialisation des packs Wanadoo.</w:t>
      </w:r>
    </w:p>
    <w:p w:rsidR="0037474D" w:rsidRDefault="0037474D" w:rsidP="0037474D">
      <w:pPr>
        <w:pStyle w:val="NormalWeb"/>
      </w:pPr>
      <w:r>
        <w:t>Par ailleurs, certains éléments du dossier montrent que France Télécom a également :</w:t>
      </w:r>
    </w:p>
    <w:p w:rsidR="0037474D" w:rsidRDefault="0037474D" w:rsidP="0037474D">
      <w:pPr>
        <w:numPr>
          <w:ilvl w:val="0"/>
          <w:numId w:val="21"/>
        </w:numPr>
        <w:spacing w:before="100" w:beforeAutospacing="1" w:after="100" w:afterAutospacing="1" w:line="240" w:lineRule="auto"/>
      </w:pPr>
      <w:r>
        <w:t xml:space="preserve">invité ses agents commerciaux à </w:t>
      </w:r>
      <w:r>
        <w:rPr>
          <w:u w:val="single"/>
        </w:rPr>
        <w:t>dénigrer les FAI concurrents</w:t>
      </w:r>
      <w:r>
        <w:t xml:space="preserve"> de sa filiale Wanadoo. </w:t>
      </w:r>
      <w:r>
        <w:br/>
      </w:r>
      <w:r>
        <w:br/>
        <w:t> </w:t>
      </w:r>
    </w:p>
    <w:p w:rsidR="0037474D" w:rsidRDefault="0037474D" w:rsidP="0037474D">
      <w:pPr>
        <w:numPr>
          <w:ilvl w:val="0"/>
          <w:numId w:val="21"/>
        </w:numPr>
        <w:spacing w:before="100" w:beforeAutospacing="1" w:after="100" w:afterAutospacing="1" w:line="240" w:lineRule="auto"/>
      </w:pPr>
      <w:r>
        <w:rPr>
          <w:u w:val="single"/>
        </w:rPr>
        <w:t>utilisé des données qu'elle seule détenait en tant que propriétaire et exploitant de la boucle locale</w:t>
      </w:r>
      <w:r>
        <w:t>, dans le but de faciliter la commercialisation de services d'accès à Internet de sa filiale Wanadoo.</w:t>
      </w:r>
    </w:p>
    <w:p w:rsidR="0037474D" w:rsidRDefault="0037474D" w:rsidP="0037474D">
      <w:pPr>
        <w:pStyle w:val="NormalWeb"/>
      </w:pPr>
      <w:r>
        <w:lastRenderedPageBreak/>
        <w:br/>
      </w:r>
      <w:r>
        <w:rPr>
          <w:rStyle w:val="bold"/>
        </w:rPr>
        <w:t>La prise en compte de la réitération des pratiques a conduit en l'espèce le Conseil de la concurrence à majorer de 50 % le montant de la sanction encourue</w:t>
      </w:r>
    </w:p>
    <w:p w:rsidR="0037474D" w:rsidRDefault="0037474D" w:rsidP="0037474D">
      <w:pPr>
        <w:pStyle w:val="NormalWeb"/>
      </w:pPr>
      <w:r>
        <w:t>La loi du 15 mai 2001 a expressément fait de la réitération un déterminant des sanctions pécuniaires prononcées par le Conseil. A cet égard, le Conseil a relevé un certain nombre de décisions sanctionnant, avant les faits décrits plus haut, des pratiques anticoncurrentielles similaires mises en œuvre par France Télécom avec une régularité tout à fait singulière : 1994 (</w:t>
      </w:r>
      <w:hyperlink r:id="rId17" w:history="1">
        <w:r>
          <w:rPr>
            <w:rStyle w:val="Lienhypertexte"/>
          </w:rPr>
          <w:t>94-D-21</w:t>
        </w:r>
      </w:hyperlink>
      <w:r>
        <w:t>), 1997 (</w:t>
      </w:r>
      <w:hyperlink r:id="rId18" w:history="1">
        <w:r>
          <w:rPr>
            <w:rStyle w:val="Lienhypertexte"/>
          </w:rPr>
          <w:t>97-D-53</w:t>
        </w:r>
      </w:hyperlink>
      <w:r>
        <w:t>), 1999 (arrêt de la cour d'appel du 29 juin) et 2001 (</w:t>
      </w:r>
      <w:hyperlink r:id="rId19" w:history="1">
        <w:r>
          <w:rPr>
            <w:rStyle w:val="Lienhypertexte"/>
          </w:rPr>
          <w:t>01-D-46).</w:t>
        </w:r>
      </w:hyperlink>
    </w:p>
    <w:p w:rsidR="0037474D" w:rsidRDefault="0037474D" w:rsidP="0037474D">
      <w:pPr>
        <w:pStyle w:val="NormalWeb"/>
      </w:pPr>
      <w:r>
        <w:t>Eu égard à l'objectif de dissuasion que poursuit sa politique de sanctions, il a considéré qu'il y avait lieu d'accroître la sanction encourue de 50 % au titre de la réitération.</w:t>
      </w:r>
    </w:p>
    <w:p w:rsidR="0037474D" w:rsidRDefault="0037474D" w:rsidP="0037474D">
      <w:pPr>
        <w:pStyle w:val="NormalWeb"/>
      </w:pPr>
      <w:r>
        <w:rPr>
          <w:rStyle w:val="bold"/>
        </w:rPr>
        <w:t>France Télécom a souhaité bénéficier de la procédure de transaction prévue par la loi NRE du 15 mai 2001: elle n'a pas contesté les faits qui lui sont reprochés et a pris des engagements pour l'avenir ; elle a obtenu en contrepartie une réduction de 25%</w:t>
      </w:r>
    </w:p>
    <w:p w:rsidR="0037474D" w:rsidRDefault="0037474D" w:rsidP="0037474D">
      <w:pPr>
        <w:pStyle w:val="NormalWeb"/>
      </w:pPr>
      <w:r>
        <w:t>France Télécom n'a pas contesté ni les faits ni leur qualification d'abus de position dominante.</w:t>
      </w:r>
    </w:p>
    <w:p w:rsidR="0037474D" w:rsidRDefault="0037474D" w:rsidP="0037474D">
      <w:pPr>
        <w:pStyle w:val="NormalWeb"/>
      </w:pPr>
      <w:r>
        <w:t>Par ailleurs, l'entreprise s'est engagée à mettre en place un dispositif de surveillance permettant d'identifier dans le système de gestion des réclamations des consommateurs les plaintes spécifiquement liées à l'existence d'actes ou de pratiques litigieuses relevant du droit de la concurrence. Elle s'est également engagée à mettre en œuvre des actions correctives, tant au niveau individuel (entretien, formation, sanction) que collectif (diffusion de consignes, rappel des règles). Ce dispositif sera complété et renforcé par des actions de formation et d'information en droit de la concurrence adressées aux réseaux de vente et par l'intégration dans le programme des écoles internes de formation des vendeurs d'un module sensibilisant aux principes et règles de concurrence.</w:t>
      </w:r>
    </w:p>
    <w:p w:rsidR="0037474D" w:rsidRDefault="0037474D" w:rsidP="0037474D">
      <w:pPr>
        <w:pStyle w:val="NormalWeb"/>
      </w:pPr>
      <w:r>
        <w:t>Compte tenu de l'ensemble de ces éléments, le Conseil a réduit de 25% la sanction prononcée.</w:t>
      </w:r>
    </w:p>
    <w:p w:rsidR="0037474D" w:rsidRDefault="0037474D" w:rsidP="0037474D">
      <w:pPr>
        <w:pStyle w:val="NormalWeb"/>
      </w:pPr>
      <w:r>
        <w:t>Il faut espérer que cette affaire, portant sur des faits maintenant anciens, est la dernière d'une longue série : elle traduit un changement de comportement de France Télécom qui devra, notamment, l'expliquer auprès de ses salariés.</w:t>
      </w:r>
    </w:p>
    <w:p w:rsidR="0037474D" w:rsidRDefault="0037474D" w:rsidP="0037474D">
      <w:pPr>
        <w:pStyle w:val="NormalWeb"/>
      </w:pPr>
      <w:r>
        <w:br/>
        <w:t xml:space="preserve">(1) Décisions </w:t>
      </w:r>
      <w:hyperlink r:id="rId20" w:history="1">
        <w:r>
          <w:rPr>
            <w:rStyle w:val="Lienhypertexte"/>
          </w:rPr>
          <w:t>02-MC-03</w:t>
        </w:r>
      </w:hyperlink>
      <w:r>
        <w:t xml:space="preserve"> du 27 février 2002 du Conseil de la concurrence, relative à une demande de mesures conservatoires présentée par la société T-Online France et </w:t>
      </w:r>
      <w:hyperlink r:id="rId21" w:history="1">
        <w:r>
          <w:rPr>
            <w:rStyle w:val="Lienhypertexte"/>
          </w:rPr>
          <w:t>00-MC-01</w:t>
        </w:r>
      </w:hyperlink>
      <w:r>
        <w:t xml:space="preserve"> du 18 février 2000, relative à une demande de mesures conservatoires présentée par la société 9 Télécom Réseau ; Décision </w:t>
      </w:r>
      <w:hyperlink r:id="rId22" w:history="1">
        <w:r>
          <w:rPr>
            <w:rStyle w:val="Lienhypertexte"/>
          </w:rPr>
          <w:t>05-D-59</w:t>
        </w:r>
      </w:hyperlink>
      <w:r>
        <w:t xml:space="preserve"> du Conseil de la concurrence du 7 novembre 2005, infligeant à France Télécom une amende de 80 millions d'euros ; Décision </w:t>
      </w:r>
      <w:hyperlink r:id="rId23" w:history="1">
        <w:r>
          <w:rPr>
            <w:rStyle w:val="Lienhypertexte"/>
          </w:rPr>
          <w:t>04-D-18</w:t>
        </w:r>
      </w:hyperlink>
      <w:r>
        <w:t xml:space="preserve"> du 13 mai 2004 du Conseil de la concurrence, sanctionnant France Télécom à hauteur de 20 M€ (sanction portée à 40 M€ par la cour d'appel de Paris) pour l'inexécution d'une injonction prononcée par le Conseil dans la décision </w:t>
      </w:r>
      <w:hyperlink r:id="rId24" w:history="1">
        <w:r>
          <w:rPr>
            <w:rStyle w:val="Lienhypertexte"/>
          </w:rPr>
          <w:t>00-MC-01</w:t>
        </w:r>
      </w:hyperlink>
      <w:r>
        <w:t xml:space="preserve"> du 18 février 2000 ; Décision de la Commission européenne du 16 juillet 2003 sanctionnant la société Wanadoo à hauteur de 10,35 millions d'euros pour le caractère prédateur des prix des packs </w:t>
      </w:r>
      <w:proofErr w:type="spellStart"/>
      <w:r>
        <w:t>eXtense</w:t>
      </w:r>
      <w:proofErr w:type="spellEnd"/>
      <w:r>
        <w:t>.</w:t>
      </w:r>
    </w:p>
    <w:p w:rsidR="0037474D" w:rsidRDefault="0037474D" w:rsidP="00865B9A"/>
    <w:p w:rsidR="0037474D" w:rsidRPr="0037474D" w:rsidRDefault="0037474D" w:rsidP="00865B9A"/>
    <w:p w:rsidR="00865B9A" w:rsidRDefault="00865B9A" w:rsidP="0037474D">
      <w:pPr>
        <w:jc w:val="center"/>
        <w:rPr>
          <w:lang w:val="en-US"/>
        </w:rPr>
      </w:pPr>
      <w:r w:rsidRPr="00865B9A">
        <w:rPr>
          <w:lang w:val="en-US"/>
        </w:rPr>
        <w:lastRenderedPageBreak/>
        <w:t>05-D-59</w:t>
      </w:r>
    </w:p>
    <w:p w:rsidR="0037474D" w:rsidRDefault="0037474D" w:rsidP="0037474D">
      <w:pPr>
        <w:pStyle w:val="Titre4"/>
      </w:pPr>
      <w:r>
        <w:t>8 novembre 2005 : Internet haut débit par ADSL - Le Conseil de la concurrence inflige à France Télécom une sanction pécuniaire de 80 millions d'euros pour abus de position dominante</w:t>
      </w:r>
    </w:p>
    <w:tbl>
      <w:tblPr>
        <w:tblW w:w="9000" w:type="dxa"/>
        <w:tblCellSpacing w:w="15" w:type="dxa"/>
        <w:tblCellMar>
          <w:top w:w="15" w:type="dxa"/>
          <w:left w:w="15" w:type="dxa"/>
          <w:bottom w:w="15" w:type="dxa"/>
          <w:right w:w="15" w:type="dxa"/>
        </w:tblCellMar>
        <w:tblLook w:val="04A0"/>
      </w:tblPr>
      <w:tblGrid>
        <w:gridCol w:w="9000"/>
      </w:tblGrid>
      <w:tr w:rsidR="0037474D" w:rsidTr="0037474D">
        <w:trPr>
          <w:tblCellSpacing w:w="15" w:type="dxa"/>
        </w:trPr>
        <w:tc>
          <w:tcPr>
            <w:tcW w:w="0" w:type="auto"/>
            <w:vAlign w:val="center"/>
            <w:hideMark/>
          </w:tcPr>
          <w:p w:rsidR="0037474D" w:rsidRDefault="0037474D">
            <w:pPr>
              <w:pStyle w:val="right"/>
            </w:pPr>
            <w:hyperlink r:id="rId25" w:history="1">
              <w:r>
                <w:rPr>
                  <w:rStyle w:val="Lienhypertexte"/>
                </w:rPr>
                <w:t>&gt; English version</w:t>
              </w:r>
            </w:hyperlink>
            <w:r>
              <w:t xml:space="preserve"> </w:t>
            </w:r>
            <w:r>
              <w:rPr>
                <w:noProof/>
              </w:rPr>
              <w:drawing>
                <wp:inline distT="0" distB="0" distL="0" distR="0">
                  <wp:extent cx="152400" cy="114300"/>
                  <wp:effectExtent l="19050" t="0" r="0" b="0"/>
                  <wp:docPr id="19" name="Image 19"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37474D" w:rsidRDefault="0037474D">
            <w:pPr>
              <w:pStyle w:val="NormalWeb"/>
            </w:pPr>
            <w:r>
              <w:t xml:space="preserve">Saisi en novembre 1999 par la société Neuf Télécom qui se plaignait de pratiques mises en </w:t>
            </w:r>
            <w:proofErr w:type="spellStart"/>
            <w:r>
              <w:t>oeuvre</w:t>
            </w:r>
            <w:proofErr w:type="spellEnd"/>
            <w:r>
              <w:t xml:space="preserve"> par France Télécom sur le marché de gros de l'accès à Internet haut débit (ADSL), le Conseil de la concurrence a enjoint à France Télécom, en février 2000, de proposer une offre technique et commerciale de nature à permettre aux autres opérateurs d'exercer une concurrence effective sur ce marché. </w:t>
            </w:r>
            <w:r>
              <w:br/>
            </w:r>
            <w:r>
              <w:br/>
              <w:t>Constatant que cette injonction n'avait pas été respectée, le Conseil, en mai 2004, a sanctionné France Télécom à hauteur de 20 millions d'euros, amende qui a été doublée par la cour d'appel de Paris (voir encadré à la fin du communiqué).</w:t>
            </w:r>
            <w:r>
              <w:br/>
            </w:r>
            <w:r>
              <w:br/>
              <w:t xml:space="preserve">Statuant maintenant au fond, le Conseil de la concurrence vient de décider, au vu de la gravité des pratiques et de leur durée (1999-2002), d'imposer à France Télécom une sanction de 80 millions d'euros, pour avoir fermé à ses concurrents, jusqu'en octobre 2002, l'accès au marché de gros de l'Internet à haut débit par ADSL. </w:t>
            </w:r>
            <w:r>
              <w:br/>
            </w:r>
            <w:r>
              <w:br/>
            </w:r>
            <w:r>
              <w:rPr>
                <w:rStyle w:val="bold"/>
              </w:rPr>
              <w:t>France Télécom a opposé, en décembre 1999, un refus à la demande de Neuf Télécom concernant l'accès au marché de gros de l'Internet à haut débit.</w:t>
            </w:r>
            <w:r>
              <w:br/>
            </w:r>
            <w:r>
              <w:br/>
              <w:t>La technologie ADSL, lancée en 1999, a permis l'apparition de nouveaux marchés : fourniture d'accès à Internet haut débit par l'ADSL, transport du trafic ADSL entre les abonnés et les fournisseurs d'accès Internet (FAI) par les opérateurs. Toutefois, du fait du monopole détenu par France Télécom sur les lignes de cuivre (la boucle locale) reliant les abonnés au central téléphonique, et de l'absence de dégroupage effectif jusqu'en 2002 de cette boucle locale, les opérateurs concurrents de France Télécom qui désiraient offrir de telles prestations de transport aux FAI, étaient contraints d'acheter à France Télécom les prestations de gros leur permettant de prendre livraison du trafic ADSL en un point intermédiaire du réseau de l'opérateur historique.</w:t>
            </w:r>
            <w:r>
              <w:br/>
            </w:r>
            <w:r>
              <w:br/>
              <w:t>Le Conseil a constaté que France Télécom avait accepté d'offrir aux fournisseurs d'accès Internet (FAI) ces prestations de gros, à condition que ces prestations soient, de bout en bout, mises en forme dans ses installations (option 5), mais avait refusé aux opérateurs téléphoniques concurrents, notamment à Neuf Télécom, la possibilité de substituer, pour partie, leurs installations aux siennes propres selon les modalités prévues par l'option 3, les empêchant ainsi de faire des offres en gros aux FAI.</w:t>
            </w:r>
            <w:r>
              <w:br/>
            </w:r>
            <w:r>
              <w:br/>
            </w:r>
            <w:r>
              <w:rPr>
                <w:rStyle w:val="bold"/>
              </w:rPr>
              <w:t>Dans un second temps, France Télécom a accepté de laisser ses concurrents substituer leurs installations aux siennes (option 3), mais selon des dispositions tarifaires telles que ces concurrents ne pouvaient faire aux FAI des offres compétitives par rapport aux offres de l'option 5 proposée par France Télécom.</w:t>
            </w:r>
            <w:r>
              <w:br/>
            </w:r>
            <w:r>
              <w:br/>
              <w:t xml:space="preserve">Le Conseil constate encore que ce n'est qu'en septembre 2002 que l'option 3 a été offerte à des conditions tarifaires permettant aux opérateurs concurrents de bâtir des offres dans des conditions économiques acceptables, à destination des FAI, après que l'ART a obtenu des baisses de tarifs concomitantes sur l'ensemble des offres de France Télécom, options 3 et 5. </w:t>
            </w:r>
            <w:r>
              <w:br/>
            </w:r>
            <w:r>
              <w:lastRenderedPageBreak/>
              <w:br/>
              <w:t>Le Conseil a considéré que le refus opposé à Neuf Télécom, puis les conditions inadaptées proposées, constituaient un refus d'accès à l'infrastructure essentielle que constituent, en l'absence de dégroupage de la boucle locale, la boucle locale et les équipements situés entre cette boucle et les points de branchement de l'option 3.</w:t>
            </w:r>
            <w:r>
              <w:br/>
            </w:r>
            <w:r>
              <w:br/>
              <w:t>Ce refus d'accès à permis à France Télécom de rester l'unique offreur de prestations de transport du trafic Internet haut débit (ADSL) entre les abonnés et les FAI jusqu'en 2002, et a empêché l'entrée sur ce marché de concurrents potentiellement plus innovants et efficaces. Les FAI n'ont pu bénéficier d'une concurrence sur ce marché et donc de conditions techniques ou tarifaires plus intéressantes, dont ils auraient pu faire bénéficier les consommateurs.</w:t>
            </w:r>
            <w:r>
              <w:br/>
            </w:r>
            <w:r>
              <w:br/>
            </w:r>
            <w:r>
              <w:rPr>
                <w:rStyle w:val="bold"/>
              </w:rPr>
              <w:t xml:space="preserve">Le Conseil a considéré que ces pratiques étaient extrêmement graves et avaient causé un dommage important à l'économie. </w:t>
            </w:r>
            <w:r>
              <w:br/>
            </w:r>
            <w:r>
              <w:br/>
              <w:t xml:space="preserve">Le </w:t>
            </w:r>
            <w:proofErr w:type="gramStart"/>
            <w:r>
              <w:t>Conseil a</w:t>
            </w:r>
            <w:proofErr w:type="gramEnd"/>
            <w:r>
              <w:t xml:space="preserve"> estimé que les pratiques anticoncurrentielles de France Télécom :</w:t>
            </w:r>
          </w:p>
          <w:p w:rsidR="0037474D" w:rsidRDefault="0037474D" w:rsidP="0037474D">
            <w:pPr>
              <w:numPr>
                <w:ilvl w:val="0"/>
                <w:numId w:val="22"/>
              </w:numPr>
              <w:spacing w:before="100" w:beforeAutospacing="1" w:after="100" w:afterAutospacing="1" w:line="240" w:lineRule="auto"/>
            </w:pPr>
            <w:r>
              <w:t>ont conduit à la fermeture du marché de l'accès Internet à haut débit (ADSL) garantissant ainsi à France Télécom d'être le seul fournisseur en gros d'ADSL ;</w:t>
            </w:r>
          </w:p>
          <w:p w:rsidR="0037474D" w:rsidRDefault="0037474D" w:rsidP="0037474D">
            <w:pPr>
              <w:numPr>
                <w:ilvl w:val="0"/>
                <w:numId w:val="22"/>
              </w:numPr>
              <w:spacing w:before="100" w:beforeAutospacing="1" w:after="100" w:afterAutospacing="1" w:line="240" w:lineRule="auto"/>
            </w:pPr>
            <w:r>
              <w:t>ont duré près de trois ans, et ce, malgré les injonctions du Conseil et les avertissements donnés par l'ART (devenue ARCEP) entre janvier 2001 et octobre 2002 sur leur caractère anticoncurrentiel ;</w:t>
            </w:r>
          </w:p>
          <w:p w:rsidR="0037474D" w:rsidRDefault="0037474D" w:rsidP="0037474D">
            <w:pPr>
              <w:numPr>
                <w:ilvl w:val="0"/>
                <w:numId w:val="22"/>
              </w:numPr>
              <w:spacing w:before="100" w:beforeAutospacing="1" w:after="100" w:afterAutospacing="1" w:line="240" w:lineRule="auto"/>
            </w:pPr>
            <w:r>
              <w:t>sont le fait d'un opérateur historique verticalement intégré et détenteur d'une infrastructure essentielle nécessaire à la mise en place du haut débit par les concurrents. France Télécom était ainsi dans une position qui lui conférait une responsabilité particulière sur le marché du haut débit puisqu'elle pouvait en modifier unilatéralement la structure ;</w:t>
            </w:r>
          </w:p>
          <w:p w:rsidR="0037474D" w:rsidRDefault="0037474D" w:rsidP="0037474D">
            <w:pPr>
              <w:numPr>
                <w:ilvl w:val="0"/>
                <w:numId w:val="22"/>
              </w:numPr>
              <w:spacing w:before="100" w:beforeAutospacing="1" w:after="100" w:afterAutospacing="1" w:line="240" w:lineRule="auto"/>
            </w:pPr>
            <w:r>
              <w:t>ont eu lieu sur un marché naissant dont elles ont freiné le dynamisme.</w:t>
            </w:r>
          </w:p>
          <w:p w:rsidR="0037474D" w:rsidRDefault="0037474D">
            <w:pPr>
              <w:pStyle w:val="NormalWeb"/>
            </w:pPr>
            <w:r>
              <w:t xml:space="preserve">Dans le calcul de la sanction, le Conseil a retenu comme facteur atténuant l'amende déjà infligée à France Télécom pour le non respect d'injonction </w:t>
            </w:r>
            <w:proofErr w:type="spellStart"/>
            <w:r>
              <w:t>pré-cité</w:t>
            </w:r>
            <w:proofErr w:type="spellEnd"/>
            <w:r>
              <w:t>.</w:t>
            </w:r>
          </w:p>
          <w:p w:rsidR="0037474D" w:rsidRDefault="0037474D">
            <w:pPr>
              <w:pStyle w:val="NormalWeb"/>
            </w:pPr>
            <w:r>
              <w:t> </w:t>
            </w:r>
          </w:p>
        </w:tc>
      </w:tr>
      <w:tr w:rsidR="0037474D" w:rsidTr="0037474D">
        <w:trPr>
          <w:tblCellSpacing w:w="15" w:type="dxa"/>
        </w:trPr>
        <w:tc>
          <w:tcPr>
            <w:tcW w:w="0" w:type="auto"/>
            <w:shd w:val="clear" w:color="auto" w:fill="F0F0FF"/>
            <w:vAlign w:val="center"/>
            <w:hideMark/>
          </w:tcPr>
          <w:p w:rsidR="0037474D" w:rsidRDefault="0037474D">
            <w:pPr>
              <w:pStyle w:val="NormalWeb"/>
            </w:pPr>
            <w:r>
              <w:rPr>
                <w:rStyle w:val="bold"/>
              </w:rPr>
              <w:lastRenderedPageBreak/>
              <w:t xml:space="preserve">Historique de l'affaire </w:t>
            </w:r>
            <w:r>
              <w:br/>
            </w:r>
            <w:r>
              <w:br/>
            </w:r>
            <w:r>
              <w:rPr>
                <w:rStyle w:val="bold"/>
              </w:rPr>
              <w:t xml:space="preserve">Décision du 18 février 2000 ordonnant des mesures conservatoires </w:t>
            </w:r>
            <w:r>
              <w:br/>
            </w:r>
            <w:r>
              <w:br/>
              <w:t>Suite à une plainte de Neuf Télécom, le Conseil avait estimé que le refus de France Télécom de permettre aux opérateurs tiers de développer une offre d'accès à Internet haut débit concurrentielle qui leur soit propre portait une atteinte grave et immédiate au secteur. Le Conseil avait par conséquent enjoint à France Télécom de réformer en urgence son comportement en attendant une décision au fond. Il avait ainsi enjoint à France Télécom « de proposer aux opérateurs tiers, dans un délai maximum de huit semaines[…], une offre technique et commerciale d'accès au circuit virtuel permanent pour la fourniture d'accès à internet par la technologie ADSL ou tout autre solution technique et économique équivalente permettant aux opérateurs d'exercer une concurrence effective, tant par les prix que par la nature des prestations offertes ».</w:t>
            </w:r>
            <w:r>
              <w:br/>
              <w:t>Par un arrêt du 30 mars 2000, la cour d'appel de Paris a validé la décision du Conseil.</w:t>
            </w:r>
          </w:p>
          <w:p w:rsidR="0037474D" w:rsidRDefault="0037474D">
            <w:pPr>
              <w:pStyle w:val="NormalWeb"/>
            </w:pPr>
            <w:r>
              <w:rPr>
                <w:rStyle w:val="bold"/>
              </w:rPr>
              <w:lastRenderedPageBreak/>
              <w:t>Décision du 13 mai 2004 constatant le non respect de l'injonction prononcée à titre conservatoire</w:t>
            </w:r>
            <w:r>
              <w:br/>
            </w:r>
            <w:r>
              <w:br/>
              <w:t xml:space="preserve">Constatant que son injonction prononcée en mesures conservatoires était restée lettre morte, le Conseil a sanctionné France Télécom à hauteur de 20 millions d'euros pour non respect d'injonction. En effet, si France Télécom avait effectivement transmis, le 18 avril 2000, une offre aux opérateurs tiers - dite « ADSL </w:t>
            </w:r>
            <w:proofErr w:type="spellStart"/>
            <w:r>
              <w:t>Connect</w:t>
            </w:r>
            <w:proofErr w:type="spellEnd"/>
            <w:r>
              <w:t xml:space="preserve"> ATM » - cette dernière contenait de nombreuses restrictions techniques et tarifaires et n'était, de ce fait, pas conforme à l'injonction du Conseil.</w:t>
            </w:r>
            <w:r>
              <w:br/>
              <w:t>Par un arrêt du 11 janvier 2005, la cour d'appel de Paris a validé l'analyse du Conseil sur le fond tout en alourdissant les sanctions pécuniaires qui passent de 20 millions à 40 millions d'euros (pourvoi en cassation pendant).</w:t>
            </w:r>
          </w:p>
        </w:tc>
      </w:tr>
    </w:tbl>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Default="0037474D" w:rsidP="00865B9A"/>
    <w:p w:rsidR="0037474D" w:rsidRPr="0037474D" w:rsidRDefault="0037474D" w:rsidP="00865B9A"/>
    <w:p w:rsidR="00865B9A" w:rsidRDefault="00865B9A" w:rsidP="0037474D">
      <w:pPr>
        <w:jc w:val="center"/>
        <w:rPr>
          <w:lang w:val="en-US"/>
        </w:rPr>
      </w:pPr>
      <w:r w:rsidRPr="00865B9A">
        <w:rPr>
          <w:lang w:val="en-US"/>
        </w:rPr>
        <w:lastRenderedPageBreak/>
        <w:t>09-D-32</w:t>
      </w:r>
    </w:p>
    <w:p w:rsidR="0037474D" w:rsidRDefault="0037474D" w:rsidP="00865B9A">
      <w:pPr>
        <w:rPr>
          <w:lang w:val="en-US"/>
        </w:rPr>
      </w:pPr>
    </w:p>
    <w:p w:rsidR="0037474D" w:rsidRDefault="0037474D" w:rsidP="0037474D">
      <w:pPr>
        <w:pStyle w:val="Titre4"/>
      </w:pPr>
      <w:r>
        <w:t>26 octobre 2009 : La société Photomaton s'engage devant l'Autorité de la concurrence à supprimer les clauses d'exclusivité de ses contrats et à en limiter la durée</w:t>
      </w:r>
    </w:p>
    <w:p w:rsidR="0037474D" w:rsidRDefault="0037474D" w:rsidP="0037474D">
      <w:pPr>
        <w:jc w:val="right"/>
      </w:pPr>
      <w:r>
        <w:rPr>
          <w:rStyle w:val="bold"/>
        </w:rPr>
        <w:t xml:space="preserve">&gt; </w:t>
      </w:r>
      <w:hyperlink r:id="rId26" w:history="1">
        <w:r>
          <w:rPr>
            <w:rStyle w:val="Lienhypertexte"/>
          </w:rPr>
          <w:t>English version</w:t>
        </w:r>
      </w:hyperlink>
      <w:r>
        <w:rPr>
          <w:rStyle w:val="bold"/>
        </w:rPr>
        <w:t> </w:t>
      </w:r>
      <w:r>
        <w:rPr>
          <w:noProof/>
          <w:lang w:eastAsia="fr-FR"/>
        </w:rPr>
        <w:drawing>
          <wp:inline distT="0" distB="0" distL="0" distR="0">
            <wp:extent cx="152400" cy="114300"/>
            <wp:effectExtent l="19050" t="0" r="0" b="0"/>
            <wp:docPr id="21" name="Image 21"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37474D" w:rsidRDefault="0037474D" w:rsidP="0037474D">
      <w:r>
        <w:br/>
        <w:t xml:space="preserve">Saisie en 2008 au fond et en demande de mesures conservatoires par la société Cybervitrine à l'encontre de pratiques mises en œuvre par la société Photomaton, l'Autorité de la concurrence rend aujourd'hui une décision dans laquelle elle accepte les engagements pris par Photomaton, les rend obligatoires et clôt la procédure contentieuse. </w:t>
      </w:r>
      <w:r>
        <w:br/>
      </w:r>
      <w:r>
        <w:br/>
      </w:r>
      <w:r>
        <w:rPr>
          <w:rStyle w:val="bold"/>
        </w:rPr>
        <w:t>Historique de la procédure</w:t>
      </w:r>
      <w:r>
        <w:br/>
      </w:r>
      <w:r>
        <w:br/>
        <w:t xml:space="preserve">Cybervitrine, société d'exploitation et de commercialisation de cabines de photos d'identité, soutenait que Photomaton abusait de sa position dominante sur le marché des cabines de photographies d'identité en France en cherchant à verrouiller le marché. Le plaignant dénonçait principalement les exclusivités longues (cinq ans) imposées aux détenteurs d'emplacements, dont la durée pouvait être encore artificiellement prolongée par des mécanismes de tacite reconduction et des clauses relatives à l'entrée en vigueur des contrats. </w:t>
      </w:r>
      <w:r>
        <w:br/>
      </w:r>
      <w:r>
        <w:br/>
        <w:t xml:space="preserve">Dans sa </w:t>
      </w:r>
      <w:hyperlink r:id="rId27" w:history="1">
        <w:r>
          <w:rPr>
            <w:rStyle w:val="Lienhypertexte"/>
          </w:rPr>
          <w:t>décision 08-D-16</w:t>
        </w:r>
      </w:hyperlink>
      <w:r>
        <w:t xml:space="preserve"> du 3 juillet 2008, le Conseil de la concurrence (1) avait considéré que les conditions n'étaient pas réunies pour prononcer des mesures d'urgence mais que, les pratiques en cause étant susceptibles de constituer un abus de position dominante, l'affaire devait par conséquent être examinée au fond. </w:t>
      </w:r>
      <w:r>
        <w:br/>
      </w:r>
      <w:r>
        <w:br/>
      </w:r>
      <w:r>
        <w:rPr>
          <w:rStyle w:val="bold"/>
        </w:rPr>
        <w:t>Les préoccupations de concurrence de l'Autorité</w:t>
      </w:r>
      <w:r>
        <w:br/>
      </w:r>
      <w:r>
        <w:br/>
        <w:t xml:space="preserve">Photomaton détient une part de marché très importante avec près de 82% des cabines en exploitation chez les détenteurs d'emplacements. En outre, elle bénéficie d'une forte notoriété et exploite des cabines installées dans des sites importants en termes d'image et de visibilité (SNCF, RATP, etc.). </w:t>
      </w:r>
      <w:r>
        <w:br/>
      </w:r>
      <w:r>
        <w:br/>
        <w:t>Dans ce contexte, l'insertion et le jeu cumulé des différentes clauses présentes dans les contrats de Photomaton apparaissent susceptibles de créer des barrières à l'entrée sur le marché pour les autres concurrents, en les empêchant d'accéder aux emplacements pour une durée indéterminée.</w:t>
      </w:r>
      <w:r>
        <w:br/>
      </w:r>
      <w:r>
        <w:br/>
        <w:t xml:space="preserve">Au-delà des effets directs engendrés, ces difficultés d'accès sont susceptibles d'empêcher les concurrents d'atteindre peu à peu la taille critique nécessaire pour pouvoir répondre aux appels d'offres portant sur un nombre important de sites. </w:t>
      </w:r>
      <w:r>
        <w:br/>
      </w:r>
      <w:r>
        <w:br/>
      </w:r>
      <w:r>
        <w:rPr>
          <w:rStyle w:val="bold"/>
        </w:rPr>
        <w:t>Les engagements de Photomaton</w:t>
      </w:r>
      <w:r>
        <w:br/>
      </w:r>
      <w:r>
        <w:br/>
        <w:t xml:space="preserve">La société Photomaton a proposé des engagements afin de répondre aux préoccupations de </w:t>
      </w:r>
      <w:r>
        <w:lastRenderedPageBreak/>
        <w:t>concurrence de l'Autorité. Ces propositions ont été mises en ligne sur le site de l'Autorité afin de recueillir les observations des tiers intéressés (</w:t>
      </w:r>
      <w:hyperlink r:id="rId28" w:history="1">
        <w:r>
          <w:rPr>
            <w:rStyle w:val="Lienhypertexte"/>
          </w:rPr>
          <w:t>test de marché du 16 juillet 2009</w:t>
        </w:r>
      </w:hyperlink>
      <w:r>
        <w:t>).</w:t>
      </w:r>
      <w:r>
        <w:br/>
      </w:r>
      <w:r>
        <w:br/>
        <w:t>L'Autorité considère que ces engagements sont de nature à résoudre les difficultés de concurrence et présentent un caractère crédible et vérifiable. </w:t>
      </w:r>
    </w:p>
    <w:p w:rsidR="0037474D" w:rsidRDefault="0037474D" w:rsidP="0037474D">
      <w:pPr>
        <w:numPr>
          <w:ilvl w:val="0"/>
          <w:numId w:val="23"/>
        </w:numPr>
        <w:spacing w:before="100" w:beforeAutospacing="1" w:after="100" w:afterAutospacing="1" w:line="240" w:lineRule="auto"/>
      </w:pPr>
      <w:r>
        <w:t>Photomaton s'engage à ne plus conclure de contrat où figureraient des clauses d'exclusivité, ce qui signifie concrètement qu'à l'avenir, pourront être implantés sur un même site d'exploitation des équipements appartenant à des sociétés concurrentes.</w:t>
      </w:r>
      <w:r>
        <w:br/>
      </w:r>
      <w:r>
        <w:br/>
        <w:t> </w:t>
      </w:r>
    </w:p>
    <w:p w:rsidR="0037474D" w:rsidRDefault="0037474D" w:rsidP="0037474D">
      <w:pPr>
        <w:numPr>
          <w:ilvl w:val="0"/>
          <w:numId w:val="23"/>
        </w:numPr>
        <w:spacing w:before="100" w:beforeAutospacing="1" w:after="100" w:afterAutospacing="1" w:line="240" w:lineRule="auto"/>
      </w:pPr>
      <w:r>
        <w:t>Tous les nouveaux contrats auront désormais une durée maximum de trois ans et les clauses de tacite reconduction conduiront à un renouvellement pour des durées d'un an maximum.</w:t>
      </w:r>
      <w:r>
        <w:br/>
      </w:r>
      <w:r>
        <w:br/>
        <w:t> </w:t>
      </w:r>
    </w:p>
    <w:p w:rsidR="0037474D" w:rsidRDefault="0037474D" w:rsidP="0037474D">
      <w:pPr>
        <w:numPr>
          <w:ilvl w:val="0"/>
          <w:numId w:val="23"/>
        </w:numPr>
        <w:spacing w:before="100" w:beforeAutospacing="1" w:after="100" w:afterAutospacing="1" w:line="240" w:lineRule="auto"/>
      </w:pPr>
      <w:r>
        <w:t>Photomaton s'engage à ne pas conclure de contrat où figurerait une prise d'effets décalée à la date de livraison du matériel. Elle s'engage également à prévoir que chaque contrat ne vaudra que pour le matériel désigné au contrat.</w:t>
      </w:r>
      <w:r>
        <w:br/>
      </w:r>
      <w:r>
        <w:br/>
        <w:t> </w:t>
      </w:r>
    </w:p>
    <w:p w:rsidR="0037474D" w:rsidRDefault="0037474D" w:rsidP="0037474D">
      <w:pPr>
        <w:numPr>
          <w:ilvl w:val="0"/>
          <w:numId w:val="23"/>
        </w:numPr>
        <w:spacing w:before="100" w:beforeAutospacing="1" w:after="100" w:afterAutospacing="1" w:line="240" w:lineRule="auto"/>
      </w:pPr>
      <w:r>
        <w:t>Photomaton s'engage à ne pas conclure de contrat où figureraient des mécanismes conduisant indirectement à des exclusivités.</w:t>
      </w:r>
    </w:p>
    <w:p w:rsidR="0037474D" w:rsidRPr="0037474D" w:rsidRDefault="0037474D" w:rsidP="0037474D">
      <w:r>
        <w:t xml:space="preserve">Ces engagements seront mis en œuvre progressivement au fil de l'échéance des contrats actuellement en cours. C'est pourquoi Photomaton a pris l'engagement de ne pas s'opposer à une levée d'exclusivité qui lui serait demandée par l'un de ses cocontractants, moyennant une négociation équilibrée des conditions. Par ailleurs, Photomaton a pris l'engagement d'informer ses cocontractants des engagements pris et de leur portée, ce afin de garantir leur effet utile et rapide sur le fonctionnement du marché. </w:t>
      </w:r>
      <w:r>
        <w:br/>
      </w:r>
      <w:r>
        <w:br/>
        <w:t>(1) Depuis le 2 mars 2009, l'Autorité de la concurrence a succédé au Conseil de la concurrence (réforme mise en place par la loi de modernisation de l'économie du 4 août 2008 et par l'ordonnance du 13 novembre 2008).</w:t>
      </w:r>
    </w:p>
    <w:p w:rsidR="006C66BE" w:rsidRDefault="006C66BE" w:rsidP="00865B9A">
      <w:pPr>
        <w:rPr>
          <w:lang w:val="en-US"/>
        </w:rPr>
      </w:pPr>
    </w:p>
    <w:p w:rsidR="006C66BE" w:rsidRDefault="006C66BE" w:rsidP="00865B9A">
      <w:pPr>
        <w:rPr>
          <w:lang w:val="en-US"/>
        </w:rPr>
      </w:pPr>
    </w:p>
    <w:p w:rsidR="006C66BE" w:rsidRDefault="006C66BE" w:rsidP="00865B9A">
      <w:pPr>
        <w:rPr>
          <w:lang w:val="en-US"/>
        </w:rPr>
      </w:pPr>
    </w:p>
    <w:p w:rsidR="006C66BE" w:rsidRDefault="006C66BE" w:rsidP="00865B9A">
      <w:pPr>
        <w:rPr>
          <w:lang w:val="en-US"/>
        </w:rPr>
      </w:pPr>
    </w:p>
    <w:p w:rsidR="006C66BE" w:rsidRDefault="006C66BE" w:rsidP="00865B9A">
      <w:pPr>
        <w:rPr>
          <w:lang w:val="en-US"/>
        </w:rPr>
      </w:pPr>
    </w:p>
    <w:p w:rsidR="006C66BE" w:rsidRDefault="006C66BE" w:rsidP="00865B9A">
      <w:pPr>
        <w:rPr>
          <w:lang w:val="en-US"/>
        </w:rPr>
      </w:pPr>
    </w:p>
    <w:p w:rsidR="006C66BE" w:rsidRDefault="006C66BE" w:rsidP="00865B9A">
      <w:pPr>
        <w:rPr>
          <w:lang w:val="en-US"/>
        </w:rPr>
      </w:pPr>
    </w:p>
    <w:p w:rsidR="006C66BE" w:rsidRDefault="006C66BE" w:rsidP="00865B9A">
      <w:pPr>
        <w:rPr>
          <w:lang w:val="en-US"/>
        </w:rPr>
      </w:pPr>
    </w:p>
    <w:p w:rsidR="00CC0C43" w:rsidRDefault="00CC0C43" w:rsidP="00C16F54">
      <w:pPr>
        <w:jc w:val="center"/>
      </w:pPr>
      <w:r w:rsidRPr="007F33C8">
        <w:lastRenderedPageBreak/>
        <w:t>09-DC</w:t>
      </w:r>
      <w:r>
        <w:t>C</w:t>
      </w:r>
      <w:r w:rsidRPr="007F33C8">
        <w:t>-016</w:t>
      </w:r>
    </w:p>
    <w:p w:rsidR="00CC0C43" w:rsidRDefault="00CC0C43" w:rsidP="00CC0C43">
      <w:pPr>
        <w:pStyle w:val="Titre4"/>
      </w:pPr>
      <w:r>
        <w:t>22 juin 2009 : L'Autorité de la concurrence autorise la fusion Banque Populaire/Caisse d'Epargne sous réserve d'engagements destinés à remédier aux problèmes de concurrence à La Réunion</w:t>
      </w:r>
    </w:p>
    <w:p w:rsidR="00CC0C43" w:rsidRDefault="00CC0C43" w:rsidP="00CC0C43">
      <w:pPr>
        <w:jc w:val="right"/>
      </w:pPr>
      <w:r>
        <w:t xml:space="preserve">&gt; </w:t>
      </w:r>
      <w:hyperlink r:id="rId29" w:history="1">
        <w:r>
          <w:rPr>
            <w:rStyle w:val="Lienhypertexte"/>
          </w:rPr>
          <w:t xml:space="preserve">English version </w:t>
        </w:r>
      </w:hyperlink>
      <w:r>
        <w:rPr>
          <w:noProof/>
          <w:lang w:eastAsia="fr-FR"/>
        </w:rPr>
        <w:drawing>
          <wp:inline distT="0" distB="0" distL="0" distR="0">
            <wp:extent cx="152400" cy="114300"/>
            <wp:effectExtent l="19050" t="0" r="0" b="0"/>
            <wp:docPr id="23" name="Image 23" descr="http://www.autoritedelaconcurrence.fr/images/flag_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utoritedelaconcurrence.fr/images/flag_eng.gif"/>
                    <pic:cNvPicPr>
                      <a:picLocks noChangeAspect="1" noChangeArrowheads="1"/>
                    </pic:cNvPicPr>
                  </pic:nvPicPr>
                  <pic:blipFill>
                    <a:blip r:embed="rId9" cstate="print"/>
                    <a:srcRect/>
                    <a:stretch>
                      <a:fillRect/>
                    </a:stretch>
                  </pic:blipFill>
                  <pic:spPr bwMode="auto">
                    <a:xfrm>
                      <a:off x="0" y="0"/>
                      <a:ext cx="152400" cy="114300"/>
                    </a:xfrm>
                    <a:prstGeom prst="rect">
                      <a:avLst/>
                    </a:prstGeom>
                    <a:noFill/>
                    <a:ln w="9525">
                      <a:noFill/>
                      <a:miter lim="800000"/>
                      <a:headEnd/>
                      <a:tailEnd/>
                    </a:ln>
                  </pic:spPr>
                </pic:pic>
              </a:graphicData>
            </a:graphic>
          </wp:inline>
        </w:drawing>
      </w:r>
    </w:p>
    <w:p w:rsidR="00CC0C43" w:rsidRDefault="00CC0C43" w:rsidP="00CC0C43">
      <w:r>
        <w:br/>
        <w:t xml:space="preserve">Les effets du rapprochement des groupes Banque Populaire et Caisse d'Epargne ont fait l'objet d'un examen attentif par l'Autorité de la concurrence sur les marchés bancaires, en distinguant les services destinés aux particuliers (banque de détail) et ceux destinés aux entreprises (banque commerciale). A l'issue de cet examen, l'Autorité autorise l'opération sous réserve de la prise d'engagements destinés à remédier aux problèmes de concurrence identifiés à La Réunion. </w:t>
      </w:r>
      <w:r>
        <w:br/>
      </w:r>
      <w:r>
        <w:br/>
      </w:r>
      <w:r>
        <w:rPr>
          <w:rStyle w:val="bold"/>
        </w:rPr>
        <w:t>En ce qui concerne le marché des services destinés aux particuliers</w:t>
      </w:r>
      <w:r>
        <w:br/>
      </w:r>
      <w:r>
        <w:br/>
        <w:t>Sur les marchés de la banque de détail, le nouveau groupe issu de la fusion constituera le deuxième acteur sur la plupart des marchés concernés (dépôts, épargne, crédit immobilier, crédit à la consommation, cartes de paiement) derrière le groupe Crédit agricole. Ses parts de marché resteront toutefois inférieures à 25 % sur la plupart de ses marchés, et l'Autorité a estimé, qu'au niveau national, l'opération ne porterait pas atteinte à la concurrence.</w:t>
      </w:r>
      <w:r>
        <w:br/>
      </w:r>
      <w:r>
        <w:br/>
        <w:t xml:space="preserve">L'Autorité a également examiné les effets de l'opération au niveau local, afin de vérifier qu'elle ne réduirait pas de façon sensible la diversité de l'offre de services bancaires pour les particuliers, dans la mesure où ceux-ci privilégient une relation de proximité avec leur agence bancaire. Il apparaît que, sur l'ensemble des zones locales - et notamment sur les zones de chalandise qui ont fait l'objet, en métropole ou dans les DOM d'un examen plus poussé -, la diversité de l'offre sera maintenue, les cinq groupes concurrents restant présents (Crédit Agricole, Crédit Mutuel, Société Générale, BNPP et La Banque Postale). </w:t>
      </w:r>
      <w:r>
        <w:br/>
      </w:r>
      <w:r>
        <w:br/>
        <w:t>En revanche, l'Autorité a constaté que cette diversité serait sérieusement réduite à La Réunion, où il apparaît que près de 50 % des agences bancaires de l'île seront rattachées au nouveau groupe.</w:t>
      </w:r>
      <w:r>
        <w:br/>
      </w:r>
      <w:r>
        <w:br/>
      </w:r>
      <w:r>
        <w:rPr>
          <w:rStyle w:val="bold"/>
        </w:rPr>
        <w:t>En ce qui concerne le marché des services destinés aux entreprises</w:t>
      </w:r>
      <w:r>
        <w:br/>
      </w:r>
      <w:r>
        <w:br/>
        <w:t>Sur les marchés des services bancaires aux entreprises, le nouveau groupe devient leader sur certains (crédit-bail, crédit aux collectivités locales) et second sur d'autres (dépôts, épargne, crédits d'investissements). L'Autorité a cependant estimé, qu'au niveau national, la présence des groupes concurrents (Crédit Agricole, Crédit Mutuel, Société Générale, et BNPP, La Banque Postale ayant un rôle plus limité sur ces marchés) garantirait le maintien d'une concurrence suffisante.</w:t>
      </w:r>
      <w:r>
        <w:br/>
      </w:r>
      <w:r>
        <w:br/>
        <w:t xml:space="preserve">L'Autorité a porté une attention particulière aux conditions d'accès au crédit des PME, pour lesquelles une approche nationale pourrait masquer des problèmes locaux. Une analyse plus fine au niveau de chaque département n'a toutefois pas révélé de situations prééminentes préoccupantes, hormis à La Réunion, où, du fait de l'absence de l'un des quatre grands groupes (1), les Banques Populaires et les Caisses d'Epargne réunies détiendront, à travers trois réseaux (Banque de La Réunion, Caisses d'épargne et BRED), une position forte sur la plupart des services bancaires offerts </w:t>
      </w:r>
      <w:r>
        <w:lastRenderedPageBreak/>
        <w:t>aux entreprises, devant le Crédit Agricole.</w:t>
      </w:r>
      <w:r>
        <w:br/>
      </w:r>
      <w:r>
        <w:br/>
      </w:r>
      <w:r>
        <w:rPr>
          <w:rStyle w:val="bold"/>
        </w:rPr>
        <w:t>Les engagements demandés au nouveau groupe concernant La Réunion</w:t>
      </w:r>
      <w:r>
        <w:br/>
      </w:r>
      <w:r>
        <w:br/>
        <w:t>Afin de remédier aux problèmes spécifiquement identifiés à La Réunion, le nouveau groupe s'est engagé à maintenir l'indépendance juridique et l'autonomie de gestion des trois branches mentionnées ci-dessus, pour une durée de cinq ans. L'Autorité procèdera sur cette période à des examens réguliers du positionnement concurrentiel du nouveau groupe afin d'examiner si ces engagements sont suffisants ou s'il convient que des actifs soient cédés.</w:t>
      </w:r>
    </w:p>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CC0C43"/>
    <w:p w:rsidR="00CC0C43" w:rsidRDefault="00CC0C43" w:rsidP="007F33C8">
      <w:pPr>
        <w:rPr>
          <w:sz w:val="96"/>
          <w:szCs w:val="96"/>
        </w:rPr>
      </w:pPr>
    </w:p>
    <w:p w:rsidR="007F33C8" w:rsidRPr="007F33C8" w:rsidRDefault="007F33C8" w:rsidP="007F33C8">
      <w:r w:rsidRPr="007F33C8">
        <w:lastRenderedPageBreak/>
        <w:t>99-D-45</w:t>
      </w:r>
      <w:r>
        <w:t> : Texte intégral</w:t>
      </w:r>
    </w:p>
    <w:p w:rsidR="007F33C8" w:rsidRPr="007F33C8" w:rsidRDefault="007F33C8" w:rsidP="00865B9A">
      <w:r w:rsidRPr="007F33C8">
        <w:t>09-D-04</w:t>
      </w:r>
      <w:r>
        <w:t> : Texte intégral</w:t>
      </w:r>
    </w:p>
    <w:p w:rsidR="007F33C8" w:rsidRPr="007F33C8" w:rsidRDefault="007F33C8" w:rsidP="00865B9A">
      <w:r w:rsidRPr="007F33C8">
        <w:t>90-D-31: Texte intégral</w:t>
      </w:r>
    </w:p>
    <w:p w:rsidR="006C66BE" w:rsidRPr="007F33C8" w:rsidRDefault="00865B9A" w:rsidP="00865B9A">
      <w:pPr>
        <w:rPr>
          <w:sz w:val="96"/>
          <w:szCs w:val="96"/>
        </w:rPr>
      </w:pPr>
      <w:r w:rsidRPr="007F33C8">
        <w:t>98-D-31</w:t>
      </w:r>
      <w:r w:rsidR="007F33C8">
        <w:t>: Texte intégral</w:t>
      </w:r>
    </w:p>
    <w:p w:rsidR="00865B9A" w:rsidRPr="006C66BE" w:rsidRDefault="00865B9A" w:rsidP="00865B9A">
      <w:r w:rsidRPr="006C66BE">
        <w:t>04-A-16</w:t>
      </w:r>
      <w:r w:rsidR="006C66BE">
        <w:t>: Texte intégral</w:t>
      </w:r>
    </w:p>
    <w:p w:rsidR="00865B9A" w:rsidRDefault="00865B9A" w:rsidP="00865B9A">
      <w:r>
        <w:t>93-A-12</w:t>
      </w:r>
      <w:r w:rsidR="006C66BE">
        <w:t> : Texte intégral</w:t>
      </w:r>
    </w:p>
    <w:p w:rsidR="00875DC6" w:rsidRDefault="00875DC6"/>
    <w:p w:rsidR="00875DC6" w:rsidRDefault="00875DC6"/>
    <w:p w:rsidR="00875DC6" w:rsidRDefault="00875DC6"/>
    <w:p w:rsidR="00875DC6" w:rsidRDefault="00875DC6"/>
    <w:p w:rsidR="00875DC6" w:rsidRDefault="00875DC6"/>
    <w:p w:rsidR="00875DC6" w:rsidRDefault="00875DC6"/>
    <w:p w:rsidR="00875DC6" w:rsidRDefault="00875DC6"/>
    <w:p w:rsidR="00875DC6" w:rsidRDefault="00875DC6"/>
    <w:sectPr w:rsidR="00875DC6" w:rsidSect="00E255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45B"/>
    <w:multiLevelType w:val="multilevel"/>
    <w:tmpl w:val="00A6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54CCB"/>
    <w:multiLevelType w:val="multilevel"/>
    <w:tmpl w:val="839C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707C7"/>
    <w:multiLevelType w:val="multilevel"/>
    <w:tmpl w:val="0A9E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A417C"/>
    <w:multiLevelType w:val="multilevel"/>
    <w:tmpl w:val="0BBA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FE3A5E"/>
    <w:multiLevelType w:val="multilevel"/>
    <w:tmpl w:val="F002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71770"/>
    <w:multiLevelType w:val="multilevel"/>
    <w:tmpl w:val="D74C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37774"/>
    <w:multiLevelType w:val="multilevel"/>
    <w:tmpl w:val="E2EA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1543E5"/>
    <w:multiLevelType w:val="multilevel"/>
    <w:tmpl w:val="CEA0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2F0F91"/>
    <w:multiLevelType w:val="multilevel"/>
    <w:tmpl w:val="ACB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A54DF"/>
    <w:multiLevelType w:val="multilevel"/>
    <w:tmpl w:val="6E68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422BF6"/>
    <w:multiLevelType w:val="multilevel"/>
    <w:tmpl w:val="8888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6F500D"/>
    <w:multiLevelType w:val="hybridMultilevel"/>
    <w:tmpl w:val="803E63F0"/>
    <w:lvl w:ilvl="0" w:tplc="572C8D56">
      <w:start w:val="1"/>
      <w:numFmt w:val="decimal"/>
      <w:pStyle w:val="Titre3"/>
      <w:lvlText w:val="%1."/>
      <w:lvlJc w:val="left"/>
      <w:pPr>
        <w:ind w:left="1440" w:hanging="360"/>
      </w:pPr>
      <w:rPr>
        <w:rFonts w:ascii="Times New Roman" w:hAnsi="Times New Roman" w:cs="Times New Roman" w:hint="default"/>
      </w:rPr>
    </w:lvl>
    <w:lvl w:ilvl="1" w:tplc="040C0019">
      <w:start w:val="1"/>
      <w:numFmt w:val="lowerLetter"/>
      <w:lvlText w:val="%2."/>
      <w:lvlJc w:val="left"/>
      <w:pPr>
        <w:ind w:left="2160" w:hanging="360"/>
      </w:pPr>
      <w:rPr>
        <w:rFonts w:ascii="Times New Roman" w:hAnsi="Times New Roman" w:cs="Times New Roman"/>
      </w:rPr>
    </w:lvl>
    <w:lvl w:ilvl="2" w:tplc="040C001B">
      <w:start w:val="1"/>
      <w:numFmt w:val="lowerRoman"/>
      <w:lvlText w:val="%3."/>
      <w:lvlJc w:val="right"/>
      <w:pPr>
        <w:ind w:left="2880" w:hanging="180"/>
      </w:pPr>
      <w:rPr>
        <w:rFonts w:ascii="Times New Roman" w:hAnsi="Times New Roman" w:cs="Times New Roman"/>
      </w:rPr>
    </w:lvl>
    <w:lvl w:ilvl="3" w:tplc="040C000F">
      <w:start w:val="1"/>
      <w:numFmt w:val="decimal"/>
      <w:lvlText w:val="%4."/>
      <w:lvlJc w:val="left"/>
      <w:pPr>
        <w:ind w:left="3600" w:hanging="360"/>
      </w:pPr>
      <w:rPr>
        <w:rFonts w:ascii="Times New Roman" w:hAnsi="Times New Roman" w:cs="Times New Roman"/>
      </w:rPr>
    </w:lvl>
    <w:lvl w:ilvl="4" w:tplc="040C0019">
      <w:start w:val="1"/>
      <w:numFmt w:val="lowerLetter"/>
      <w:lvlText w:val="%5."/>
      <w:lvlJc w:val="left"/>
      <w:pPr>
        <w:ind w:left="4320" w:hanging="360"/>
      </w:pPr>
      <w:rPr>
        <w:rFonts w:ascii="Times New Roman" w:hAnsi="Times New Roman" w:cs="Times New Roman"/>
      </w:rPr>
    </w:lvl>
    <w:lvl w:ilvl="5" w:tplc="040C001B">
      <w:start w:val="1"/>
      <w:numFmt w:val="lowerRoman"/>
      <w:lvlText w:val="%6."/>
      <w:lvlJc w:val="right"/>
      <w:pPr>
        <w:ind w:left="5040" w:hanging="180"/>
      </w:pPr>
      <w:rPr>
        <w:rFonts w:ascii="Times New Roman" w:hAnsi="Times New Roman" w:cs="Times New Roman"/>
      </w:rPr>
    </w:lvl>
    <w:lvl w:ilvl="6" w:tplc="040C000F">
      <w:start w:val="1"/>
      <w:numFmt w:val="decimal"/>
      <w:lvlText w:val="%7."/>
      <w:lvlJc w:val="left"/>
      <w:pPr>
        <w:ind w:left="5760" w:hanging="360"/>
      </w:pPr>
      <w:rPr>
        <w:rFonts w:ascii="Times New Roman" w:hAnsi="Times New Roman" w:cs="Times New Roman"/>
      </w:rPr>
    </w:lvl>
    <w:lvl w:ilvl="7" w:tplc="040C0019">
      <w:start w:val="1"/>
      <w:numFmt w:val="lowerLetter"/>
      <w:lvlText w:val="%8."/>
      <w:lvlJc w:val="left"/>
      <w:pPr>
        <w:ind w:left="6480" w:hanging="360"/>
      </w:pPr>
      <w:rPr>
        <w:rFonts w:ascii="Times New Roman" w:hAnsi="Times New Roman" w:cs="Times New Roman"/>
      </w:rPr>
    </w:lvl>
    <w:lvl w:ilvl="8" w:tplc="040C001B">
      <w:start w:val="1"/>
      <w:numFmt w:val="lowerRoman"/>
      <w:lvlText w:val="%9."/>
      <w:lvlJc w:val="right"/>
      <w:pPr>
        <w:ind w:left="7200" w:hanging="180"/>
      </w:pPr>
      <w:rPr>
        <w:rFonts w:ascii="Times New Roman" w:hAnsi="Times New Roman" w:cs="Times New Roman"/>
      </w:rPr>
    </w:lvl>
  </w:abstractNum>
  <w:abstractNum w:abstractNumId="12">
    <w:nsid w:val="457A1651"/>
    <w:multiLevelType w:val="multilevel"/>
    <w:tmpl w:val="BE8E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2508B5"/>
    <w:multiLevelType w:val="multilevel"/>
    <w:tmpl w:val="7DAC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197E27"/>
    <w:multiLevelType w:val="multilevel"/>
    <w:tmpl w:val="E68A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661D52"/>
    <w:multiLevelType w:val="multilevel"/>
    <w:tmpl w:val="2DC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615FD6"/>
    <w:multiLevelType w:val="multilevel"/>
    <w:tmpl w:val="B91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6753D5"/>
    <w:multiLevelType w:val="multilevel"/>
    <w:tmpl w:val="A5A6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6B44F8"/>
    <w:multiLevelType w:val="multilevel"/>
    <w:tmpl w:val="1C30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411F35"/>
    <w:multiLevelType w:val="hybridMultilevel"/>
    <w:tmpl w:val="D1820472"/>
    <w:lvl w:ilvl="0" w:tplc="CFE2A54C">
      <w:start w:val="1"/>
      <w:numFmt w:val="upperRoman"/>
      <w:pStyle w:val="Titre2"/>
      <w:lvlText w:val="%1."/>
      <w:lvlJc w:val="righ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0">
    <w:nsid w:val="72BF6C67"/>
    <w:multiLevelType w:val="multilevel"/>
    <w:tmpl w:val="0984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9B5109"/>
    <w:multiLevelType w:val="multilevel"/>
    <w:tmpl w:val="1A3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D97044"/>
    <w:multiLevelType w:val="multilevel"/>
    <w:tmpl w:val="6698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14"/>
  </w:num>
  <w:num w:numId="4">
    <w:abstractNumId w:val="16"/>
  </w:num>
  <w:num w:numId="5">
    <w:abstractNumId w:val="18"/>
  </w:num>
  <w:num w:numId="6">
    <w:abstractNumId w:val="21"/>
  </w:num>
  <w:num w:numId="7">
    <w:abstractNumId w:val="22"/>
  </w:num>
  <w:num w:numId="8">
    <w:abstractNumId w:val="15"/>
  </w:num>
  <w:num w:numId="9">
    <w:abstractNumId w:val="12"/>
  </w:num>
  <w:num w:numId="10">
    <w:abstractNumId w:val="13"/>
  </w:num>
  <w:num w:numId="11">
    <w:abstractNumId w:val="10"/>
  </w:num>
  <w:num w:numId="12">
    <w:abstractNumId w:val="9"/>
  </w:num>
  <w:num w:numId="13">
    <w:abstractNumId w:val="8"/>
  </w:num>
  <w:num w:numId="14">
    <w:abstractNumId w:val="7"/>
  </w:num>
  <w:num w:numId="15">
    <w:abstractNumId w:val="4"/>
  </w:num>
  <w:num w:numId="16">
    <w:abstractNumId w:val="5"/>
  </w:num>
  <w:num w:numId="17">
    <w:abstractNumId w:val="1"/>
  </w:num>
  <w:num w:numId="18">
    <w:abstractNumId w:val="2"/>
  </w:num>
  <w:num w:numId="19">
    <w:abstractNumId w:val="20"/>
  </w:num>
  <w:num w:numId="20">
    <w:abstractNumId w:val="0"/>
  </w:num>
  <w:num w:numId="21">
    <w:abstractNumId w:val="17"/>
  </w:num>
  <w:num w:numId="22">
    <w:abstractNumId w:val="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7EE"/>
    <w:rsid w:val="001236BA"/>
    <w:rsid w:val="00336D3F"/>
    <w:rsid w:val="00365654"/>
    <w:rsid w:val="0037474D"/>
    <w:rsid w:val="004F47EE"/>
    <w:rsid w:val="006C66BE"/>
    <w:rsid w:val="007F33C8"/>
    <w:rsid w:val="00865B9A"/>
    <w:rsid w:val="00875DC6"/>
    <w:rsid w:val="00A70DC4"/>
    <w:rsid w:val="00C16F54"/>
    <w:rsid w:val="00CC0C43"/>
    <w:rsid w:val="00E255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BA"/>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1236BA"/>
    <w:pPr>
      <w:keepNext/>
      <w:keepLines/>
      <w:spacing w:before="480" w:after="0"/>
      <w:jc w:val="center"/>
      <w:outlineLvl w:val="0"/>
    </w:pPr>
    <w:rPr>
      <w:rFonts w:ascii="Arial" w:hAnsi="Arial" w:cs="Arial"/>
      <w:b/>
      <w:bCs/>
      <w:color w:val="4F81BD"/>
      <w:sz w:val="52"/>
      <w:szCs w:val="52"/>
      <w:u w:val="single"/>
    </w:rPr>
  </w:style>
  <w:style w:type="paragraph" w:styleId="Titre2">
    <w:name w:val="heading 2"/>
    <w:basedOn w:val="Normal"/>
    <w:next w:val="Normal"/>
    <w:link w:val="Titre2Car"/>
    <w:uiPriority w:val="99"/>
    <w:qFormat/>
    <w:rsid w:val="001236BA"/>
    <w:pPr>
      <w:keepNext/>
      <w:keepLines/>
      <w:numPr>
        <w:numId w:val="1"/>
      </w:numPr>
      <w:spacing w:before="200" w:after="0"/>
      <w:outlineLvl w:val="1"/>
    </w:pPr>
    <w:rPr>
      <w:rFonts w:ascii="Arial" w:hAnsi="Arial" w:cs="Arial"/>
      <w:b/>
      <w:bCs/>
      <w:color w:val="4F81BD"/>
      <w:sz w:val="24"/>
      <w:szCs w:val="24"/>
    </w:rPr>
  </w:style>
  <w:style w:type="paragraph" w:styleId="Titre3">
    <w:name w:val="heading 3"/>
    <w:basedOn w:val="Normal"/>
    <w:next w:val="Normal"/>
    <w:link w:val="Titre3Car"/>
    <w:uiPriority w:val="99"/>
    <w:qFormat/>
    <w:rsid w:val="001236BA"/>
    <w:pPr>
      <w:keepNext/>
      <w:numPr>
        <w:numId w:val="2"/>
      </w:numPr>
      <w:spacing w:after="0" w:line="360" w:lineRule="auto"/>
      <w:jc w:val="both"/>
      <w:outlineLvl w:val="2"/>
    </w:pPr>
    <w:rPr>
      <w:rFonts w:ascii="Arial" w:hAnsi="Arial" w:cs="Arial"/>
      <w:b/>
      <w:bCs/>
      <w:color w:val="4F81BD"/>
      <w:sz w:val="24"/>
      <w:szCs w:val="24"/>
    </w:rPr>
  </w:style>
  <w:style w:type="paragraph" w:styleId="Titre4">
    <w:name w:val="heading 4"/>
    <w:basedOn w:val="Normal"/>
    <w:next w:val="Normal"/>
    <w:link w:val="Titre4Car"/>
    <w:uiPriority w:val="9"/>
    <w:qFormat/>
    <w:rsid w:val="001236BA"/>
    <w:pPr>
      <w:keepNext/>
      <w:keepLines/>
      <w:spacing w:before="200" w:after="0"/>
      <w:outlineLvl w:val="3"/>
    </w:pPr>
    <w:rPr>
      <w:rFonts w:ascii="Cambria" w:hAnsi="Cambria" w:cs="Cambria"/>
      <w:b/>
      <w:bCs/>
      <w:i/>
      <w:iCs/>
      <w:color w:val="4F81BD"/>
      <w:sz w:val="20"/>
      <w:szCs w:val="20"/>
      <w:lang w:eastAsia="fr-FR"/>
    </w:rPr>
  </w:style>
  <w:style w:type="paragraph" w:styleId="Titre5">
    <w:name w:val="heading 5"/>
    <w:basedOn w:val="Normal"/>
    <w:next w:val="Normal"/>
    <w:link w:val="Titre5Car"/>
    <w:uiPriority w:val="99"/>
    <w:qFormat/>
    <w:rsid w:val="001236BA"/>
    <w:pPr>
      <w:keepNext/>
      <w:spacing w:before="100" w:beforeAutospacing="1" w:after="0" w:line="360" w:lineRule="auto"/>
      <w:jc w:val="both"/>
      <w:outlineLvl w:val="4"/>
    </w:pPr>
    <w:rPr>
      <w:rFonts w:ascii="Times New Roman" w:hAnsi="Times New Roman" w:cs="Times New Roman"/>
      <w:b/>
      <w:bCs/>
      <w:i/>
      <w:iCs/>
      <w:sz w:val="26"/>
      <w:szCs w:val="26"/>
    </w:rPr>
  </w:style>
  <w:style w:type="paragraph" w:styleId="Titre6">
    <w:name w:val="heading 6"/>
    <w:basedOn w:val="Normal"/>
    <w:next w:val="Normal"/>
    <w:link w:val="Titre6Car"/>
    <w:uiPriority w:val="99"/>
    <w:qFormat/>
    <w:rsid w:val="001236BA"/>
    <w:pPr>
      <w:keepNext/>
      <w:ind w:right="-58"/>
      <w:jc w:val="both"/>
      <w:outlineLvl w:val="5"/>
    </w:pPr>
    <w:rPr>
      <w:rFonts w:ascii="Times New Roman" w:hAnsi="Times New Roman" w:cs="Times New Roman"/>
      <w:b/>
      <w:bCs/>
      <w:sz w:val="20"/>
      <w:szCs w:val="20"/>
    </w:rPr>
  </w:style>
  <w:style w:type="paragraph" w:styleId="Titre7">
    <w:name w:val="heading 7"/>
    <w:basedOn w:val="Normal"/>
    <w:next w:val="Normal"/>
    <w:link w:val="Titre7Car"/>
    <w:uiPriority w:val="99"/>
    <w:qFormat/>
    <w:rsid w:val="001236BA"/>
    <w:pPr>
      <w:keepNext/>
      <w:keepLines/>
      <w:spacing w:before="200" w:after="0"/>
      <w:outlineLvl w:val="6"/>
    </w:pPr>
    <w:rPr>
      <w:rFonts w:ascii="Cambria" w:hAnsi="Cambria" w:cs="Cambria"/>
      <w:i/>
      <w:iCs/>
    </w:rPr>
  </w:style>
  <w:style w:type="paragraph" w:styleId="Titre8">
    <w:name w:val="heading 8"/>
    <w:basedOn w:val="Normal"/>
    <w:next w:val="Normal"/>
    <w:link w:val="Titre8Car"/>
    <w:uiPriority w:val="99"/>
    <w:qFormat/>
    <w:rsid w:val="001236BA"/>
    <w:pPr>
      <w:keepNext/>
      <w:keepLines/>
      <w:spacing w:before="200" w:after="0"/>
      <w:outlineLvl w:val="7"/>
    </w:pPr>
    <w:rPr>
      <w:rFonts w:ascii="Cambria" w:hAnsi="Cambria" w:cs="Cambria"/>
      <w:sz w:val="20"/>
      <w:szCs w:val="20"/>
    </w:rPr>
  </w:style>
  <w:style w:type="paragraph" w:styleId="Titre9">
    <w:name w:val="heading 9"/>
    <w:basedOn w:val="Normal"/>
    <w:next w:val="Normal"/>
    <w:link w:val="Titre9Car"/>
    <w:uiPriority w:val="99"/>
    <w:qFormat/>
    <w:rsid w:val="001236BA"/>
    <w:pPr>
      <w:keepNext/>
      <w:spacing w:line="360" w:lineRule="auto"/>
      <w:jc w:val="both"/>
      <w:outlineLvl w:val="8"/>
    </w:pPr>
    <w:rPr>
      <w:rFonts w:ascii="Cambria" w:hAnsi="Cambria" w:cs="Cambria"/>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1236BA"/>
    <w:rPr>
      <w:rFonts w:ascii="Arial" w:hAnsi="Arial" w:cs="Arial"/>
      <w:b/>
      <w:bCs/>
      <w:color w:val="4F81BD"/>
      <w:sz w:val="52"/>
      <w:szCs w:val="52"/>
      <w:u w:val="single"/>
      <w:lang w:eastAsia="en-US"/>
    </w:rPr>
  </w:style>
  <w:style w:type="character" w:customStyle="1" w:styleId="Titre2Car">
    <w:name w:val="Titre 2 Car"/>
    <w:basedOn w:val="Policepardfaut"/>
    <w:link w:val="Titre2"/>
    <w:uiPriority w:val="99"/>
    <w:rsid w:val="001236BA"/>
    <w:rPr>
      <w:rFonts w:ascii="Arial" w:hAnsi="Arial" w:cs="Arial"/>
      <w:b/>
      <w:bCs/>
      <w:color w:val="4F81BD"/>
      <w:sz w:val="24"/>
      <w:szCs w:val="24"/>
      <w:lang w:eastAsia="en-US"/>
    </w:rPr>
  </w:style>
  <w:style w:type="character" w:customStyle="1" w:styleId="Titre3Car">
    <w:name w:val="Titre 3 Car"/>
    <w:basedOn w:val="Policepardfaut"/>
    <w:link w:val="Titre3"/>
    <w:uiPriority w:val="99"/>
    <w:rsid w:val="001236BA"/>
    <w:rPr>
      <w:rFonts w:ascii="Arial" w:hAnsi="Arial" w:cs="Arial"/>
      <w:b/>
      <w:bCs/>
      <w:color w:val="4F81BD"/>
      <w:sz w:val="24"/>
      <w:szCs w:val="24"/>
      <w:lang w:eastAsia="en-US"/>
    </w:rPr>
  </w:style>
  <w:style w:type="character" w:customStyle="1" w:styleId="Titre4Car">
    <w:name w:val="Titre 4 Car"/>
    <w:basedOn w:val="Policepardfaut"/>
    <w:link w:val="Titre4"/>
    <w:uiPriority w:val="9"/>
    <w:rsid w:val="001236BA"/>
    <w:rPr>
      <w:rFonts w:ascii="Cambria" w:hAnsi="Cambria" w:cs="Cambria"/>
      <w:b/>
      <w:bCs/>
      <w:i/>
      <w:iCs/>
      <w:color w:val="4F81BD"/>
    </w:rPr>
  </w:style>
  <w:style w:type="character" w:customStyle="1" w:styleId="Titre5Car">
    <w:name w:val="Titre 5 Car"/>
    <w:basedOn w:val="Policepardfaut"/>
    <w:link w:val="Titre5"/>
    <w:uiPriority w:val="99"/>
    <w:rsid w:val="001236BA"/>
    <w:rPr>
      <w:rFonts w:ascii="Times New Roman" w:hAnsi="Times New Roman" w:cs="Times New Roman"/>
      <w:b/>
      <w:bCs/>
      <w:i/>
      <w:iCs/>
      <w:sz w:val="26"/>
      <w:szCs w:val="26"/>
      <w:lang w:eastAsia="en-US"/>
    </w:rPr>
  </w:style>
  <w:style w:type="character" w:customStyle="1" w:styleId="Titre6Car">
    <w:name w:val="Titre 6 Car"/>
    <w:basedOn w:val="Policepardfaut"/>
    <w:link w:val="Titre6"/>
    <w:uiPriority w:val="99"/>
    <w:rsid w:val="001236BA"/>
    <w:rPr>
      <w:rFonts w:ascii="Times New Roman" w:hAnsi="Times New Roman" w:cs="Times New Roman"/>
      <w:b/>
      <w:bCs/>
      <w:lang w:eastAsia="en-US"/>
    </w:rPr>
  </w:style>
  <w:style w:type="character" w:customStyle="1" w:styleId="Titre7Car">
    <w:name w:val="Titre 7 Car"/>
    <w:basedOn w:val="Policepardfaut"/>
    <w:link w:val="Titre7"/>
    <w:uiPriority w:val="99"/>
    <w:rsid w:val="001236BA"/>
    <w:rPr>
      <w:rFonts w:ascii="Cambria" w:hAnsi="Cambria" w:cs="Cambria"/>
      <w:i/>
      <w:iCs/>
      <w:color w:val="auto"/>
      <w:sz w:val="22"/>
      <w:szCs w:val="22"/>
      <w:lang w:eastAsia="en-US"/>
    </w:rPr>
  </w:style>
  <w:style w:type="character" w:customStyle="1" w:styleId="Titre8Car">
    <w:name w:val="Titre 8 Car"/>
    <w:basedOn w:val="Policepardfaut"/>
    <w:link w:val="Titre8"/>
    <w:uiPriority w:val="99"/>
    <w:rsid w:val="001236BA"/>
    <w:rPr>
      <w:rFonts w:ascii="Cambria" w:hAnsi="Cambria" w:cs="Cambria"/>
      <w:color w:val="auto"/>
      <w:lang w:eastAsia="en-US"/>
    </w:rPr>
  </w:style>
  <w:style w:type="character" w:customStyle="1" w:styleId="Titre9Car">
    <w:name w:val="Titre 9 Car"/>
    <w:basedOn w:val="Policepardfaut"/>
    <w:link w:val="Titre9"/>
    <w:uiPriority w:val="99"/>
    <w:rsid w:val="001236BA"/>
    <w:rPr>
      <w:rFonts w:ascii="Cambria" w:hAnsi="Cambria" w:cs="Cambria"/>
      <w:lang w:eastAsia="en-US"/>
    </w:rPr>
  </w:style>
  <w:style w:type="paragraph" w:styleId="TM1">
    <w:name w:val="toc 1"/>
    <w:basedOn w:val="Normal"/>
    <w:next w:val="Normal"/>
    <w:autoRedefine/>
    <w:uiPriority w:val="39"/>
    <w:qFormat/>
    <w:rsid w:val="001236BA"/>
    <w:pPr>
      <w:tabs>
        <w:tab w:val="right" w:leader="dot" w:pos="9062"/>
      </w:tabs>
    </w:pPr>
    <w:rPr>
      <w:rFonts w:ascii="Arial" w:hAnsi="Arial" w:cs="Arial"/>
      <w:b/>
      <w:bCs/>
      <w:noProof/>
      <w:color w:val="365F91"/>
      <w:sz w:val="24"/>
      <w:szCs w:val="32"/>
    </w:rPr>
  </w:style>
  <w:style w:type="paragraph" w:styleId="TM2">
    <w:name w:val="toc 2"/>
    <w:basedOn w:val="Normal"/>
    <w:next w:val="Normal"/>
    <w:autoRedefine/>
    <w:uiPriority w:val="39"/>
    <w:qFormat/>
    <w:rsid w:val="001236BA"/>
    <w:pPr>
      <w:tabs>
        <w:tab w:val="left" w:pos="660"/>
        <w:tab w:val="right" w:leader="dot" w:pos="9062"/>
      </w:tabs>
      <w:jc w:val="center"/>
    </w:pPr>
    <w:rPr>
      <w:rFonts w:ascii="Cambria" w:hAnsi="Cambria" w:cs="Cambria"/>
      <w:b/>
      <w:bCs/>
      <w:noProof/>
      <w:color w:val="4F81BD"/>
      <w:sz w:val="24"/>
      <w:szCs w:val="24"/>
    </w:rPr>
  </w:style>
  <w:style w:type="paragraph" w:styleId="TM3">
    <w:name w:val="toc 3"/>
    <w:basedOn w:val="Normal"/>
    <w:next w:val="Normal"/>
    <w:autoRedefine/>
    <w:uiPriority w:val="39"/>
    <w:qFormat/>
    <w:rsid w:val="001236BA"/>
    <w:pPr>
      <w:ind w:left="440"/>
    </w:pPr>
  </w:style>
  <w:style w:type="paragraph" w:styleId="Lgende">
    <w:name w:val="caption"/>
    <w:basedOn w:val="Normal"/>
    <w:next w:val="Normal"/>
    <w:uiPriority w:val="99"/>
    <w:qFormat/>
    <w:rsid w:val="001236BA"/>
    <w:pPr>
      <w:spacing w:line="240" w:lineRule="auto"/>
    </w:pPr>
    <w:rPr>
      <w:b/>
      <w:bCs/>
      <w:color w:val="4F81BD"/>
      <w:sz w:val="18"/>
      <w:szCs w:val="18"/>
    </w:rPr>
  </w:style>
  <w:style w:type="paragraph" w:styleId="Titre">
    <w:name w:val="Title"/>
    <w:basedOn w:val="Normal"/>
    <w:next w:val="Normal"/>
    <w:link w:val="TitreCar"/>
    <w:uiPriority w:val="99"/>
    <w:qFormat/>
    <w:rsid w:val="001236BA"/>
    <w:pPr>
      <w:pBdr>
        <w:bottom w:val="single" w:sz="8" w:space="4" w:color="4F81BD"/>
      </w:pBdr>
      <w:spacing w:after="300" w:line="240" w:lineRule="auto"/>
    </w:pPr>
    <w:rPr>
      <w:rFonts w:ascii="Cambria" w:hAnsi="Cambria" w:cs="Cambria"/>
      <w:spacing w:val="5"/>
      <w:kern w:val="28"/>
      <w:sz w:val="52"/>
      <w:szCs w:val="52"/>
      <w:lang w:eastAsia="fr-FR"/>
    </w:rPr>
  </w:style>
  <w:style w:type="character" w:customStyle="1" w:styleId="TitreCar">
    <w:name w:val="Titre Car"/>
    <w:basedOn w:val="Policepardfaut"/>
    <w:link w:val="Titre"/>
    <w:uiPriority w:val="99"/>
    <w:rsid w:val="001236BA"/>
    <w:rPr>
      <w:rFonts w:ascii="Cambria" w:hAnsi="Cambria" w:cs="Cambria"/>
      <w:color w:val="auto"/>
      <w:spacing w:val="5"/>
      <w:kern w:val="28"/>
      <w:sz w:val="52"/>
      <w:szCs w:val="52"/>
    </w:rPr>
  </w:style>
  <w:style w:type="character" w:styleId="lev">
    <w:name w:val="Strong"/>
    <w:basedOn w:val="Policepardfaut"/>
    <w:uiPriority w:val="99"/>
    <w:qFormat/>
    <w:rsid w:val="001236BA"/>
    <w:rPr>
      <w:b/>
      <w:bCs/>
    </w:rPr>
  </w:style>
  <w:style w:type="character" w:styleId="Accentuation">
    <w:name w:val="Emphasis"/>
    <w:basedOn w:val="Policepardfaut"/>
    <w:uiPriority w:val="99"/>
    <w:qFormat/>
    <w:rsid w:val="001236BA"/>
    <w:rPr>
      <w:rFonts w:ascii="Times New Roman" w:hAnsi="Times New Roman" w:cs="Times New Roman"/>
      <w:i/>
      <w:iCs/>
    </w:rPr>
  </w:style>
  <w:style w:type="paragraph" w:styleId="Sansinterligne">
    <w:name w:val="No Spacing"/>
    <w:uiPriority w:val="1"/>
    <w:qFormat/>
    <w:rsid w:val="001236BA"/>
    <w:rPr>
      <w:rFonts w:cs="Calibri"/>
      <w:sz w:val="22"/>
      <w:szCs w:val="22"/>
      <w:lang w:eastAsia="en-US"/>
    </w:rPr>
  </w:style>
  <w:style w:type="paragraph" w:styleId="Paragraphedeliste">
    <w:name w:val="List Paragraph"/>
    <w:basedOn w:val="Normal"/>
    <w:uiPriority w:val="99"/>
    <w:qFormat/>
    <w:rsid w:val="001236BA"/>
    <w:pPr>
      <w:ind w:left="720"/>
    </w:pPr>
  </w:style>
  <w:style w:type="paragraph" w:styleId="En-ttedetabledesmatires">
    <w:name w:val="TOC Heading"/>
    <w:basedOn w:val="Titre1"/>
    <w:next w:val="Normal"/>
    <w:uiPriority w:val="39"/>
    <w:qFormat/>
    <w:rsid w:val="001236BA"/>
    <w:pPr>
      <w:jc w:val="left"/>
      <w:outlineLvl w:val="9"/>
    </w:pPr>
    <w:rPr>
      <w:rFonts w:ascii="Cambria" w:hAnsi="Cambria" w:cs="Cambria"/>
      <w:color w:val="365F91"/>
      <w:sz w:val="28"/>
      <w:szCs w:val="28"/>
      <w:u w:val="none"/>
    </w:rPr>
  </w:style>
  <w:style w:type="character" w:styleId="Lienhypertexte">
    <w:name w:val="Hyperlink"/>
    <w:basedOn w:val="Policepardfaut"/>
    <w:uiPriority w:val="99"/>
    <w:unhideWhenUsed/>
    <w:rsid w:val="004F47EE"/>
    <w:rPr>
      <w:color w:val="0000FF" w:themeColor="hyperlink"/>
      <w:u w:val="single"/>
    </w:rPr>
  </w:style>
  <w:style w:type="paragraph" w:styleId="NormalWeb">
    <w:name w:val="Normal (Web)"/>
    <w:basedOn w:val="Normal"/>
    <w:uiPriority w:val="99"/>
    <w:unhideWhenUsed/>
    <w:rsid w:val="00875DC6"/>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old">
    <w:name w:val="bold"/>
    <w:basedOn w:val="Policepardfaut"/>
    <w:rsid w:val="00875DC6"/>
  </w:style>
  <w:style w:type="character" w:customStyle="1" w:styleId="italic">
    <w:name w:val="italic"/>
    <w:basedOn w:val="Policepardfaut"/>
    <w:rsid w:val="00875DC6"/>
  </w:style>
  <w:style w:type="paragraph" w:styleId="Textedebulles">
    <w:name w:val="Balloon Text"/>
    <w:basedOn w:val="Normal"/>
    <w:link w:val="TextedebullesCar"/>
    <w:uiPriority w:val="99"/>
    <w:semiHidden/>
    <w:unhideWhenUsed/>
    <w:rsid w:val="00865B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5B9A"/>
    <w:rPr>
      <w:rFonts w:ascii="Tahoma" w:hAnsi="Tahoma" w:cs="Tahoma"/>
      <w:sz w:val="16"/>
      <w:szCs w:val="16"/>
      <w:lang w:eastAsia="en-US"/>
    </w:rPr>
  </w:style>
  <w:style w:type="paragraph" w:customStyle="1" w:styleId="right">
    <w:name w:val="right"/>
    <w:basedOn w:val="Normal"/>
    <w:rsid w:val="0037474D"/>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74102193">
      <w:bodyDiv w:val="1"/>
      <w:marLeft w:val="0"/>
      <w:marRight w:val="0"/>
      <w:marTop w:val="0"/>
      <w:marBottom w:val="0"/>
      <w:divBdr>
        <w:top w:val="none" w:sz="0" w:space="0" w:color="auto"/>
        <w:left w:val="none" w:sz="0" w:space="0" w:color="auto"/>
        <w:bottom w:val="none" w:sz="0" w:space="0" w:color="auto"/>
        <w:right w:val="none" w:sz="0" w:space="0" w:color="auto"/>
      </w:divBdr>
    </w:div>
    <w:div w:id="562377727">
      <w:bodyDiv w:val="1"/>
      <w:marLeft w:val="0"/>
      <w:marRight w:val="0"/>
      <w:marTop w:val="0"/>
      <w:marBottom w:val="0"/>
      <w:divBdr>
        <w:top w:val="none" w:sz="0" w:space="0" w:color="auto"/>
        <w:left w:val="none" w:sz="0" w:space="0" w:color="auto"/>
        <w:bottom w:val="none" w:sz="0" w:space="0" w:color="auto"/>
        <w:right w:val="none" w:sz="0" w:space="0" w:color="auto"/>
      </w:divBdr>
    </w:div>
    <w:div w:id="683358389">
      <w:bodyDiv w:val="1"/>
      <w:marLeft w:val="0"/>
      <w:marRight w:val="0"/>
      <w:marTop w:val="0"/>
      <w:marBottom w:val="0"/>
      <w:divBdr>
        <w:top w:val="none" w:sz="0" w:space="0" w:color="auto"/>
        <w:left w:val="none" w:sz="0" w:space="0" w:color="auto"/>
        <w:bottom w:val="none" w:sz="0" w:space="0" w:color="auto"/>
        <w:right w:val="none" w:sz="0" w:space="0" w:color="auto"/>
      </w:divBdr>
    </w:div>
    <w:div w:id="1143080183">
      <w:bodyDiv w:val="1"/>
      <w:marLeft w:val="0"/>
      <w:marRight w:val="0"/>
      <w:marTop w:val="0"/>
      <w:marBottom w:val="0"/>
      <w:divBdr>
        <w:top w:val="none" w:sz="0" w:space="0" w:color="auto"/>
        <w:left w:val="none" w:sz="0" w:space="0" w:color="auto"/>
        <w:bottom w:val="none" w:sz="0" w:space="0" w:color="auto"/>
        <w:right w:val="none" w:sz="0" w:space="0" w:color="auto"/>
      </w:divBdr>
    </w:div>
    <w:div w:id="1150096127">
      <w:bodyDiv w:val="1"/>
      <w:marLeft w:val="0"/>
      <w:marRight w:val="0"/>
      <w:marTop w:val="0"/>
      <w:marBottom w:val="0"/>
      <w:divBdr>
        <w:top w:val="none" w:sz="0" w:space="0" w:color="auto"/>
        <w:left w:val="none" w:sz="0" w:space="0" w:color="auto"/>
        <w:bottom w:val="none" w:sz="0" w:space="0" w:color="auto"/>
        <w:right w:val="none" w:sz="0" w:space="0" w:color="auto"/>
      </w:divBdr>
    </w:div>
    <w:div w:id="1170675343">
      <w:bodyDiv w:val="1"/>
      <w:marLeft w:val="0"/>
      <w:marRight w:val="0"/>
      <w:marTop w:val="0"/>
      <w:marBottom w:val="0"/>
      <w:divBdr>
        <w:top w:val="none" w:sz="0" w:space="0" w:color="auto"/>
        <w:left w:val="none" w:sz="0" w:space="0" w:color="auto"/>
        <w:bottom w:val="none" w:sz="0" w:space="0" w:color="auto"/>
        <w:right w:val="none" w:sz="0" w:space="0" w:color="auto"/>
      </w:divBdr>
    </w:div>
    <w:div w:id="1311247898">
      <w:bodyDiv w:val="1"/>
      <w:marLeft w:val="0"/>
      <w:marRight w:val="0"/>
      <w:marTop w:val="0"/>
      <w:marBottom w:val="0"/>
      <w:divBdr>
        <w:top w:val="none" w:sz="0" w:space="0" w:color="auto"/>
        <w:left w:val="none" w:sz="0" w:space="0" w:color="auto"/>
        <w:bottom w:val="none" w:sz="0" w:space="0" w:color="auto"/>
        <w:right w:val="none" w:sz="0" w:space="0" w:color="auto"/>
      </w:divBdr>
    </w:div>
    <w:div w:id="1330451161">
      <w:bodyDiv w:val="1"/>
      <w:marLeft w:val="0"/>
      <w:marRight w:val="0"/>
      <w:marTop w:val="0"/>
      <w:marBottom w:val="0"/>
      <w:divBdr>
        <w:top w:val="none" w:sz="0" w:space="0" w:color="auto"/>
        <w:left w:val="none" w:sz="0" w:space="0" w:color="auto"/>
        <w:bottom w:val="none" w:sz="0" w:space="0" w:color="auto"/>
        <w:right w:val="none" w:sz="0" w:space="0" w:color="auto"/>
      </w:divBdr>
    </w:div>
    <w:div w:id="1346177630">
      <w:bodyDiv w:val="1"/>
      <w:marLeft w:val="0"/>
      <w:marRight w:val="0"/>
      <w:marTop w:val="0"/>
      <w:marBottom w:val="0"/>
      <w:divBdr>
        <w:top w:val="none" w:sz="0" w:space="0" w:color="auto"/>
        <w:left w:val="none" w:sz="0" w:space="0" w:color="auto"/>
        <w:bottom w:val="none" w:sz="0" w:space="0" w:color="auto"/>
        <w:right w:val="none" w:sz="0" w:space="0" w:color="auto"/>
      </w:divBdr>
    </w:div>
    <w:div w:id="1411924239">
      <w:bodyDiv w:val="1"/>
      <w:marLeft w:val="0"/>
      <w:marRight w:val="0"/>
      <w:marTop w:val="0"/>
      <w:marBottom w:val="0"/>
      <w:divBdr>
        <w:top w:val="none" w:sz="0" w:space="0" w:color="auto"/>
        <w:left w:val="none" w:sz="0" w:space="0" w:color="auto"/>
        <w:bottom w:val="none" w:sz="0" w:space="0" w:color="auto"/>
        <w:right w:val="none" w:sz="0" w:space="0" w:color="auto"/>
      </w:divBdr>
    </w:div>
    <w:div w:id="1554124573">
      <w:bodyDiv w:val="1"/>
      <w:marLeft w:val="0"/>
      <w:marRight w:val="0"/>
      <w:marTop w:val="0"/>
      <w:marBottom w:val="0"/>
      <w:divBdr>
        <w:top w:val="none" w:sz="0" w:space="0" w:color="auto"/>
        <w:left w:val="none" w:sz="0" w:space="0" w:color="auto"/>
        <w:bottom w:val="none" w:sz="0" w:space="0" w:color="auto"/>
        <w:right w:val="none" w:sz="0" w:space="0" w:color="auto"/>
      </w:divBdr>
    </w:div>
    <w:div w:id="1677804369">
      <w:bodyDiv w:val="1"/>
      <w:marLeft w:val="0"/>
      <w:marRight w:val="0"/>
      <w:marTop w:val="0"/>
      <w:marBottom w:val="0"/>
      <w:divBdr>
        <w:top w:val="none" w:sz="0" w:space="0" w:color="auto"/>
        <w:left w:val="none" w:sz="0" w:space="0" w:color="auto"/>
        <w:bottom w:val="none" w:sz="0" w:space="0" w:color="auto"/>
        <w:right w:val="none" w:sz="0" w:space="0" w:color="auto"/>
      </w:divBdr>
    </w:div>
    <w:div w:id="2053308772">
      <w:bodyDiv w:val="1"/>
      <w:marLeft w:val="0"/>
      <w:marRight w:val="0"/>
      <w:marTop w:val="0"/>
      <w:marBottom w:val="0"/>
      <w:divBdr>
        <w:top w:val="none" w:sz="0" w:space="0" w:color="auto"/>
        <w:left w:val="none" w:sz="0" w:space="0" w:color="auto"/>
        <w:bottom w:val="none" w:sz="0" w:space="0" w:color="auto"/>
        <w:right w:val="none" w:sz="0" w:space="0" w:color="auto"/>
      </w:divBdr>
    </w:div>
    <w:div w:id="21202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ritedelaconcurrence.fr/user/standard.php?id_rub=160&amp;id_article=502" TargetMode="External"/><Relationship Id="rId13" Type="http://schemas.openxmlformats.org/officeDocument/2006/relationships/hyperlink" Target="http://www.autoritedelaconcurrence.fr/user/standard.php?id_rub=160&amp;id_article=603" TargetMode="External"/><Relationship Id="rId18" Type="http://schemas.openxmlformats.org/officeDocument/2006/relationships/hyperlink" Target="http://www.autoritedelaconcurrence.fr/user/avis.php?avis=97d53" TargetMode="External"/><Relationship Id="rId26" Type="http://schemas.openxmlformats.org/officeDocument/2006/relationships/hyperlink" Target="http://www.autoritedelaconcurrence.fr/user/standard.php?id_rub=316&amp;id_article=1257" TargetMode="External"/><Relationship Id="rId3" Type="http://schemas.openxmlformats.org/officeDocument/2006/relationships/settings" Target="settings.xml"/><Relationship Id="rId21" Type="http://schemas.openxmlformats.org/officeDocument/2006/relationships/hyperlink" Target="http://www.autoritedelaconcurrence.fr/user/avis.php?avis=00mc01" TargetMode="External"/><Relationship Id="rId7" Type="http://schemas.openxmlformats.org/officeDocument/2006/relationships/hyperlink" Target="http://www.autoritedelaconcurrence.fr/user/standard.php?id_rub=160&amp;id_article=553" TargetMode="External"/><Relationship Id="rId12" Type="http://schemas.openxmlformats.org/officeDocument/2006/relationships/hyperlink" Target="http://www.autoritedelaconcurrence.fr/user/standard.php?id_rub=185&amp;id_article=539" TargetMode="External"/><Relationship Id="rId17" Type="http://schemas.openxmlformats.org/officeDocument/2006/relationships/hyperlink" Target="http://www.autoritedelaconcurrence.fr/user/avis.php?avis=94d21" TargetMode="External"/><Relationship Id="rId25" Type="http://schemas.openxmlformats.org/officeDocument/2006/relationships/hyperlink" Target="http://www.autoritedelaconcurrence.fr/user/standard.php?id_rub=160&amp;id_article=495" TargetMode="External"/><Relationship Id="rId2" Type="http://schemas.openxmlformats.org/officeDocument/2006/relationships/styles" Target="styles.xml"/><Relationship Id="rId16" Type="http://schemas.openxmlformats.org/officeDocument/2006/relationships/hyperlink" Target="http://www.autoritedelaconcurrence.fr/user/standard.php?id_rub=211&amp;id_article=826" TargetMode="External"/><Relationship Id="rId20" Type="http://schemas.openxmlformats.org/officeDocument/2006/relationships/hyperlink" Target="http://www.autoritedelaconcurrence.fr/user/avis.php?avis=02mc03" TargetMode="External"/><Relationship Id="rId29" Type="http://schemas.openxmlformats.org/officeDocument/2006/relationships/hyperlink" Target="http://www.autoritedelaconcurrence.fr/user/standard.php?id_rub=316&amp;id_article=1234" TargetMode="External"/><Relationship Id="rId1" Type="http://schemas.openxmlformats.org/officeDocument/2006/relationships/numbering" Target="numbering.xml"/><Relationship Id="rId6" Type="http://schemas.openxmlformats.org/officeDocument/2006/relationships/hyperlink" Target="http://www.autoritedelaconcurrence.fr/user/avis.php?avis=05-D-66" TargetMode="External"/><Relationship Id="rId11" Type="http://schemas.openxmlformats.org/officeDocument/2006/relationships/hyperlink" Target="http://www.autoritedelaconcurrence.fr/user/standard.php?id_rub=211&amp;id_article=726" TargetMode="External"/><Relationship Id="rId24" Type="http://schemas.openxmlformats.org/officeDocument/2006/relationships/hyperlink" Target="http://www.autoritedelaconcurrence.fr/user/avis.php?avis=00mc01" TargetMode="External"/><Relationship Id="rId5" Type="http://schemas.openxmlformats.org/officeDocument/2006/relationships/hyperlink" Target="http://www.autorit&#233;delaconcurrence.fr" TargetMode="External"/><Relationship Id="rId15" Type="http://schemas.openxmlformats.org/officeDocument/2006/relationships/hyperlink" Target="http://www.autoritedelaconcurrence.fr/user/standard.php?id_rub=256&amp;id_article=1040" TargetMode="External"/><Relationship Id="rId23" Type="http://schemas.openxmlformats.org/officeDocument/2006/relationships/hyperlink" Target="http://www.autoritedelaconcurrence.fr/user/avis.php?avis=04d18" TargetMode="External"/><Relationship Id="rId28" Type="http://schemas.openxmlformats.org/officeDocument/2006/relationships/hyperlink" Target="http://www.autoritedelaconcurrence.fr/user/standard.php?id_rub=342&amp;id_article=1180" TargetMode="External"/><Relationship Id="rId10" Type="http://schemas.openxmlformats.org/officeDocument/2006/relationships/hyperlink" Target="http://www.autoritedelaconcurrence.fr/user/standard.php?id_rub=136&amp;id_article=299" TargetMode="External"/><Relationship Id="rId19" Type="http://schemas.openxmlformats.org/officeDocument/2006/relationships/hyperlink" Target="http://www.autoritedelaconcurrence.fr/user/avis.php?avis=01d4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autoritedelaconcurrence.fr/user/standard.php?id_rub=211&amp;id_article=693" TargetMode="External"/><Relationship Id="rId22" Type="http://schemas.openxmlformats.org/officeDocument/2006/relationships/hyperlink" Target="http://www.autoritedelaconcurrence.fr/user/avis.php?avis=05d59" TargetMode="External"/><Relationship Id="rId27" Type="http://schemas.openxmlformats.org/officeDocument/2006/relationships/hyperlink" Target="http://www.autoritedelaconcurrence.fr/user/avisdec.php?numero=08d1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32</Pages>
  <Words>10912</Words>
  <Characters>60022</Characters>
  <Application>Microsoft Office Word</Application>
  <DocSecurity>0</DocSecurity>
  <Lines>500</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Escobar</dc:creator>
  <cp:lastModifiedBy>Escobar</cp:lastModifiedBy>
  <cp:revision>5</cp:revision>
  <dcterms:created xsi:type="dcterms:W3CDTF">2010-12-02T14:44:00Z</dcterms:created>
  <dcterms:modified xsi:type="dcterms:W3CDTF">2010-12-02T15:25:00Z</dcterms:modified>
</cp:coreProperties>
</file>